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4.35 — спутниковая продукция с присутствующими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наблюдений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Значение качества, связанное с параметром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участвующих спектральных полос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11 октетов для каждой участвующей спектральной полосы (nb = 1, 0 01 007 (общая кодовая таблица C-5) и 0 02 019 (общая кодовая таблица C-8), соответственно.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NB) (16+11(nb–1))–(17+11(nb–1)) Спутниковая серия полосы nb (кодовая таблица определяется центром — поставщиком/производителем продукции) (18+11(nb–1))–(19+11(nb–1)) Спутниковые номера полосы nb (кодовая таблица определяется центром — поставщиком/производителем продукции) (20+11(nb–1))–(21+11(nb–1)) Типы приборов полосы nb (кодовая таблица определяется центром — поставщиком/производителем продукции) (22+11(nb–1)) Масштабный коэффициент центрального волнового числа полосы nb (23+11(nb–1))–(26+11(nb–1)) Масштабированная величина центрального волнового числа полосы nb (единица измерения: м−1) Примечание. Для «спутниковых серий полосы nb»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