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4.51 — категориальные прогнозы по горизонтальному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— количество категорий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12 октетов для каждой категории (i = 1, будут кодироваться как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NC) (36+12(i–1)) Кодовая цифра (37+12(i–1)) Тип интервала для первого и второго пределов (см. кодовую таблицу 4.91) (38+12(i–1)) Масштабный коэффициент первого предела (39+12(i–1))–(42+12(i–1)) Масштабированная величина первого предела (43+12(i–1)) Масштабный коэффициент второго предела (44+12(i–1))–(47+12(i–1)) Масштабированная величина второго предела 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