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4.53 — разделенные параметры на горизонтальном уровне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 (см. кодовую таблицу 4.2 и примечания 2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таблицы разделения (PTN) (см. примечания 1 и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разделов (NP) 14–(14+2NP–1) Набор разделов (перечислить все номера разделов в разделе) (см. кодовую таблицу 4.PTN и примечание 1) (14+2NP)–(15+2NP) Номер раздела (PN) (см. кодовую таблицу 4.PTN и примечание 3) (16+2NP) Тип процесса подготовки (см. кодовую таблицу 4.3) (17+2NP) Указатель основного процесса подготовки (определяется центром-поставщиком) (18+2NP) Указатель процесса проведения анализа или подготовки прогноза (определяется центром-поставщиком) (19+2NP)–(20+2NP) Часы отсечения данных наблюдений после времени начала отсчета (21+2NP) Минуты отсечения данных наблюдений после времени начала отсчета (22+2NP) Указатель единицы временного диапазона (см. кодовую таблицу 4.4) (23+2NP)–(26+2NP) Период действия прогноза в единицах, определенных в предыдущем октете (27+2NP) Тип первой фиксированной поверхности (см. кодовую таблицу 4.5) (28+2NP) Масштабный коэффициент первой фиксированной поверхности (29+2NP)–(32+2NP) Масштабированная величина первой фиксированной поверхности (33+2NP) Тип второй фиксированной поверхности (см. кодовую таблицу 4.5) (34+2NP) Масштабный коэффициент второй фиксированной поверхности (35+2NP)–(38+2NP) 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