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4.91 — категориальные прогнозы по горизонтальному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— количество категорий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12 октетов для каждой категории (i = 1, 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 (60+12(NC–1)) Статистический процесс, используемыми в статистической обработке (см. кодовую таблицу 4.11) (62+12(NC–1)) Указатель единицы времени для временного диапазона, за который проводится статистическая обработка (см. кодовую таблицу 4.4) (63+12(NC–1))–(66+12(NC–1)) Продолжительность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следующий наиболее удаленный шаг обработки (84+12(NC–1))–nn Дополнительные спецификации временного диапазона, включенные в соответствии с величиной n. Содержание как в октетах (60+12(NC–1))–(71+12(NC–1))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только если n&gt;1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