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ADF1E" w14:textId="74FFCB4D" w:rsidR="00B61D9E" w:rsidRDefault="00251CCE" w:rsidP="00C80E9B">
      <w:pPr>
        <w:pStyle w:val="Title"/>
        <w:rPr>
          <w:lang w:val="en-GB"/>
        </w:rPr>
      </w:pPr>
      <w:r>
        <w:rPr>
          <w:lang w:val="en-GB"/>
        </w:rPr>
        <w:t>Survey on the operational implementation of WIGOS Station Identifiers</w:t>
      </w:r>
    </w:p>
    <w:p w14:paraId="14273B04" w14:textId="400FCD9D" w:rsidR="00C80E9B" w:rsidRDefault="00C80E9B" w:rsidP="00C80E9B">
      <w:pPr>
        <w:rPr>
          <w:lang w:val="en-GB"/>
        </w:rPr>
      </w:pPr>
    </w:p>
    <w:p w14:paraId="394FCC9D" w14:textId="3C61567D" w:rsidR="00C80E9B" w:rsidRDefault="00251CCE" w:rsidP="00C80E9B">
      <w:pPr>
        <w:pStyle w:val="Heading1"/>
        <w:rPr>
          <w:lang w:val="en-GB"/>
        </w:rPr>
      </w:pPr>
      <w:r>
        <w:rPr>
          <w:lang w:val="en-GB"/>
        </w:rPr>
        <w:t>Background</w:t>
      </w:r>
    </w:p>
    <w:p w14:paraId="7D3FDBA3" w14:textId="77777777" w:rsidR="00C80E9B" w:rsidRPr="00C80E9B" w:rsidRDefault="00C80E9B" w:rsidP="00C80E9B">
      <w:pPr>
        <w:rPr>
          <w:lang w:val="en-GB"/>
        </w:rPr>
      </w:pPr>
    </w:p>
    <w:p w14:paraId="305F539D" w14:textId="77777777" w:rsidR="00944292" w:rsidRDefault="00251CCE" w:rsidP="00C80E9B">
      <w:r w:rsidRPr="00C80E9B">
        <w:t>According to the </w:t>
      </w:r>
      <w:hyperlink r:id="rId6" w:history="1">
        <w:r w:rsidRPr="00C80E9B">
          <w:rPr>
            <w:rStyle w:val="Hyperlink"/>
          </w:rPr>
          <w:t>Manual on WIGOS</w:t>
        </w:r>
      </w:hyperlink>
      <w:r w:rsidRPr="00C80E9B">
        <w:t xml:space="preserve">, </w:t>
      </w:r>
      <w:r w:rsidRPr="00C80E9B">
        <w:rPr>
          <w:b/>
          <w:bCs/>
        </w:rPr>
        <w:t>WMO observing stations and platforms shall be uniquely identified by a WIGOS station identifier</w:t>
      </w:r>
      <w:r w:rsidR="001E27DC">
        <w:rPr>
          <w:b/>
          <w:bCs/>
          <w:lang w:val="en-GB"/>
        </w:rPr>
        <w:t xml:space="preserve"> (WSI)</w:t>
      </w:r>
      <w:r w:rsidRPr="00C80E9B">
        <w:t xml:space="preserve">. </w:t>
      </w:r>
    </w:p>
    <w:p w14:paraId="262BE965" w14:textId="77777777" w:rsidR="00944292" w:rsidRDefault="00944292" w:rsidP="00C80E9B"/>
    <w:p w14:paraId="1B861115" w14:textId="41ACBDEC" w:rsidR="005E67F0" w:rsidRDefault="00251CCE" w:rsidP="00C80E9B">
      <w:pPr>
        <w:rPr>
          <w:lang w:val="en-GB"/>
        </w:rPr>
      </w:pPr>
      <w:r>
        <w:rPr>
          <w:lang w:val="en-GB"/>
        </w:rPr>
        <w:t xml:space="preserve">On 1st July </w:t>
      </w:r>
      <w:r w:rsidR="00E43489">
        <w:rPr>
          <w:lang w:val="en-GB"/>
        </w:rPr>
        <w:t xml:space="preserve">2016, </w:t>
      </w:r>
      <w:r>
        <w:rPr>
          <w:lang w:val="en-GB"/>
        </w:rPr>
        <w:t xml:space="preserve">WMO Pub. 9 </w:t>
      </w:r>
      <w:r w:rsidR="00C80E9B" w:rsidRPr="00C80E9B">
        <w:t xml:space="preserve">Vol. A </w:t>
      </w:r>
      <w:r>
        <w:rPr>
          <w:lang w:val="en-GB"/>
        </w:rPr>
        <w:t>was frozen, and the Secretariat loaded its content to</w:t>
      </w:r>
      <w:r w:rsidR="00C80E9B" w:rsidRPr="00C80E9B">
        <w:t> </w:t>
      </w:r>
      <w:hyperlink r:id="rId7" w:anchor="/" w:history="1">
        <w:r w:rsidR="00C80E9B" w:rsidRPr="00C80E9B">
          <w:rPr>
            <w:rStyle w:val="Hyperlink"/>
          </w:rPr>
          <w:t>OSCAR/surface</w:t>
        </w:r>
      </w:hyperlink>
      <w:r w:rsidR="00C80E9B" w:rsidRPr="00C80E9B">
        <w:t xml:space="preserve">, </w:t>
      </w:r>
      <w:r>
        <w:rPr>
          <w:lang w:val="en-GB"/>
        </w:rPr>
        <w:t>which is now the official repository of WIGOS stations metadata.</w:t>
      </w:r>
      <w:r w:rsidR="00E43489">
        <w:rPr>
          <w:lang w:val="en-GB"/>
        </w:rPr>
        <w:t xml:space="preserve"> OSCAR/surface </w:t>
      </w:r>
      <w:r w:rsidR="00600E72">
        <w:rPr>
          <w:lang w:val="en-GB"/>
        </w:rPr>
        <w:t xml:space="preserve">is making available a Vol. A legacy format to support the applications that cannot use </w:t>
      </w:r>
      <w:commentRangeStart w:id="0"/>
      <w:r w:rsidR="00600E72">
        <w:rPr>
          <w:lang w:val="en-GB"/>
        </w:rPr>
        <w:t xml:space="preserve">OSCAR/surface API </w:t>
      </w:r>
      <w:commentRangeEnd w:id="0"/>
      <w:r w:rsidR="00600E72">
        <w:rPr>
          <w:rStyle w:val="CommentReference"/>
        </w:rPr>
        <w:commentReference w:id="0"/>
      </w:r>
      <w:r w:rsidR="00600E72">
        <w:rPr>
          <w:lang w:val="en-GB"/>
        </w:rPr>
        <w:t xml:space="preserve">to access the metadata. However, </w:t>
      </w:r>
      <w:r w:rsidR="00E43489">
        <w:rPr>
          <w:lang w:val="en-GB"/>
        </w:rPr>
        <w:t>WMO Pub. 9 Vol. A is not updated since 1</w:t>
      </w:r>
      <w:r w:rsidR="00E43489" w:rsidRPr="00E43489">
        <w:rPr>
          <w:vertAlign w:val="superscript"/>
          <w:lang w:val="en-GB"/>
        </w:rPr>
        <w:t>st</w:t>
      </w:r>
      <w:r w:rsidR="00E43489">
        <w:rPr>
          <w:lang w:val="en-GB"/>
        </w:rPr>
        <w:t xml:space="preserve"> July 2016.  </w:t>
      </w:r>
    </w:p>
    <w:p w14:paraId="39F81AF7" w14:textId="7E2F54A9" w:rsidR="00E43489" w:rsidRDefault="00E43489" w:rsidP="00C80E9B">
      <w:pPr>
        <w:rPr>
          <w:lang w:val="en-GB"/>
        </w:rPr>
      </w:pPr>
    </w:p>
    <w:p w14:paraId="68C75896" w14:textId="0BE81069" w:rsidR="00103D24" w:rsidRPr="00103D24" w:rsidRDefault="00251CCE" w:rsidP="00103D24">
      <w:pPr>
        <w:rPr>
          <w:lang w:val="en-GB"/>
        </w:rPr>
      </w:pPr>
      <w:r>
        <w:rPr>
          <w:lang w:val="en-GB"/>
        </w:rPr>
        <w:t>WSI is t</w:t>
      </w:r>
      <w:r w:rsidR="00E43489">
        <w:rPr>
          <w:lang w:val="en-GB"/>
        </w:rPr>
        <w:t xml:space="preserve">he only identifier for a station in OSCAR/Surface, </w:t>
      </w:r>
      <w:r w:rsidR="00C80E9B" w:rsidRPr="00C80E9B">
        <w:t xml:space="preserve">and </w:t>
      </w:r>
      <w:r>
        <w:rPr>
          <w:lang w:val="en-GB"/>
        </w:rPr>
        <w:t xml:space="preserve">a </w:t>
      </w:r>
      <w:r w:rsidR="00C80E9B" w:rsidRPr="00C80E9B">
        <w:t xml:space="preserve">WSI was assigned to </w:t>
      </w:r>
      <w:r>
        <w:rPr>
          <w:lang w:val="en-GB"/>
        </w:rPr>
        <w:t>each</w:t>
      </w:r>
      <w:r w:rsidR="00C80E9B" w:rsidRPr="00C80E9B">
        <w:t xml:space="preserve"> station</w:t>
      </w:r>
      <w:r>
        <w:rPr>
          <w:lang w:val="en-GB"/>
        </w:rPr>
        <w:t xml:space="preserve"> </w:t>
      </w:r>
      <w:r w:rsidR="00C80E9B" w:rsidRPr="00C80E9B">
        <w:t xml:space="preserve">by </w:t>
      </w:r>
      <w:r>
        <w:rPr>
          <w:lang w:val="en-GB"/>
        </w:rPr>
        <w:t>the</w:t>
      </w:r>
      <w:r w:rsidR="00C80E9B" w:rsidRPr="00C80E9B">
        <w:t xml:space="preserve"> Secretariat </w:t>
      </w:r>
      <w:r>
        <w:rPr>
          <w:lang w:val="en-GB"/>
        </w:rPr>
        <w:t xml:space="preserve">when Vol. A was uploaded (WSI schema used by Secretariat can be found in the </w:t>
      </w:r>
      <w:hyperlink r:id="rId12" w:history="1">
        <w:r w:rsidRPr="00C80E9B">
          <w:rPr>
            <w:rStyle w:val="Hyperlink"/>
          </w:rPr>
          <w:t xml:space="preserve">Guide </w:t>
        </w:r>
        <w:r>
          <w:rPr>
            <w:rStyle w:val="Hyperlink"/>
            <w:lang w:val="en-GB"/>
          </w:rPr>
          <w:t>to</w:t>
        </w:r>
        <w:r w:rsidRPr="00C80E9B">
          <w:rPr>
            <w:rStyle w:val="Hyperlink"/>
          </w:rPr>
          <w:t xml:space="preserve"> WIGOS</w:t>
        </w:r>
      </w:hyperlink>
      <w:r>
        <w:rPr>
          <w:lang w:val="en-GB"/>
        </w:rPr>
        <w:t>)</w:t>
      </w:r>
      <w:r w:rsidRPr="00C80E9B">
        <w:t>.</w:t>
      </w:r>
    </w:p>
    <w:p w14:paraId="10E7D5A3" w14:textId="4B6FD440" w:rsidR="00600E72" w:rsidRDefault="00251CCE" w:rsidP="00C80E9B">
      <w:r w:rsidRPr="4B87B5E2">
        <w:rPr>
          <w:lang w:val="en-GB"/>
        </w:rPr>
        <w:t>New stations</w:t>
      </w:r>
      <w:r w:rsidR="00C15D74">
        <w:rPr>
          <w:lang w:val="en-GB"/>
        </w:rPr>
        <w:t>,</w:t>
      </w:r>
      <w:r w:rsidRPr="4B87B5E2">
        <w:rPr>
          <w:lang w:val="en-GB"/>
        </w:rPr>
        <w:t xml:space="preserve"> not present in Volume A on the 1</w:t>
      </w:r>
      <w:r w:rsidRPr="4B87B5E2">
        <w:rPr>
          <w:vertAlign w:val="superscript"/>
          <w:lang w:val="en-GB"/>
        </w:rPr>
        <w:t>st</w:t>
      </w:r>
      <w:r w:rsidRPr="4B87B5E2">
        <w:rPr>
          <w:lang w:val="en-GB"/>
        </w:rPr>
        <w:t xml:space="preserve"> July 2016</w:t>
      </w:r>
      <w:r w:rsidR="00C15D74">
        <w:rPr>
          <w:lang w:val="en-GB"/>
        </w:rPr>
        <w:t>,</w:t>
      </w:r>
      <w:r w:rsidRPr="4B87B5E2">
        <w:rPr>
          <w:lang w:val="en-GB"/>
        </w:rPr>
        <w:t xml:space="preserve"> are assigned a WSI by the authority registering the station in OSCAR/surface. There is a large degree of freedom for the assignment of WSIs (see</w:t>
      </w:r>
      <w:r w:rsidR="00C80E9B">
        <w:t> </w:t>
      </w:r>
      <w:hyperlink r:id="rId13">
        <w:r w:rsidR="00C80E9B" w:rsidRPr="4B87B5E2">
          <w:rPr>
            <w:rStyle w:val="Hyperlink"/>
          </w:rPr>
          <w:t xml:space="preserve">Guide </w:t>
        </w:r>
        <w:r w:rsidRPr="4B87B5E2">
          <w:rPr>
            <w:rStyle w:val="Hyperlink"/>
            <w:lang w:val="en-GB"/>
          </w:rPr>
          <w:t>to</w:t>
        </w:r>
        <w:r w:rsidR="00C80E9B" w:rsidRPr="4B87B5E2">
          <w:rPr>
            <w:rStyle w:val="Hyperlink"/>
          </w:rPr>
          <w:t xml:space="preserve"> WIGOS</w:t>
        </w:r>
      </w:hyperlink>
      <w:r w:rsidRPr="4B87B5E2">
        <w:rPr>
          <w:lang w:val="en-GB"/>
        </w:rPr>
        <w:t>)</w:t>
      </w:r>
      <w:r w:rsidR="00C15D74">
        <w:t xml:space="preserve"> and BUFR data from these stations do not have a Traditional Station Identifier (TSI)</w:t>
      </w:r>
      <w:r w:rsidR="00EF5A2B">
        <w:t xml:space="preserve"> registered</w:t>
      </w:r>
      <w:r w:rsidR="00C15D74">
        <w:t xml:space="preserve"> in Vol. A</w:t>
      </w:r>
    </w:p>
    <w:p w14:paraId="03E5E1A1" w14:textId="742200AF" w:rsidR="4B87B5E2" w:rsidRDefault="4B87B5E2" w:rsidP="4B87B5E2"/>
    <w:p w14:paraId="77ADB75D" w14:textId="5E6050B0" w:rsidR="00103D24" w:rsidRDefault="00103D24" w:rsidP="00C80E9B"/>
    <w:p w14:paraId="7EF8DC55" w14:textId="77777777" w:rsidR="006209D3" w:rsidRDefault="00251CCE" w:rsidP="006209D3">
      <w:pPr>
        <w:rPr>
          <w:lang w:val="en-GB"/>
        </w:rPr>
      </w:pPr>
      <w:r>
        <w:rPr>
          <w:lang w:val="en-GB"/>
        </w:rPr>
        <w:t>To provide guidance for the encoding of WSI in BUFR</w:t>
      </w:r>
      <w:r w:rsidR="00CC7541">
        <w:rPr>
          <w:lang w:val="en-GB"/>
        </w:rPr>
        <w:t xml:space="preserve">, the Secretariat sent a </w:t>
      </w:r>
      <w:commentRangeStart w:id="1"/>
      <w:r w:rsidR="00CC7541">
        <w:rPr>
          <w:lang w:val="en-GB"/>
        </w:rPr>
        <w:t>circular letter</w:t>
      </w:r>
      <w:commentRangeEnd w:id="1"/>
      <w:r w:rsidR="00CC7541">
        <w:rPr>
          <w:rStyle w:val="CommentReference"/>
        </w:rPr>
        <w:commentReference w:id="1"/>
      </w:r>
      <w:r w:rsidR="00C15D74">
        <w:rPr>
          <w:lang w:val="en-GB"/>
        </w:rPr>
        <w:t xml:space="preserve">, clearly stating that </w:t>
      </w:r>
    </w:p>
    <w:p w14:paraId="7062411E" w14:textId="068CDE6E" w:rsidR="006209D3" w:rsidRDefault="00C15D74" w:rsidP="006209D3">
      <w:pPr>
        <w:pStyle w:val="ListParagraph"/>
        <w:numPr>
          <w:ilvl w:val="0"/>
          <w:numId w:val="10"/>
        </w:numPr>
        <w:rPr>
          <w:lang w:val="en-GB"/>
        </w:rPr>
      </w:pPr>
      <w:r w:rsidRPr="006209D3">
        <w:rPr>
          <w:lang w:val="en-GB"/>
        </w:rPr>
        <w:t xml:space="preserve">stations having a </w:t>
      </w:r>
      <w:r w:rsidR="0025754E" w:rsidRPr="006209D3">
        <w:rPr>
          <w:lang w:val="en-GB"/>
        </w:rPr>
        <w:t>TSI</w:t>
      </w:r>
      <w:r w:rsidR="006209D3" w:rsidRPr="006209D3">
        <w:rPr>
          <w:lang w:val="en-GB"/>
        </w:rPr>
        <w:t xml:space="preserve"> (registered in Vol. A on 1</w:t>
      </w:r>
      <w:r w:rsidR="006209D3" w:rsidRPr="006209D3">
        <w:rPr>
          <w:vertAlign w:val="superscript"/>
          <w:lang w:val="en-GB"/>
        </w:rPr>
        <w:t>st</w:t>
      </w:r>
      <w:r w:rsidR="006209D3" w:rsidRPr="006209D3">
        <w:rPr>
          <w:lang w:val="en-GB"/>
        </w:rPr>
        <w:t xml:space="preserve"> July 2016 when it was frozen)</w:t>
      </w:r>
      <w:r w:rsidR="0025754E" w:rsidRPr="006209D3">
        <w:rPr>
          <w:lang w:val="en-GB"/>
        </w:rPr>
        <w:t xml:space="preserve"> should keep it unchanged and add the WSI sequence that can be easily skipped by the </w:t>
      </w:r>
      <w:r w:rsidR="007134F6">
        <w:rPr>
          <w:lang w:val="en-GB"/>
        </w:rPr>
        <w:t xml:space="preserve">users’ </w:t>
      </w:r>
      <w:r w:rsidR="0025754E" w:rsidRPr="006209D3">
        <w:rPr>
          <w:lang w:val="en-GB"/>
        </w:rPr>
        <w:t xml:space="preserve">operational systems and provide continuity during the </w:t>
      </w:r>
      <w:proofErr w:type="spellStart"/>
      <w:proofErr w:type="gramStart"/>
      <w:r w:rsidR="0025754E" w:rsidRPr="006209D3">
        <w:rPr>
          <w:lang w:val="en-GB"/>
        </w:rPr>
        <w:t>transition</w:t>
      </w:r>
      <w:r w:rsidR="007134F6">
        <w:rPr>
          <w:lang w:val="en-GB"/>
        </w:rPr>
        <w:t>;</w:t>
      </w:r>
      <w:r w:rsidR="006209D3">
        <w:rPr>
          <w:lang w:val="en-GB"/>
        </w:rPr>
        <w:t>new</w:t>
      </w:r>
      <w:proofErr w:type="spellEnd"/>
      <w:proofErr w:type="gramEnd"/>
      <w:r w:rsidR="006209D3">
        <w:rPr>
          <w:lang w:val="en-GB"/>
        </w:rPr>
        <w:t xml:space="preserve"> stations, registered after 1</w:t>
      </w:r>
      <w:r w:rsidR="006209D3" w:rsidRPr="00AC6705">
        <w:rPr>
          <w:vertAlign w:val="superscript"/>
          <w:lang w:val="en-GB"/>
        </w:rPr>
        <w:t>st</w:t>
      </w:r>
      <w:r w:rsidR="006209D3">
        <w:rPr>
          <w:lang w:val="en-GB"/>
        </w:rPr>
        <w:t xml:space="preserve"> July 2016, having only WSI should set TSI BUFR descriptors to missing and add a valid WSI.</w:t>
      </w:r>
      <w:r w:rsidR="004E7E92">
        <w:rPr>
          <w:lang w:val="en-GB"/>
        </w:rPr>
        <w:t xml:space="preserve"> </w:t>
      </w:r>
    </w:p>
    <w:p w14:paraId="2A271542" w14:textId="21DD8F0C" w:rsidR="006209D3" w:rsidRDefault="006209D3" w:rsidP="006209D3">
      <w:pPr>
        <w:rPr>
          <w:lang w:val="en-GB"/>
        </w:rPr>
      </w:pPr>
    </w:p>
    <w:p w14:paraId="71131488" w14:textId="77777777" w:rsidR="0080612C" w:rsidRDefault="00913F32" w:rsidP="0080612C">
      <w:pPr>
        <w:rPr>
          <w:lang w:val="en-GB"/>
        </w:rPr>
      </w:pPr>
      <w:r>
        <w:rPr>
          <w:lang w:val="en-GB"/>
        </w:rPr>
        <w:t>As a consequence of the above, the</w:t>
      </w:r>
      <w:r w:rsidR="007134F6">
        <w:rPr>
          <w:lang w:val="en-GB"/>
        </w:rPr>
        <w:t xml:space="preserve"> current situation on GTS is that there is a number of stations providing BUFR data with both WSI and TSI (WSI+TSI data) and an </w:t>
      </w:r>
      <w:r>
        <w:rPr>
          <w:lang w:val="en-GB"/>
        </w:rPr>
        <w:t xml:space="preserve">increasing number of </w:t>
      </w:r>
      <w:r w:rsidR="007134F6">
        <w:rPr>
          <w:lang w:val="en-GB"/>
        </w:rPr>
        <w:t xml:space="preserve">new </w:t>
      </w:r>
      <w:r>
        <w:rPr>
          <w:lang w:val="en-GB"/>
        </w:rPr>
        <w:t>stations sending data only with the WSI</w:t>
      </w:r>
      <w:r w:rsidR="007134F6">
        <w:rPr>
          <w:lang w:val="en-GB"/>
        </w:rPr>
        <w:t xml:space="preserve"> (WSI-only data). While the WSI+TSI data should not be of concern for operational processing, the WSI-only data require significant changes in the software stack to be processed. </w:t>
      </w:r>
    </w:p>
    <w:p w14:paraId="4BC59168" w14:textId="3C7330A9" w:rsidR="006209D3" w:rsidRPr="0080612C" w:rsidRDefault="006209D3" w:rsidP="004467EC">
      <w:pPr>
        <w:rPr>
          <w:lang w:val="en-CH"/>
        </w:rPr>
      </w:pPr>
    </w:p>
    <w:p w14:paraId="59A64D24" w14:textId="77777777" w:rsidR="00A70600" w:rsidRPr="006209D3" w:rsidRDefault="00A70600" w:rsidP="00C80E9B">
      <w:pPr>
        <w:rPr>
          <w:lang w:val="en-GB"/>
        </w:rPr>
      </w:pPr>
    </w:p>
    <w:p w14:paraId="168EABC5" w14:textId="32B4DC56" w:rsidR="00CC7541" w:rsidRDefault="00251CCE" w:rsidP="00C80E9B">
      <w:pPr>
        <w:rPr>
          <w:lang w:val="en-GB"/>
        </w:rPr>
      </w:pPr>
      <w:r>
        <w:rPr>
          <w:lang w:val="en-GB"/>
        </w:rPr>
        <w:t xml:space="preserve">The stations </w:t>
      </w:r>
      <w:hyperlink r:id="rId14" w:history="1">
        <w:r w:rsidR="00AA5176" w:rsidRPr="00AA5176">
          <w:rPr>
            <w:rStyle w:val="Hyperlink"/>
            <w:lang w:val="en-GB"/>
          </w:rPr>
          <w:t>listed here</w:t>
        </w:r>
      </w:hyperlink>
      <w:r>
        <w:rPr>
          <w:lang w:val="en-GB"/>
        </w:rPr>
        <w:t xml:space="preserve"> provide BUFR data on GTS with both WSI and TSI (WSI+TSI data).</w:t>
      </w:r>
    </w:p>
    <w:p w14:paraId="478B37A9" w14:textId="2086726E" w:rsidR="00CC7541" w:rsidRDefault="00251CCE" w:rsidP="00C80E9B">
      <w:pPr>
        <w:rPr>
          <w:lang w:val="en-GB"/>
        </w:rPr>
      </w:pPr>
      <w:r>
        <w:rPr>
          <w:lang w:val="en-GB"/>
        </w:rPr>
        <w:t xml:space="preserve">The stations </w:t>
      </w:r>
      <w:hyperlink r:id="rId15" w:history="1">
        <w:r w:rsidR="00AA5176" w:rsidRPr="00AA5176">
          <w:rPr>
            <w:rStyle w:val="Hyperlink"/>
            <w:lang w:val="en-GB"/>
          </w:rPr>
          <w:t>listed here</w:t>
        </w:r>
      </w:hyperlink>
      <w:r w:rsidR="00AA5176">
        <w:rPr>
          <w:lang w:val="en-GB"/>
        </w:rPr>
        <w:t xml:space="preserve"> </w:t>
      </w:r>
      <w:r>
        <w:rPr>
          <w:lang w:val="en-GB"/>
        </w:rPr>
        <w:t>provide BUFR data on GTS with WSI only (WSI-only data)</w:t>
      </w:r>
      <w:r w:rsidR="00A70600">
        <w:rPr>
          <w:lang w:val="en-GB"/>
        </w:rPr>
        <w:t>.</w:t>
      </w:r>
    </w:p>
    <w:p w14:paraId="5F8E7C9B" w14:textId="784F29E3" w:rsidR="00CC7541" w:rsidRDefault="00CC7541" w:rsidP="00C80E9B">
      <w:pPr>
        <w:rPr>
          <w:lang w:val="en-GB"/>
        </w:rPr>
      </w:pPr>
    </w:p>
    <w:p w14:paraId="01F9993F" w14:textId="1B51C5EC" w:rsidR="00BF0B0A" w:rsidRPr="00CA5606" w:rsidRDefault="00251CCE" w:rsidP="00BF0B0A">
      <w:pPr>
        <w:rPr>
          <w:rFonts w:ascii="Times New Roman" w:eastAsia="Times New Roman" w:hAnsi="Times New Roman" w:cs="Times New Roman"/>
          <w:lang w:val="en-GB" w:eastAsia="en-GB"/>
        </w:rPr>
      </w:pPr>
      <w:r>
        <w:rPr>
          <w:lang w:val="en-GB"/>
        </w:rPr>
        <w:lastRenderedPageBreak/>
        <w:t xml:space="preserve">The following questions aim to assess your </w:t>
      </w:r>
      <w:proofErr w:type="spellStart"/>
      <w:r>
        <w:rPr>
          <w:lang w:val="en-GB"/>
        </w:rPr>
        <w:t>center's</w:t>
      </w:r>
      <w:proofErr w:type="spellEnd"/>
      <w:r>
        <w:rPr>
          <w:lang w:val="en-GB"/>
        </w:rPr>
        <w:t xml:space="preserve"> preparedness and plans on the processing of WSI+TSI and WSI-only data. </w:t>
      </w:r>
      <w:r w:rsidR="00BF0B0A" w:rsidRPr="0080612C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CH" w:eastAsia="en-GB"/>
        </w:rPr>
        <w:t>Centers not ready to process WSI data can still make use of the TSI headers included in the WSI+TSI BUFR. This however limits them to the available data from stations</w:t>
      </w:r>
      <w:r w:rsidR="00BF0B0A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GB" w:eastAsia="en-GB"/>
        </w:rPr>
        <w:t xml:space="preserve"> </w:t>
      </w:r>
      <w:r w:rsidR="00BF0B0A" w:rsidRPr="0080612C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CH" w:eastAsia="en-GB"/>
        </w:rPr>
        <w:t xml:space="preserve">as of 2016. The increasing number of available stations and new observations will only be </w:t>
      </w:r>
      <w:r w:rsidR="00F10F12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GB" w:eastAsia="en-GB"/>
        </w:rPr>
        <w:t>used</w:t>
      </w:r>
      <w:r w:rsidR="00BF0B0A" w:rsidRPr="0080612C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CH" w:eastAsia="en-GB"/>
        </w:rPr>
        <w:t xml:space="preserve"> when WSI data can be processed</w:t>
      </w:r>
      <w:r w:rsidR="00BF0B0A">
        <w:rPr>
          <w:rFonts w:ascii="Segoe UI" w:eastAsia="Times New Roman" w:hAnsi="Segoe UI" w:cs="Segoe UI"/>
          <w:color w:val="000000"/>
          <w:sz w:val="22"/>
          <w:szCs w:val="22"/>
          <w:shd w:val="clear" w:color="auto" w:fill="FFFFFF"/>
          <w:lang w:val="en-GB" w:eastAsia="en-GB"/>
        </w:rPr>
        <w:t>.</w:t>
      </w:r>
    </w:p>
    <w:p w14:paraId="1006D2AB" w14:textId="5F78ABE0" w:rsidR="00CC7541" w:rsidRPr="00103D24" w:rsidRDefault="00CC7541" w:rsidP="00C80E9B">
      <w:pPr>
        <w:rPr>
          <w:lang w:val="en-GB"/>
        </w:rPr>
      </w:pPr>
    </w:p>
    <w:p w14:paraId="554082BD" w14:textId="77777777" w:rsidR="00600E72" w:rsidRDefault="00600E72" w:rsidP="00C80E9B"/>
    <w:p w14:paraId="2AAF4322" w14:textId="28FB8C42" w:rsidR="00C80E9B" w:rsidRDefault="00251CCE" w:rsidP="00C80E9B">
      <w:pPr>
        <w:rPr>
          <w:lang w:val="en-GB"/>
        </w:rPr>
      </w:pPr>
      <w:r>
        <w:rPr>
          <w:lang w:val="en-GB"/>
        </w:rPr>
        <w:t xml:space="preserve"> </w:t>
      </w:r>
    </w:p>
    <w:p w14:paraId="19D202D8" w14:textId="28C3DF6D" w:rsidR="00944292" w:rsidRDefault="00944292" w:rsidP="00C80E9B">
      <w:pPr>
        <w:rPr>
          <w:lang w:val="en-GB"/>
        </w:rPr>
      </w:pPr>
    </w:p>
    <w:p w14:paraId="7D5F32F5" w14:textId="77777777" w:rsidR="00944292" w:rsidRPr="00944292" w:rsidRDefault="00944292" w:rsidP="00C80E9B">
      <w:pPr>
        <w:rPr>
          <w:lang w:val="en-GB"/>
        </w:rPr>
      </w:pPr>
    </w:p>
    <w:p w14:paraId="1640535F" w14:textId="2E74479A" w:rsidR="00C80E9B" w:rsidRDefault="00C80E9B" w:rsidP="00C80E9B"/>
    <w:p w14:paraId="3DEBAB4C" w14:textId="77777777" w:rsidR="00CC7541" w:rsidRPr="00C80E9B" w:rsidRDefault="00CC7541" w:rsidP="00C80E9B"/>
    <w:p w14:paraId="58D71BC1" w14:textId="34B47235" w:rsidR="00A70600" w:rsidRDefault="00251CCE">
      <w:pPr>
        <w:rPr>
          <w:lang w:val="en-GB"/>
        </w:rPr>
      </w:pPr>
      <w:r>
        <w:rPr>
          <w:lang w:val="en-GB"/>
        </w:rPr>
        <w:br w:type="page"/>
      </w:r>
    </w:p>
    <w:p w14:paraId="622CDDC6" w14:textId="3EE1A7F1" w:rsidR="00C80E9B" w:rsidRDefault="00251CCE" w:rsidP="00C80E9B">
      <w:pPr>
        <w:pStyle w:val="Heading1"/>
        <w:rPr>
          <w:lang w:val="en-GB"/>
        </w:rPr>
      </w:pPr>
      <w:r>
        <w:rPr>
          <w:lang w:val="en-GB"/>
        </w:rPr>
        <w:lastRenderedPageBreak/>
        <w:t>Questions</w:t>
      </w:r>
    </w:p>
    <w:p w14:paraId="71F49533" w14:textId="4F0CBEC3" w:rsidR="00AA5176" w:rsidRDefault="00AA5176" w:rsidP="00AA5176">
      <w:pPr>
        <w:rPr>
          <w:lang w:val="en-GB"/>
        </w:rPr>
      </w:pPr>
    </w:p>
    <w:p w14:paraId="36FF14C9" w14:textId="12C53DA2" w:rsidR="00AA5176" w:rsidRDefault="00251CCE" w:rsidP="00AA5176">
      <w:pPr>
        <w:rPr>
          <w:lang w:val="en-GB"/>
        </w:rPr>
      </w:pPr>
      <w:r>
        <w:rPr>
          <w:lang w:val="en-GB"/>
        </w:rPr>
        <w:t>Please answer the following questions focusing only on the NWP applications and, in particular, your data acquisition, pre-processing, and data assimilation software.</w:t>
      </w:r>
    </w:p>
    <w:p w14:paraId="4C1BA862" w14:textId="4F665788" w:rsidR="00AA5176" w:rsidRDefault="00251CCE" w:rsidP="00AA5176">
      <w:pPr>
        <w:pStyle w:val="ListParagraph"/>
        <w:numPr>
          <w:ilvl w:val="0"/>
          <w:numId w:val="2"/>
        </w:numPr>
        <w:rPr>
          <w:lang w:val="en-GB"/>
        </w:rPr>
      </w:pPr>
      <w:r w:rsidRPr="2FEB4138">
        <w:rPr>
          <w:lang w:val="en-GB"/>
        </w:rPr>
        <w:t>Is your software stack ready to process WSI+TSI BUFR data?</w:t>
      </w:r>
    </w:p>
    <w:p w14:paraId="3B87C34D" w14:textId="39164713" w:rsidR="00AA5176" w:rsidRDefault="00251CCE" w:rsidP="00AA51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Have you started to adapt your software stack to process WSI+TSI BUFR data?</w:t>
      </w:r>
    </w:p>
    <w:p w14:paraId="26B173B4" w14:textId="1079E5F3" w:rsidR="00EF5A2B" w:rsidRPr="00EF5A2B" w:rsidRDefault="00EF5A2B" w:rsidP="00EF5A2B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When is your software stack planned to be ready to process WSI</w:t>
      </w:r>
      <w:r>
        <w:rPr>
          <w:lang w:val="en-GB"/>
        </w:rPr>
        <w:t>+TSI</w:t>
      </w:r>
      <w:r w:rsidRPr="4B87B5E2">
        <w:rPr>
          <w:lang w:val="en-GB"/>
        </w:rPr>
        <w:t xml:space="preserve"> BUFR data?</w:t>
      </w:r>
    </w:p>
    <w:p w14:paraId="3BED6A9A" w14:textId="5C952418" w:rsidR="00AA5176" w:rsidRDefault="00251CCE" w:rsidP="00AA517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Which components of your software stack are not able to process WSI+TSI BUFR data?</w:t>
      </w:r>
    </w:p>
    <w:p w14:paraId="040B33CF" w14:textId="3E928B10" w:rsidR="00AA5176" w:rsidRPr="005C62EA" w:rsidRDefault="7D9ECFAD" w:rsidP="7EDC0C94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7EDC0C94">
        <w:rPr>
          <w:lang w:val="en-GB"/>
        </w:rPr>
        <w:t xml:space="preserve">Is your software stack ready to process WSI-only BUFR data? </w:t>
      </w:r>
    </w:p>
    <w:p w14:paraId="516EF28C" w14:textId="7BA31AEE" w:rsidR="00AA5176" w:rsidRPr="005C62EA" w:rsidRDefault="00A15392" w:rsidP="5E07BC81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5E07BC81">
        <w:rPr>
          <w:lang w:val="en-GB"/>
        </w:rPr>
        <w:t xml:space="preserve">Have you started to adapt your software stack to process WSI-only BUFR data? </w:t>
      </w:r>
    </w:p>
    <w:p w14:paraId="6096898E" w14:textId="301A56D7" w:rsidR="00AA5176" w:rsidRPr="005C62EA" w:rsidRDefault="58170886" w:rsidP="005C62EA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 xml:space="preserve">When </w:t>
      </w:r>
      <w:r w:rsidR="41B29538" w:rsidRPr="4B87B5E2">
        <w:rPr>
          <w:lang w:val="en-GB"/>
        </w:rPr>
        <w:t xml:space="preserve">is </w:t>
      </w:r>
      <w:r w:rsidRPr="4B87B5E2">
        <w:rPr>
          <w:lang w:val="en-GB"/>
        </w:rPr>
        <w:t xml:space="preserve">your software stack </w:t>
      </w:r>
      <w:r w:rsidR="41B29538" w:rsidRPr="4B87B5E2">
        <w:rPr>
          <w:lang w:val="en-GB"/>
        </w:rPr>
        <w:t>planned to be ready to process WSI-only BUFR data?</w:t>
      </w:r>
    </w:p>
    <w:p w14:paraId="47AAEB3B" w14:textId="4238E7FB" w:rsidR="005C62EA" w:rsidRDefault="58170886" w:rsidP="005C62EA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Which components of your software stack are not able to process WSI-only BUFR data?</w:t>
      </w:r>
    </w:p>
    <w:p w14:paraId="474EB6AB" w14:textId="77777777" w:rsidR="00AA5176" w:rsidRPr="00AA5176" w:rsidRDefault="00AA5176" w:rsidP="00AA5176">
      <w:pPr>
        <w:rPr>
          <w:lang w:val="en-GB"/>
        </w:rPr>
      </w:pPr>
    </w:p>
    <w:p w14:paraId="217CC96F" w14:textId="11EAE470" w:rsidR="00A70600" w:rsidRDefault="004B1515" w:rsidP="00AA5176">
      <w:pPr>
        <w:rPr>
          <w:lang w:val="en-GB"/>
        </w:rPr>
      </w:pPr>
      <w:r w:rsidRPr="5E07BC81">
        <w:rPr>
          <w:lang w:val="en-GB"/>
        </w:rPr>
        <w:t xml:space="preserve">Please answer the following questions focusing only on </w:t>
      </w:r>
      <w:r w:rsidR="00251CCE" w:rsidRPr="5E07BC81">
        <w:rPr>
          <w:lang w:val="en-GB"/>
        </w:rPr>
        <w:t>Nowcasting applications</w:t>
      </w:r>
      <w:r w:rsidRPr="5E07BC81">
        <w:rPr>
          <w:lang w:val="en-GB"/>
        </w:rPr>
        <w:t xml:space="preserve"> </w:t>
      </w:r>
      <w:proofErr w:type="spellStart"/>
      <w:r w:rsidRPr="5E07BC81">
        <w:rPr>
          <w:lang w:val="en-GB"/>
        </w:rPr>
        <w:t>applications</w:t>
      </w:r>
      <w:proofErr w:type="spellEnd"/>
      <w:r w:rsidRPr="5E07BC81">
        <w:rPr>
          <w:lang w:val="en-GB"/>
        </w:rPr>
        <w:t>, including required databases.</w:t>
      </w:r>
    </w:p>
    <w:p w14:paraId="4695DC53" w14:textId="77777777" w:rsidR="00EC5A58" w:rsidRDefault="0E1C9757" w:rsidP="004B1515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Is your software stack ready to process WSI+TSI BUFR data?</w:t>
      </w:r>
    </w:p>
    <w:p w14:paraId="7E3226DA" w14:textId="77777777" w:rsidR="00EC5A58" w:rsidRDefault="0E1C9757" w:rsidP="004B1515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Have you started to adapt your software stack to process WSI+TSI BUFR data?</w:t>
      </w:r>
    </w:p>
    <w:p w14:paraId="63A0BA03" w14:textId="77777777" w:rsidR="00EF5A2B" w:rsidRPr="00EF5A2B" w:rsidRDefault="00EF5A2B" w:rsidP="00EF5A2B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When is your software stack planned to be ready to process WSI</w:t>
      </w:r>
      <w:r>
        <w:rPr>
          <w:lang w:val="en-GB"/>
        </w:rPr>
        <w:t>+TSI</w:t>
      </w:r>
      <w:r w:rsidRPr="4B87B5E2">
        <w:rPr>
          <w:lang w:val="en-GB"/>
        </w:rPr>
        <w:t xml:space="preserve"> BUFR data?</w:t>
      </w:r>
    </w:p>
    <w:p w14:paraId="280CFEB3" w14:textId="77777777" w:rsidR="00EF5A2B" w:rsidRDefault="00EF5A2B" w:rsidP="00EF5A2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Which components of your software stack are not able to process WSI+TSI BUFR data?</w:t>
      </w:r>
    </w:p>
    <w:p w14:paraId="1593EB4D" w14:textId="77777777" w:rsidR="00EF5A2B" w:rsidRPr="005C62EA" w:rsidRDefault="00EF5A2B" w:rsidP="00EF5A2B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7EDC0C94">
        <w:rPr>
          <w:lang w:val="en-GB"/>
        </w:rPr>
        <w:t xml:space="preserve">Is your software stack ready to process WSI-only BUFR data? </w:t>
      </w:r>
    </w:p>
    <w:p w14:paraId="66B6AD61" w14:textId="77777777" w:rsidR="00EF5A2B" w:rsidRPr="005C62EA" w:rsidRDefault="00EF5A2B" w:rsidP="00EF5A2B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5E07BC81">
        <w:rPr>
          <w:lang w:val="en-GB"/>
        </w:rPr>
        <w:t xml:space="preserve">Have you started to adapt your software stack to process WSI-only BUFR data? </w:t>
      </w:r>
    </w:p>
    <w:p w14:paraId="09265C3A" w14:textId="77777777" w:rsidR="00EF5A2B" w:rsidRPr="005C62EA" w:rsidRDefault="00EF5A2B" w:rsidP="00EF5A2B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When is your software stack planned to be ready to process WSI-only BUFR data?</w:t>
      </w:r>
    </w:p>
    <w:p w14:paraId="1FACC575" w14:textId="77777777" w:rsidR="00EF5A2B" w:rsidRDefault="00EF5A2B" w:rsidP="00EF5A2B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Which components of your software stack are not able to process WSI-only BUFR data?</w:t>
      </w:r>
    </w:p>
    <w:p w14:paraId="563EB482" w14:textId="3E9FCDBF" w:rsidR="00AA5176" w:rsidRDefault="00AA5176" w:rsidP="00AA5176">
      <w:pPr>
        <w:rPr>
          <w:lang w:val="en-GB"/>
        </w:rPr>
      </w:pPr>
    </w:p>
    <w:p w14:paraId="48A8216B" w14:textId="33E7CD12" w:rsidR="00AA5176" w:rsidRDefault="004B1515" w:rsidP="00AA5176">
      <w:pPr>
        <w:rPr>
          <w:lang w:val="en-GB"/>
        </w:rPr>
      </w:pPr>
      <w:r>
        <w:rPr>
          <w:lang w:val="en-GB"/>
        </w:rPr>
        <w:t>Please answer the following questions focusing only on o</w:t>
      </w:r>
      <w:r w:rsidR="00251CCE">
        <w:rPr>
          <w:lang w:val="en-GB"/>
        </w:rPr>
        <w:t>perational databases</w:t>
      </w:r>
      <w:r>
        <w:rPr>
          <w:lang w:val="en-GB"/>
        </w:rPr>
        <w:t xml:space="preserve"> for various purposes not related to the previous questions.</w:t>
      </w:r>
    </w:p>
    <w:p w14:paraId="12D573EB" w14:textId="77777777" w:rsidR="00DA4717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Is your software stack ready to process WSI+TSI BUFR data?</w:t>
      </w:r>
    </w:p>
    <w:p w14:paraId="21CCBFB6" w14:textId="77777777" w:rsidR="00DA4717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Have you started to adapt your software stack to process WSI+TSI BUFR data?</w:t>
      </w:r>
    </w:p>
    <w:p w14:paraId="46E36B94" w14:textId="77777777" w:rsidR="00DA4717" w:rsidRPr="00EF5A2B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When is your software stack planned to be ready to process WSI</w:t>
      </w:r>
      <w:r>
        <w:rPr>
          <w:lang w:val="en-GB"/>
        </w:rPr>
        <w:t>+TSI</w:t>
      </w:r>
      <w:r w:rsidRPr="4B87B5E2">
        <w:rPr>
          <w:lang w:val="en-GB"/>
        </w:rPr>
        <w:t xml:space="preserve"> BUFR data?</w:t>
      </w:r>
    </w:p>
    <w:p w14:paraId="1DA2EB07" w14:textId="77777777" w:rsidR="00DA4717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Which components of your software stack are not able to process WSI+TSI BUFR data?</w:t>
      </w:r>
    </w:p>
    <w:p w14:paraId="0E1F325B" w14:textId="77777777" w:rsidR="00DA4717" w:rsidRPr="005C62EA" w:rsidRDefault="00DA4717" w:rsidP="00DA471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7EDC0C94">
        <w:rPr>
          <w:lang w:val="en-GB"/>
        </w:rPr>
        <w:t xml:space="preserve">Is your software stack ready to process WSI-only BUFR data? </w:t>
      </w:r>
    </w:p>
    <w:p w14:paraId="5DDB731F" w14:textId="77777777" w:rsidR="00DA4717" w:rsidRPr="005C62EA" w:rsidRDefault="00DA4717" w:rsidP="00DA471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5E07BC81">
        <w:rPr>
          <w:lang w:val="en-GB"/>
        </w:rPr>
        <w:t xml:space="preserve">Have you started to adapt your software stack to process WSI-only BUFR data? </w:t>
      </w:r>
    </w:p>
    <w:p w14:paraId="46DC5097" w14:textId="77777777" w:rsidR="00DA4717" w:rsidRPr="005C62EA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When is your software stack planned to be ready to process WSI-only BUFR data?</w:t>
      </w:r>
    </w:p>
    <w:p w14:paraId="626C4A2B" w14:textId="14DB3DF8" w:rsidR="00AA5176" w:rsidRPr="00DA4717" w:rsidRDefault="00DA4717" w:rsidP="00AA5176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Which components of your software stack are not able to process WSI-only BUFR data?</w:t>
      </w:r>
    </w:p>
    <w:p w14:paraId="3DA5DCA5" w14:textId="1F0E6F4C" w:rsidR="00AA5176" w:rsidRDefault="00AA5176" w:rsidP="00AA5176">
      <w:pPr>
        <w:rPr>
          <w:lang w:val="en-GB"/>
        </w:rPr>
      </w:pPr>
    </w:p>
    <w:p w14:paraId="07D089C9" w14:textId="312C0887" w:rsidR="00AA5176" w:rsidRDefault="004B1515" w:rsidP="00AA5176">
      <w:pPr>
        <w:rPr>
          <w:lang w:val="en-GB"/>
        </w:rPr>
      </w:pPr>
      <w:r w:rsidRPr="5E07BC81">
        <w:rPr>
          <w:lang w:val="en-GB"/>
        </w:rPr>
        <w:t xml:space="preserve">Please answer the following questions focusing only on </w:t>
      </w:r>
      <w:r w:rsidR="5CE2A2E8" w:rsidRPr="5E07BC81">
        <w:rPr>
          <w:lang w:val="en-GB"/>
        </w:rPr>
        <w:t xml:space="preserve">applications for various purposes like </w:t>
      </w:r>
      <w:r w:rsidRPr="5E07BC81">
        <w:rPr>
          <w:lang w:val="en-GB"/>
        </w:rPr>
        <w:t xml:space="preserve">graphical and web </w:t>
      </w:r>
      <w:r w:rsidR="004467EC" w:rsidRPr="5E07BC81">
        <w:rPr>
          <w:lang w:val="en-GB"/>
        </w:rPr>
        <w:t>applications not</w:t>
      </w:r>
      <w:r w:rsidRPr="5E07BC81">
        <w:rPr>
          <w:lang w:val="en-GB"/>
        </w:rPr>
        <w:t xml:space="preserve"> related to the previous questions.</w:t>
      </w:r>
    </w:p>
    <w:p w14:paraId="3358A942" w14:textId="77777777" w:rsidR="00DA4717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Is your software stack ready to process WSI+TSI BUFR data?</w:t>
      </w:r>
    </w:p>
    <w:p w14:paraId="6B621DB8" w14:textId="77777777" w:rsidR="00DA4717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Have you started to adapt your software stack to process WSI+TSI BUFR data?</w:t>
      </w:r>
    </w:p>
    <w:p w14:paraId="2E1B0665" w14:textId="77777777" w:rsidR="00DA4717" w:rsidRPr="00EF5A2B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When is your software stack planned to be ready to process WSI</w:t>
      </w:r>
      <w:r>
        <w:rPr>
          <w:lang w:val="en-GB"/>
        </w:rPr>
        <w:t>+TSI</w:t>
      </w:r>
      <w:r w:rsidRPr="4B87B5E2">
        <w:rPr>
          <w:lang w:val="en-GB"/>
        </w:rPr>
        <w:t xml:space="preserve"> BUFR data?</w:t>
      </w:r>
    </w:p>
    <w:p w14:paraId="5DD10F8E" w14:textId="77777777" w:rsidR="00DA4717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Which components of your software stack are not able to process WSI+TSI BUFR data?</w:t>
      </w:r>
    </w:p>
    <w:p w14:paraId="384EA3A3" w14:textId="77777777" w:rsidR="00DA4717" w:rsidRPr="005C62EA" w:rsidRDefault="00DA4717" w:rsidP="00DA471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7EDC0C94">
        <w:rPr>
          <w:lang w:val="en-GB"/>
        </w:rPr>
        <w:t xml:space="preserve">Is your software stack ready to process WSI-only BUFR data? </w:t>
      </w:r>
    </w:p>
    <w:p w14:paraId="3BE87104" w14:textId="77777777" w:rsidR="00DA4717" w:rsidRPr="005C62EA" w:rsidRDefault="00DA4717" w:rsidP="00DA471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5E07BC81">
        <w:rPr>
          <w:lang w:val="en-GB"/>
        </w:rPr>
        <w:t xml:space="preserve">Have you started to adapt your software stack to process WSI-only BUFR data? </w:t>
      </w:r>
    </w:p>
    <w:p w14:paraId="5F448742" w14:textId="77777777" w:rsidR="00DA4717" w:rsidRPr="005C62EA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When is your software stack planned to be ready to process WSI-only BUFR data?</w:t>
      </w:r>
    </w:p>
    <w:p w14:paraId="6305E2E4" w14:textId="77777777" w:rsidR="00DA4717" w:rsidRDefault="00DA4717" w:rsidP="00DA4717">
      <w:pPr>
        <w:pStyle w:val="ListParagraph"/>
        <w:numPr>
          <w:ilvl w:val="0"/>
          <w:numId w:val="2"/>
        </w:numPr>
        <w:rPr>
          <w:lang w:val="en-GB"/>
        </w:rPr>
      </w:pPr>
      <w:r w:rsidRPr="4B87B5E2">
        <w:rPr>
          <w:lang w:val="en-GB"/>
        </w:rPr>
        <w:t>Which components of your software stack are not able to process WSI-only BUFR data?</w:t>
      </w:r>
    </w:p>
    <w:p w14:paraId="36D97FD5" w14:textId="5109EC1D" w:rsidR="00AA5176" w:rsidRDefault="00AA5176" w:rsidP="00AA5176">
      <w:pPr>
        <w:rPr>
          <w:lang w:val="en-GB"/>
        </w:rPr>
      </w:pPr>
    </w:p>
    <w:p w14:paraId="04B3F74B" w14:textId="77777777" w:rsidR="00AA5176" w:rsidRPr="00AA5176" w:rsidRDefault="00AA5176" w:rsidP="00AA5176">
      <w:pPr>
        <w:rPr>
          <w:lang w:val="en-GB"/>
        </w:rPr>
      </w:pPr>
    </w:p>
    <w:sectPr w:rsidR="00AA5176" w:rsidRPr="00AA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nrico Fucile" w:date="2020-12-22T11:21:00Z" w:initials="EF">
    <w:p w14:paraId="113EE17D" w14:textId="77777777" w:rsidR="00600E72" w:rsidRPr="00600E72" w:rsidRDefault="00251CC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Reference to API needed here</w:t>
      </w:r>
    </w:p>
  </w:comment>
  <w:comment w:id="1" w:author="Enrico Fucile" w:date="2020-12-22T11:35:00Z" w:initials="EF">
    <w:p w14:paraId="06F55B63" w14:textId="77777777" w:rsidR="00CC7541" w:rsidRPr="00CC7541" w:rsidRDefault="00251CC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Add ref to circular letter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3EE17D" w15:done="0"/>
  <w15:commentEx w15:paraId="06F55B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C553B" w16cex:dateUtc="2020-12-22T10:21:00Z"/>
  <w16cex:commentExtensible w16cex:durableId="238C5891" w16cex:dateUtc="2020-12-22T1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3EE17D" w16cid:durableId="238C553B"/>
  <w16cid:commentId w16cid:paraId="06F55B63" w16cid:durableId="238C58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E5F16"/>
    <w:multiLevelType w:val="hybridMultilevel"/>
    <w:tmpl w:val="63EE081A"/>
    <w:lvl w:ilvl="0" w:tplc="F6A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ACC42" w:tentative="1">
      <w:start w:val="1"/>
      <w:numFmt w:val="lowerLetter"/>
      <w:lvlText w:val="%2."/>
      <w:lvlJc w:val="left"/>
      <w:pPr>
        <w:ind w:left="1440" w:hanging="360"/>
      </w:pPr>
    </w:lvl>
    <w:lvl w:ilvl="2" w:tplc="8DBE42C2" w:tentative="1">
      <w:start w:val="1"/>
      <w:numFmt w:val="lowerRoman"/>
      <w:lvlText w:val="%3."/>
      <w:lvlJc w:val="right"/>
      <w:pPr>
        <w:ind w:left="2160" w:hanging="180"/>
      </w:pPr>
    </w:lvl>
    <w:lvl w:ilvl="3" w:tplc="89F62DA6" w:tentative="1">
      <w:start w:val="1"/>
      <w:numFmt w:val="decimal"/>
      <w:lvlText w:val="%4."/>
      <w:lvlJc w:val="left"/>
      <w:pPr>
        <w:ind w:left="2880" w:hanging="360"/>
      </w:pPr>
    </w:lvl>
    <w:lvl w:ilvl="4" w:tplc="AB0C6424" w:tentative="1">
      <w:start w:val="1"/>
      <w:numFmt w:val="lowerLetter"/>
      <w:lvlText w:val="%5."/>
      <w:lvlJc w:val="left"/>
      <w:pPr>
        <w:ind w:left="3600" w:hanging="360"/>
      </w:pPr>
    </w:lvl>
    <w:lvl w:ilvl="5" w:tplc="44AE58F0" w:tentative="1">
      <w:start w:val="1"/>
      <w:numFmt w:val="lowerRoman"/>
      <w:lvlText w:val="%6."/>
      <w:lvlJc w:val="right"/>
      <w:pPr>
        <w:ind w:left="4320" w:hanging="180"/>
      </w:pPr>
    </w:lvl>
    <w:lvl w:ilvl="6" w:tplc="85DEF92C" w:tentative="1">
      <w:start w:val="1"/>
      <w:numFmt w:val="decimal"/>
      <w:lvlText w:val="%7."/>
      <w:lvlJc w:val="left"/>
      <w:pPr>
        <w:ind w:left="5040" w:hanging="360"/>
      </w:pPr>
    </w:lvl>
    <w:lvl w:ilvl="7" w:tplc="BCD25F16" w:tentative="1">
      <w:start w:val="1"/>
      <w:numFmt w:val="lowerLetter"/>
      <w:lvlText w:val="%8."/>
      <w:lvlJc w:val="left"/>
      <w:pPr>
        <w:ind w:left="5760" w:hanging="360"/>
      </w:pPr>
    </w:lvl>
    <w:lvl w:ilvl="8" w:tplc="22EE6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2475B"/>
    <w:multiLevelType w:val="hybridMultilevel"/>
    <w:tmpl w:val="DED4F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B7AC6"/>
    <w:multiLevelType w:val="hybridMultilevel"/>
    <w:tmpl w:val="63EE081A"/>
    <w:lvl w:ilvl="0" w:tplc="F6A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ACC42" w:tentative="1">
      <w:start w:val="1"/>
      <w:numFmt w:val="lowerLetter"/>
      <w:lvlText w:val="%2."/>
      <w:lvlJc w:val="left"/>
      <w:pPr>
        <w:ind w:left="1440" w:hanging="360"/>
      </w:pPr>
    </w:lvl>
    <w:lvl w:ilvl="2" w:tplc="8DBE42C2" w:tentative="1">
      <w:start w:val="1"/>
      <w:numFmt w:val="lowerRoman"/>
      <w:lvlText w:val="%3."/>
      <w:lvlJc w:val="right"/>
      <w:pPr>
        <w:ind w:left="2160" w:hanging="180"/>
      </w:pPr>
    </w:lvl>
    <w:lvl w:ilvl="3" w:tplc="89F62DA6" w:tentative="1">
      <w:start w:val="1"/>
      <w:numFmt w:val="decimal"/>
      <w:lvlText w:val="%4."/>
      <w:lvlJc w:val="left"/>
      <w:pPr>
        <w:ind w:left="2880" w:hanging="360"/>
      </w:pPr>
    </w:lvl>
    <w:lvl w:ilvl="4" w:tplc="AB0C6424" w:tentative="1">
      <w:start w:val="1"/>
      <w:numFmt w:val="lowerLetter"/>
      <w:lvlText w:val="%5."/>
      <w:lvlJc w:val="left"/>
      <w:pPr>
        <w:ind w:left="3600" w:hanging="360"/>
      </w:pPr>
    </w:lvl>
    <w:lvl w:ilvl="5" w:tplc="44AE58F0" w:tentative="1">
      <w:start w:val="1"/>
      <w:numFmt w:val="lowerRoman"/>
      <w:lvlText w:val="%6."/>
      <w:lvlJc w:val="right"/>
      <w:pPr>
        <w:ind w:left="4320" w:hanging="180"/>
      </w:pPr>
    </w:lvl>
    <w:lvl w:ilvl="6" w:tplc="85DEF92C" w:tentative="1">
      <w:start w:val="1"/>
      <w:numFmt w:val="decimal"/>
      <w:lvlText w:val="%7."/>
      <w:lvlJc w:val="left"/>
      <w:pPr>
        <w:ind w:left="5040" w:hanging="360"/>
      </w:pPr>
    </w:lvl>
    <w:lvl w:ilvl="7" w:tplc="BCD25F16" w:tentative="1">
      <w:start w:val="1"/>
      <w:numFmt w:val="lowerLetter"/>
      <w:lvlText w:val="%8."/>
      <w:lvlJc w:val="left"/>
      <w:pPr>
        <w:ind w:left="5760" w:hanging="360"/>
      </w:pPr>
    </w:lvl>
    <w:lvl w:ilvl="8" w:tplc="22EE6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A5ADC"/>
    <w:multiLevelType w:val="hybridMultilevel"/>
    <w:tmpl w:val="771E32CC"/>
    <w:lvl w:ilvl="0" w:tplc="D4C40F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E1A84"/>
    <w:multiLevelType w:val="hybridMultilevel"/>
    <w:tmpl w:val="E9EA3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01C68"/>
    <w:multiLevelType w:val="hybridMultilevel"/>
    <w:tmpl w:val="E4B0E0F4"/>
    <w:lvl w:ilvl="0" w:tplc="F6A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ACC42" w:tentative="1">
      <w:start w:val="1"/>
      <w:numFmt w:val="lowerLetter"/>
      <w:lvlText w:val="%2."/>
      <w:lvlJc w:val="left"/>
      <w:pPr>
        <w:ind w:left="1440" w:hanging="360"/>
      </w:pPr>
    </w:lvl>
    <w:lvl w:ilvl="2" w:tplc="8DBE42C2" w:tentative="1">
      <w:start w:val="1"/>
      <w:numFmt w:val="lowerRoman"/>
      <w:lvlText w:val="%3."/>
      <w:lvlJc w:val="right"/>
      <w:pPr>
        <w:ind w:left="2160" w:hanging="180"/>
      </w:pPr>
    </w:lvl>
    <w:lvl w:ilvl="3" w:tplc="89F62DA6" w:tentative="1">
      <w:start w:val="1"/>
      <w:numFmt w:val="decimal"/>
      <w:lvlText w:val="%4."/>
      <w:lvlJc w:val="left"/>
      <w:pPr>
        <w:ind w:left="2880" w:hanging="360"/>
      </w:pPr>
    </w:lvl>
    <w:lvl w:ilvl="4" w:tplc="AB0C6424" w:tentative="1">
      <w:start w:val="1"/>
      <w:numFmt w:val="lowerLetter"/>
      <w:lvlText w:val="%5."/>
      <w:lvlJc w:val="left"/>
      <w:pPr>
        <w:ind w:left="3600" w:hanging="360"/>
      </w:pPr>
    </w:lvl>
    <w:lvl w:ilvl="5" w:tplc="44AE58F0" w:tentative="1">
      <w:start w:val="1"/>
      <w:numFmt w:val="lowerRoman"/>
      <w:lvlText w:val="%6."/>
      <w:lvlJc w:val="right"/>
      <w:pPr>
        <w:ind w:left="4320" w:hanging="180"/>
      </w:pPr>
    </w:lvl>
    <w:lvl w:ilvl="6" w:tplc="85DEF92C" w:tentative="1">
      <w:start w:val="1"/>
      <w:numFmt w:val="decimal"/>
      <w:lvlText w:val="%7."/>
      <w:lvlJc w:val="left"/>
      <w:pPr>
        <w:ind w:left="5040" w:hanging="360"/>
      </w:pPr>
    </w:lvl>
    <w:lvl w:ilvl="7" w:tplc="BCD25F16" w:tentative="1">
      <w:start w:val="1"/>
      <w:numFmt w:val="lowerLetter"/>
      <w:lvlText w:val="%8."/>
      <w:lvlJc w:val="left"/>
      <w:pPr>
        <w:ind w:left="5760" w:hanging="360"/>
      </w:pPr>
    </w:lvl>
    <w:lvl w:ilvl="8" w:tplc="22EE6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B13EE"/>
    <w:multiLevelType w:val="hybridMultilevel"/>
    <w:tmpl w:val="04CECB0A"/>
    <w:lvl w:ilvl="0" w:tplc="DCF2D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9002FE" w:tentative="1">
      <w:start w:val="1"/>
      <w:numFmt w:val="lowerLetter"/>
      <w:lvlText w:val="%2."/>
      <w:lvlJc w:val="left"/>
      <w:pPr>
        <w:ind w:left="1440" w:hanging="360"/>
      </w:pPr>
    </w:lvl>
    <w:lvl w:ilvl="2" w:tplc="1F02EDA0" w:tentative="1">
      <w:start w:val="1"/>
      <w:numFmt w:val="lowerRoman"/>
      <w:lvlText w:val="%3."/>
      <w:lvlJc w:val="right"/>
      <w:pPr>
        <w:ind w:left="2160" w:hanging="180"/>
      </w:pPr>
    </w:lvl>
    <w:lvl w:ilvl="3" w:tplc="C332CA14" w:tentative="1">
      <w:start w:val="1"/>
      <w:numFmt w:val="decimal"/>
      <w:lvlText w:val="%4."/>
      <w:lvlJc w:val="left"/>
      <w:pPr>
        <w:ind w:left="2880" w:hanging="360"/>
      </w:pPr>
    </w:lvl>
    <w:lvl w:ilvl="4" w:tplc="0C46213A" w:tentative="1">
      <w:start w:val="1"/>
      <w:numFmt w:val="lowerLetter"/>
      <w:lvlText w:val="%5."/>
      <w:lvlJc w:val="left"/>
      <w:pPr>
        <w:ind w:left="3600" w:hanging="360"/>
      </w:pPr>
    </w:lvl>
    <w:lvl w:ilvl="5" w:tplc="FADC8434" w:tentative="1">
      <w:start w:val="1"/>
      <w:numFmt w:val="lowerRoman"/>
      <w:lvlText w:val="%6."/>
      <w:lvlJc w:val="right"/>
      <w:pPr>
        <w:ind w:left="4320" w:hanging="180"/>
      </w:pPr>
    </w:lvl>
    <w:lvl w:ilvl="6" w:tplc="3FB68AC0" w:tentative="1">
      <w:start w:val="1"/>
      <w:numFmt w:val="decimal"/>
      <w:lvlText w:val="%7."/>
      <w:lvlJc w:val="left"/>
      <w:pPr>
        <w:ind w:left="5040" w:hanging="360"/>
      </w:pPr>
    </w:lvl>
    <w:lvl w:ilvl="7" w:tplc="8E303462" w:tentative="1">
      <w:start w:val="1"/>
      <w:numFmt w:val="lowerLetter"/>
      <w:lvlText w:val="%8."/>
      <w:lvlJc w:val="left"/>
      <w:pPr>
        <w:ind w:left="5760" w:hanging="360"/>
      </w:pPr>
    </w:lvl>
    <w:lvl w:ilvl="8" w:tplc="E0220E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2580F"/>
    <w:multiLevelType w:val="hybridMultilevel"/>
    <w:tmpl w:val="63EE081A"/>
    <w:lvl w:ilvl="0" w:tplc="F6A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ACC42" w:tentative="1">
      <w:start w:val="1"/>
      <w:numFmt w:val="lowerLetter"/>
      <w:lvlText w:val="%2."/>
      <w:lvlJc w:val="left"/>
      <w:pPr>
        <w:ind w:left="1440" w:hanging="360"/>
      </w:pPr>
    </w:lvl>
    <w:lvl w:ilvl="2" w:tplc="8DBE42C2" w:tentative="1">
      <w:start w:val="1"/>
      <w:numFmt w:val="lowerRoman"/>
      <w:lvlText w:val="%3."/>
      <w:lvlJc w:val="right"/>
      <w:pPr>
        <w:ind w:left="2160" w:hanging="180"/>
      </w:pPr>
    </w:lvl>
    <w:lvl w:ilvl="3" w:tplc="89F62DA6" w:tentative="1">
      <w:start w:val="1"/>
      <w:numFmt w:val="decimal"/>
      <w:lvlText w:val="%4."/>
      <w:lvlJc w:val="left"/>
      <w:pPr>
        <w:ind w:left="2880" w:hanging="360"/>
      </w:pPr>
    </w:lvl>
    <w:lvl w:ilvl="4" w:tplc="AB0C6424" w:tentative="1">
      <w:start w:val="1"/>
      <w:numFmt w:val="lowerLetter"/>
      <w:lvlText w:val="%5."/>
      <w:lvlJc w:val="left"/>
      <w:pPr>
        <w:ind w:left="3600" w:hanging="360"/>
      </w:pPr>
    </w:lvl>
    <w:lvl w:ilvl="5" w:tplc="44AE58F0" w:tentative="1">
      <w:start w:val="1"/>
      <w:numFmt w:val="lowerRoman"/>
      <w:lvlText w:val="%6."/>
      <w:lvlJc w:val="right"/>
      <w:pPr>
        <w:ind w:left="4320" w:hanging="180"/>
      </w:pPr>
    </w:lvl>
    <w:lvl w:ilvl="6" w:tplc="85DEF92C" w:tentative="1">
      <w:start w:val="1"/>
      <w:numFmt w:val="decimal"/>
      <w:lvlText w:val="%7."/>
      <w:lvlJc w:val="left"/>
      <w:pPr>
        <w:ind w:left="5040" w:hanging="360"/>
      </w:pPr>
    </w:lvl>
    <w:lvl w:ilvl="7" w:tplc="BCD25F16" w:tentative="1">
      <w:start w:val="1"/>
      <w:numFmt w:val="lowerLetter"/>
      <w:lvlText w:val="%8."/>
      <w:lvlJc w:val="left"/>
      <w:pPr>
        <w:ind w:left="5760" w:hanging="360"/>
      </w:pPr>
    </w:lvl>
    <w:lvl w:ilvl="8" w:tplc="22EE6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E70E1"/>
    <w:multiLevelType w:val="hybridMultilevel"/>
    <w:tmpl w:val="2C5AD240"/>
    <w:lvl w:ilvl="0" w:tplc="F6A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ACC42" w:tentative="1">
      <w:start w:val="1"/>
      <w:numFmt w:val="lowerLetter"/>
      <w:lvlText w:val="%2."/>
      <w:lvlJc w:val="left"/>
      <w:pPr>
        <w:ind w:left="1440" w:hanging="360"/>
      </w:pPr>
    </w:lvl>
    <w:lvl w:ilvl="2" w:tplc="8DBE42C2" w:tentative="1">
      <w:start w:val="1"/>
      <w:numFmt w:val="lowerRoman"/>
      <w:lvlText w:val="%3."/>
      <w:lvlJc w:val="right"/>
      <w:pPr>
        <w:ind w:left="2160" w:hanging="180"/>
      </w:pPr>
    </w:lvl>
    <w:lvl w:ilvl="3" w:tplc="89F62DA6" w:tentative="1">
      <w:start w:val="1"/>
      <w:numFmt w:val="decimal"/>
      <w:lvlText w:val="%4."/>
      <w:lvlJc w:val="left"/>
      <w:pPr>
        <w:ind w:left="2880" w:hanging="360"/>
      </w:pPr>
    </w:lvl>
    <w:lvl w:ilvl="4" w:tplc="AB0C6424" w:tentative="1">
      <w:start w:val="1"/>
      <w:numFmt w:val="lowerLetter"/>
      <w:lvlText w:val="%5."/>
      <w:lvlJc w:val="left"/>
      <w:pPr>
        <w:ind w:left="3600" w:hanging="360"/>
      </w:pPr>
    </w:lvl>
    <w:lvl w:ilvl="5" w:tplc="44AE58F0" w:tentative="1">
      <w:start w:val="1"/>
      <w:numFmt w:val="lowerRoman"/>
      <w:lvlText w:val="%6."/>
      <w:lvlJc w:val="right"/>
      <w:pPr>
        <w:ind w:left="4320" w:hanging="180"/>
      </w:pPr>
    </w:lvl>
    <w:lvl w:ilvl="6" w:tplc="85DEF92C" w:tentative="1">
      <w:start w:val="1"/>
      <w:numFmt w:val="decimal"/>
      <w:lvlText w:val="%7."/>
      <w:lvlJc w:val="left"/>
      <w:pPr>
        <w:ind w:left="5040" w:hanging="360"/>
      </w:pPr>
    </w:lvl>
    <w:lvl w:ilvl="7" w:tplc="BCD25F16" w:tentative="1">
      <w:start w:val="1"/>
      <w:numFmt w:val="lowerLetter"/>
      <w:lvlText w:val="%8."/>
      <w:lvlJc w:val="left"/>
      <w:pPr>
        <w:ind w:left="5760" w:hanging="360"/>
      </w:pPr>
    </w:lvl>
    <w:lvl w:ilvl="8" w:tplc="22EE6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A43E5"/>
    <w:multiLevelType w:val="hybridMultilevel"/>
    <w:tmpl w:val="63EE081A"/>
    <w:lvl w:ilvl="0" w:tplc="F6A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ACC42" w:tentative="1">
      <w:start w:val="1"/>
      <w:numFmt w:val="lowerLetter"/>
      <w:lvlText w:val="%2."/>
      <w:lvlJc w:val="left"/>
      <w:pPr>
        <w:ind w:left="1440" w:hanging="360"/>
      </w:pPr>
    </w:lvl>
    <w:lvl w:ilvl="2" w:tplc="8DBE42C2" w:tentative="1">
      <w:start w:val="1"/>
      <w:numFmt w:val="lowerRoman"/>
      <w:lvlText w:val="%3."/>
      <w:lvlJc w:val="right"/>
      <w:pPr>
        <w:ind w:left="2160" w:hanging="180"/>
      </w:pPr>
    </w:lvl>
    <w:lvl w:ilvl="3" w:tplc="89F62DA6" w:tentative="1">
      <w:start w:val="1"/>
      <w:numFmt w:val="decimal"/>
      <w:lvlText w:val="%4."/>
      <w:lvlJc w:val="left"/>
      <w:pPr>
        <w:ind w:left="2880" w:hanging="360"/>
      </w:pPr>
    </w:lvl>
    <w:lvl w:ilvl="4" w:tplc="AB0C6424" w:tentative="1">
      <w:start w:val="1"/>
      <w:numFmt w:val="lowerLetter"/>
      <w:lvlText w:val="%5."/>
      <w:lvlJc w:val="left"/>
      <w:pPr>
        <w:ind w:left="3600" w:hanging="360"/>
      </w:pPr>
    </w:lvl>
    <w:lvl w:ilvl="5" w:tplc="44AE58F0" w:tentative="1">
      <w:start w:val="1"/>
      <w:numFmt w:val="lowerRoman"/>
      <w:lvlText w:val="%6."/>
      <w:lvlJc w:val="right"/>
      <w:pPr>
        <w:ind w:left="4320" w:hanging="180"/>
      </w:pPr>
    </w:lvl>
    <w:lvl w:ilvl="6" w:tplc="85DEF92C" w:tentative="1">
      <w:start w:val="1"/>
      <w:numFmt w:val="decimal"/>
      <w:lvlText w:val="%7."/>
      <w:lvlJc w:val="left"/>
      <w:pPr>
        <w:ind w:left="5040" w:hanging="360"/>
      </w:pPr>
    </w:lvl>
    <w:lvl w:ilvl="7" w:tplc="BCD25F16" w:tentative="1">
      <w:start w:val="1"/>
      <w:numFmt w:val="lowerLetter"/>
      <w:lvlText w:val="%8."/>
      <w:lvlJc w:val="left"/>
      <w:pPr>
        <w:ind w:left="5760" w:hanging="360"/>
      </w:pPr>
    </w:lvl>
    <w:lvl w:ilvl="8" w:tplc="22EE67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E74AD"/>
    <w:multiLevelType w:val="hybridMultilevel"/>
    <w:tmpl w:val="E150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D2B48"/>
    <w:multiLevelType w:val="hybridMultilevel"/>
    <w:tmpl w:val="F52424B8"/>
    <w:lvl w:ilvl="0" w:tplc="F6AA8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ACC42" w:tentative="1">
      <w:start w:val="1"/>
      <w:numFmt w:val="lowerLetter"/>
      <w:lvlText w:val="%2."/>
      <w:lvlJc w:val="left"/>
      <w:pPr>
        <w:ind w:left="1440" w:hanging="360"/>
      </w:pPr>
    </w:lvl>
    <w:lvl w:ilvl="2" w:tplc="8DBE42C2" w:tentative="1">
      <w:start w:val="1"/>
      <w:numFmt w:val="lowerRoman"/>
      <w:lvlText w:val="%3."/>
      <w:lvlJc w:val="right"/>
      <w:pPr>
        <w:ind w:left="2160" w:hanging="180"/>
      </w:pPr>
    </w:lvl>
    <w:lvl w:ilvl="3" w:tplc="89F62DA6" w:tentative="1">
      <w:start w:val="1"/>
      <w:numFmt w:val="decimal"/>
      <w:lvlText w:val="%4."/>
      <w:lvlJc w:val="left"/>
      <w:pPr>
        <w:ind w:left="2880" w:hanging="360"/>
      </w:pPr>
    </w:lvl>
    <w:lvl w:ilvl="4" w:tplc="AB0C6424" w:tentative="1">
      <w:start w:val="1"/>
      <w:numFmt w:val="lowerLetter"/>
      <w:lvlText w:val="%5."/>
      <w:lvlJc w:val="left"/>
      <w:pPr>
        <w:ind w:left="3600" w:hanging="360"/>
      </w:pPr>
    </w:lvl>
    <w:lvl w:ilvl="5" w:tplc="44AE58F0" w:tentative="1">
      <w:start w:val="1"/>
      <w:numFmt w:val="lowerRoman"/>
      <w:lvlText w:val="%6."/>
      <w:lvlJc w:val="right"/>
      <w:pPr>
        <w:ind w:left="4320" w:hanging="180"/>
      </w:pPr>
    </w:lvl>
    <w:lvl w:ilvl="6" w:tplc="85DEF92C" w:tentative="1">
      <w:start w:val="1"/>
      <w:numFmt w:val="decimal"/>
      <w:lvlText w:val="%7."/>
      <w:lvlJc w:val="left"/>
      <w:pPr>
        <w:ind w:left="5040" w:hanging="360"/>
      </w:pPr>
    </w:lvl>
    <w:lvl w:ilvl="7" w:tplc="BCD25F16" w:tentative="1">
      <w:start w:val="1"/>
      <w:numFmt w:val="lowerLetter"/>
      <w:lvlText w:val="%8."/>
      <w:lvlJc w:val="left"/>
      <w:pPr>
        <w:ind w:left="5760" w:hanging="360"/>
      </w:pPr>
    </w:lvl>
    <w:lvl w:ilvl="8" w:tplc="22EE67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nrico Fucile">
    <w15:presenceInfo w15:providerId="AD" w15:userId="S::efucile@wmo.int::aae30d23-3053-4ce3-8068-8cf790f9f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9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9B"/>
    <w:rsid w:val="00103D24"/>
    <w:rsid w:val="001E27DC"/>
    <w:rsid w:val="00236C4E"/>
    <w:rsid w:val="00251CCE"/>
    <w:rsid w:val="0025754E"/>
    <w:rsid w:val="002F66BE"/>
    <w:rsid w:val="003D47E8"/>
    <w:rsid w:val="004151D2"/>
    <w:rsid w:val="004157A7"/>
    <w:rsid w:val="00445425"/>
    <w:rsid w:val="004467EC"/>
    <w:rsid w:val="004B1515"/>
    <w:rsid w:val="004B341B"/>
    <w:rsid w:val="004B537A"/>
    <w:rsid w:val="004E7E92"/>
    <w:rsid w:val="0051515D"/>
    <w:rsid w:val="005C626B"/>
    <w:rsid w:val="005C62EA"/>
    <w:rsid w:val="005E67F0"/>
    <w:rsid w:val="00600E72"/>
    <w:rsid w:val="006209D3"/>
    <w:rsid w:val="007134F6"/>
    <w:rsid w:val="0080612C"/>
    <w:rsid w:val="00862933"/>
    <w:rsid w:val="008672FD"/>
    <w:rsid w:val="00913F32"/>
    <w:rsid w:val="00944292"/>
    <w:rsid w:val="00973F47"/>
    <w:rsid w:val="00A15392"/>
    <w:rsid w:val="00A70600"/>
    <w:rsid w:val="00AA5176"/>
    <w:rsid w:val="00AC6705"/>
    <w:rsid w:val="00B61D9E"/>
    <w:rsid w:val="00BA683B"/>
    <w:rsid w:val="00BF0B0A"/>
    <w:rsid w:val="00C15D74"/>
    <w:rsid w:val="00C80E9B"/>
    <w:rsid w:val="00C86226"/>
    <w:rsid w:val="00CC7541"/>
    <w:rsid w:val="00DA4717"/>
    <w:rsid w:val="00E43489"/>
    <w:rsid w:val="00EC5A58"/>
    <w:rsid w:val="00EF5A2B"/>
    <w:rsid w:val="00F10F12"/>
    <w:rsid w:val="043E040C"/>
    <w:rsid w:val="0693CEBD"/>
    <w:rsid w:val="0A941D33"/>
    <w:rsid w:val="0E1C9757"/>
    <w:rsid w:val="0E5C2897"/>
    <w:rsid w:val="1569A0C6"/>
    <w:rsid w:val="1582C923"/>
    <w:rsid w:val="158F5145"/>
    <w:rsid w:val="16A9C7EA"/>
    <w:rsid w:val="18A14188"/>
    <w:rsid w:val="18C6F207"/>
    <w:rsid w:val="1B12BD5C"/>
    <w:rsid w:val="2C96E1AC"/>
    <w:rsid w:val="2ECA80C3"/>
    <w:rsid w:val="2FEB4138"/>
    <w:rsid w:val="3142E9D7"/>
    <w:rsid w:val="41B29538"/>
    <w:rsid w:val="436E48BF"/>
    <w:rsid w:val="47074F57"/>
    <w:rsid w:val="4B87B5E2"/>
    <w:rsid w:val="4F834745"/>
    <w:rsid w:val="5367A42C"/>
    <w:rsid w:val="58170886"/>
    <w:rsid w:val="5BF32C7A"/>
    <w:rsid w:val="5CE2A2E8"/>
    <w:rsid w:val="5D286F36"/>
    <w:rsid w:val="5E07BC81"/>
    <w:rsid w:val="6165A089"/>
    <w:rsid w:val="62E7B5C6"/>
    <w:rsid w:val="6C756FAF"/>
    <w:rsid w:val="70DAC9D4"/>
    <w:rsid w:val="751BD50A"/>
    <w:rsid w:val="76B7A56B"/>
    <w:rsid w:val="77C00FDC"/>
    <w:rsid w:val="788068E7"/>
    <w:rsid w:val="794F581B"/>
    <w:rsid w:val="795BE03D"/>
    <w:rsid w:val="7D9ECFAD"/>
    <w:rsid w:val="7E2F5160"/>
    <w:rsid w:val="7ED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07366"/>
  <w15:chartTrackingRefBased/>
  <w15:docId w15:val="{1E823E5B-9618-4938-A8F8-8A19F1A0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E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0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0E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0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E7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00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E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E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E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E72"/>
    <w:rPr>
      <w:b/>
      <w:bCs/>
      <w:sz w:val="20"/>
      <w:szCs w:val="20"/>
    </w:rPr>
  </w:style>
  <w:style w:type="paragraph" w:customStyle="1" w:styleId="msonormal0">
    <w:name w:val="msonormal"/>
    <w:basedOn w:val="Normal"/>
    <w:rsid w:val="005151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515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13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library.wmo.int/doc_num.php?explnum_id=1004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scar.wmo.int/surface/" TargetMode="External"/><Relationship Id="rId12" Type="http://schemas.openxmlformats.org/officeDocument/2006/relationships/hyperlink" Target="https://library.wmo.int/doc_num.php?explnum_id=10040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ary.wmo.int/doc_num.php?explnum_id=10145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wmo-im/WSI/blob/master/documents/WSI-only_on_GTS.csv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github.com/wmo-im/WSI/blob/master/documents/WSI%2BTSI_on_G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DB58EB-4D31-E241-B7A6-50328E91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Fucile</dc:creator>
  <cp:keywords/>
  <cp:lastModifiedBy>Enrico Fucile</cp:lastModifiedBy>
  <cp:revision>3</cp:revision>
  <dcterms:created xsi:type="dcterms:W3CDTF">2021-01-15T10:16:00Z</dcterms:created>
  <dcterms:modified xsi:type="dcterms:W3CDTF">2021-01-15T10:18:00Z</dcterms:modified>
</cp:coreProperties>
</file>