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serves as a companion specification to the</w:t>
      </w:r>
      <w:r>
        <w:t xml:space="preserve"> </w:t>
      </w:r>
      <w:r>
        <w:rPr>
          <w:iCs/>
          <w:i/>
        </w:rPr>
        <w:t xml:space="preserve">Climate Data Management System Specifications</w:t>
      </w:r>
      <w:r>
        <w:t xml:space="preserve"> </w:t>
      </w:r>
      <w:r>
        <w:t xml:space="preserve">(WMO-No. 1131, 2025 Edition), published by the World Meteorological Organization (WMO). WMO-No. 1131 provides a</w:t>
      </w:r>
      <w:r>
        <w:t xml:space="preserve"> </w:t>
      </w:r>
      <w:r>
        <w:t xml:space="preserve">foundational framework for Climate Data Management Systems (CDMS), detailing essential components, governance</w:t>
      </w:r>
      <w:r>
        <w:t xml:space="preserve"> </w:t>
      </w:r>
      <w:r>
        <w:t xml:space="preserve">principles, and operational guidelines using classifications of "Required," "Recommended," or "Optional."</w:t>
      </w:r>
    </w:p>
    <w:p>
      <w:pPr>
        <w:pStyle w:val="BodyText"/>
      </w:pPr>
      <w:r>
        <w:t xml:space="preserve">This specification translates the framework described in WMO-No. 1131 into concrete functional and non-functional</w:t>
      </w:r>
      <w:r>
        <w:t xml:space="preserve"> </w:t>
      </w:r>
      <w:r>
        <w:t xml:space="preserve">requirements. The functional and non-functional requirements form a subset of the full specification</w:t>
      </w:r>
      <w:r>
        <w:t xml:space="preserve"> </w:t>
      </w:r>
      <w:r>
        <w:t xml:space="preserve">defined in WMO-No. 1131, focussing on those elements essential for the management of observational data from stations,</w:t>
      </w:r>
      <w:r>
        <w:t xml:space="preserve"> </w:t>
      </w:r>
      <w:r>
        <w:t xml:space="preserve">including the management of the station, sensor and provenance metadata. The functional requirements are expressed as</w:t>
      </w:r>
      <w:r>
        <w:t xml:space="preserve"> </w:t>
      </w:r>
      <w:r>
        <w:t xml:space="preserve">requirements classes following the OGC Modular Specification approach.</w:t>
      </w:r>
    </w:p>
    <w:p>
      <w:pPr>
        <w:pStyle w:val="BodyText"/>
      </w:pPr>
      <w:r>
        <w:t xml:space="preserve">This specification aims to: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Assist Developers and Integrators</w:t>
      </w:r>
      <w:r>
        <w:t xml:space="preserve">: Provide practical, testable requirements and detailed technical considerations</w:t>
      </w:r>
      <w:r>
        <w:t xml:space="preserve"> </w:t>
      </w:r>
      <w:r>
        <w:t xml:space="preserve">for the design, development, and integration of robust and compliant CDMS components and systems.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Empower Users and Assessors</w:t>
      </w:r>
      <w:r>
        <w:t xml:space="preserve">: Establish a comprehensive set of conformance criteria and common understanding to</w:t>
      </w:r>
      <w:r>
        <w:t xml:space="preserve"> </w:t>
      </w:r>
      <w:r>
        <w:t xml:space="preserve">objectively assess the capabilities and compliance of existing, or proposed, CDMS implementations with the essential</w:t>
      </w:r>
      <w:r>
        <w:t xml:space="preserve"> </w:t>
      </w:r>
      <w:r>
        <w:t xml:space="preserve">functionalities described in WMO-No. 1131.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Enable Interoperability</w:t>
      </w:r>
      <w:r>
        <w:t xml:space="preserve">: Define standardized interfaces, data formats, and protocols to facilitate integration</w:t>
      </w:r>
      <w:r>
        <w:t xml:space="preserve"> </w:t>
      </w:r>
      <w:r>
        <w:t xml:space="preserve">between CDMS implementations and external systems within the climate data ecosystem.</w:t>
      </w:r>
    </w:p>
    <w:p>
      <w:pPr>
        <w:pStyle w:val="FirstParagraph"/>
      </w:pPr>
      <w:r>
        <w:t xml:space="preserve">This specification is</w:t>
      </w:r>
      <w:r>
        <w:t xml:space="preserve"> </w:t>
      </w:r>
      <w:r>
        <w:rPr>
          <w:iCs/>
          <w:i/>
        </w:rPr>
        <w:t xml:space="preserve">not intended</w:t>
      </w:r>
      <w:r>
        <w:t xml:space="preserve"> </w:t>
      </w:r>
      <w:r>
        <w:t xml:space="preserve">as a list of requirements that WMO Members SHALL or SHOULD follow.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2"/>
        </w:numPr>
      </w:pPr>
      <w:r>
        <w:t xml:space="preserve">WIS 2.0 nodes for international data exchange</w:t>
      </w:r>
    </w:p>
    <w:p>
      <w:pPr>
        <w:numPr>
          <w:ilvl w:val="0"/>
          <w:numId w:val="1002"/>
        </w:numPr>
      </w:pPr>
      <w:r>
        <w:t xml:space="preserve">Operational meteorological systems (Numerical Weather Prediction, data assimilation)</w:t>
      </w:r>
    </w:p>
    <w:p>
      <w:pPr>
        <w:numPr>
          <w:ilvl w:val="0"/>
          <w:numId w:val="1002"/>
        </w:numPr>
      </w:pPr>
      <w:r>
        <w:t xml:space="preserve">Climate Data Management Systems for quality control, homogenization, and archival</w:t>
      </w:r>
    </w:p>
    <w:p>
      <w:pPr>
        <w:numPr>
          <w:ilvl w:val="0"/>
          <w:numId w:val="1002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2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5943600" cy="2476241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3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3"/>
        </w:numPr>
      </w:pPr>
      <w:r>
        <w:t xml:space="preserve">Real-time data collection and processing systems (DCPS)</w:t>
      </w:r>
    </w:p>
    <w:p>
      <w:pPr>
        <w:numPr>
          <w:ilvl w:val="0"/>
          <w:numId w:val="1003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3"/>
        </w:numPr>
      </w:pPr>
      <w:r>
        <w:t xml:space="preserve">Numerical Weather Prediction and forecasting systems</w:t>
      </w:r>
    </w:p>
    <w:p>
      <w:pPr>
        <w:numPr>
          <w:ilvl w:val="0"/>
          <w:numId w:val="1003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3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4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4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4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4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4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4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4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4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Users</w:t>
      </w:r>
      <w:r>
        <w:t xml:space="preserve">: Climate scientists, data managers, and system operators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5943600" cy="5348024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8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5943600" cy="4357061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operators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9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9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9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measurable, and</w:t>
      </w:r>
      <w:r>
        <w:t xml:space="preserve"> </w:t>
      </w:r>
      <w:r>
        <w:t xml:space="preserve">directly applicable, serving as a valuable reference for both system development and compliance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Homogenization</w:t>
      </w:r>
      <w:r>
        <w:t xml:space="preserve"> </w:t>
      </w:r>
      <w:r>
        <w:t xml:space="preserve">(Recommended): Statistical detection and adjustment of inhomogeneities in climate time series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(Recommended): Interactive visualization, data review, and quality control validation capabilities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46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p>
      <w:pPr>
        <w:pStyle w:val="FirstParagraph"/>
      </w:pPr>
      <w:r>
        <w:t xml:space="preserve">The following documents are referred to in this specification:</w:t>
      </w:r>
    </w:p>
    <w:p>
      <w:pPr>
        <w:pStyle w:val="BodyText"/>
      </w:pPr>
      <w:r>
        <w:t xml:space="preserve">&lt;To follow&gt;</w:t>
      </w:r>
    </w:p>
    <w:bookmarkEnd w:id="46"/>
    <w:bookmarkStart w:id="47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BodyText"/>
      </w:pPr>
      <w:r>
        <w:t xml:space="preserve">&lt;To Follow&gt;</w:t>
      </w:r>
    </w:p>
    <w:bookmarkEnd w:id="47"/>
    <w:bookmarkStart w:id="53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50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48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48"/>
    <w:bookmarkStart w:id="49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/rec/homogenisation/detection</w:t>
      </w:r>
    </w:p>
    <w:p>
      <w:pPr>
        <w:pStyle w:val="FirstParagraph"/>
      </w:pPr>
      <w:r>
        <w:t xml:space="preserve">DB comment: need to check the syntax.</w:t>
      </w:r>
    </w:p>
    <w:bookmarkEnd w:id="49"/>
    <w:bookmarkEnd w:id="50"/>
    <w:bookmarkStart w:id="51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51"/>
    <w:bookmarkStart w:id="52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4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4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52"/>
    <w:bookmarkEnd w:id="53"/>
    <w:bookmarkStart w:id="161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68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54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54"/>
    <w:bookmarkStart w:id="55" w:name="X79f866d3d2046445747e9ac233cd7d7904824ce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Core Data Management as a Required component across all CDMS implementations.</w:t>
      </w:r>
    </w:p>
    <w:p>
      <w:pPr>
        <w:pStyle w:val="BodyText"/>
      </w:pPr>
      <w:r>
        <w:t xml:space="preserve">The Manual on High-quality Global Data Management Framework for Climate (WMO-No. 1238) requires Members to</w:t>
      </w:r>
      <w:r>
        <w:t xml:space="preserve"> </w:t>
      </w:r>
      <w:r>
        <w:t xml:space="preserve">"ensure that Entities establish and document data management capabilities and practices for their climate data"</w:t>
      </w:r>
      <w:r>
        <w:t xml:space="preserve"> </w:t>
      </w:r>
      <w:r>
        <w:t xml:space="preserve">(3.1.1). The framework’s principles mandate "preservation and management of all data and metadata that are used for,</w:t>
      </w:r>
      <w:r>
        <w:t xml:space="preserve"> </w:t>
      </w:r>
      <w:r>
        <w:t xml:space="preserve">or may potentially be useful for, climate studies" (1.1.1(3)). Core capabilities support the FAIR data principles</w:t>
      </w:r>
      <w:r>
        <w:t xml:space="preserve"> </w:t>
      </w:r>
      <w:r>
        <w:t xml:space="preserve">requiring data to be Findable, Accessible, Interoperable and Reusable (3.2).</w:t>
      </w:r>
    </w:p>
    <w:bookmarkEnd w:id="55"/>
    <w:bookmarkStart w:id="67" w:name="X2bc0025fab72aab29d5db6c9d2f296d5366acfb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Requirements</w:t>
      </w:r>
    </w:p>
    <w:bookmarkStart w:id="56" w:name="req_core_data_model"/>
    <w:p>
      <w:pPr>
        <w:pStyle w:val="Heading4"/>
      </w:pPr>
      <w:r>
        <w:rPr>
          <w:rStyle w:val="SectionNumber"/>
        </w:rPr>
        <w:t xml:space="preserve">7.1.3.1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Geographic location of the observation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FirstParagraph"/>
      </w:pPr>
      <w:r>
        <w:t xml:space="preserve">A draft data model &lt;link to wccdm-obs&gt;</w:t>
      </w:r>
    </w:p>
    <w:p>
      <w:pPr>
        <w:pStyle w:val="BodyText"/>
      </w:pPr>
      <w:r>
        <w:t xml:space="preserve">The definition of an observed element requires careful consideration of all dimensions that distinguish</w:t>
      </w:r>
      <w:r>
        <w:t xml:space="preserve"> </w:t>
      </w:r>
      <w:r>
        <w:t xml:space="preserve">one measurement from another, including: measurement type (e.g. temperature, pressure), sensor height or</w:t>
      </w:r>
      <w:r>
        <w:t xml:space="preserve"> </w:t>
      </w:r>
      <w:r>
        <w:t xml:space="preserve">depth, aggregation duration, statistical function (instantaneous, mean, maximum, minimum), and unit of</w:t>
      </w:r>
      <w:r>
        <w:t xml:space="preserve"> </w:t>
      </w:r>
      <w:r>
        <w:t xml:space="preserve">measure. Systems should ensure that element definitions are sufficiently granular to avoid accidental</w:t>
      </w:r>
      <w:r>
        <w:t xml:space="preserve"> </w:t>
      </w:r>
      <w:r>
        <w:t xml:space="preserve">overwriting of observations from different sensors or measurement configurations. Source data provenance</w:t>
      </w:r>
      <w:r>
        <w:t xml:space="preserve"> </w:t>
      </w:r>
      <w:r>
        <w:t xml:space="preserve">(e.g. transmission format or network) should be recorded separately rather than embedded in the element</w:t>
      </w:r>
      <w:r>
        <w:t xml:space="preserve"> </w:t>
      </w:r>
      <w:r>
        <w:t xml:space="preserve">definition.</w:t>
      </w:r>
    </w:p>
    <w:p>
      <w:pPr>
        <w:pStyle w:val="BodyText"/>
      </w:pPr>
      <w:r>
        <w:t xml:space="preserve">This specification focuses primarily on fixed-position stations. Observations from mobile platforms</w:t>
      </w:r>
      <w:r>
        <w:t xml:space="preserve"> </w:t>
      </w:r>
      <w:r>
        <w:t xml:space="preserve">(ships, buoys, radiosondes, aircraft) may be ingested and archived, but specific requirements for</w:t>
      </w:r>
      <w:r>
        <w:t xml:space="preserve"> </w:t>
      </w:r>
      <w:r>
        <w:t xml:space="preserve">real-time tracking or operational processing of mobile platforms are outside the scope of this</w:t>
      </w:r>
      <w:r>
        <w:t xml:space="preserve"> </w:t>
      </w:r>
      <w:r>
        <w:t xml:space="preserve">specification.</w:t>
      </w:r>
    </w:p>
    <w:bookmarkEnd w:id="56"/>
    <w:bookmarkStart w:id="57" w:name="X4a3ac7f317fa0b90f2283bab9d09422f28269a4"/>
    <w:p>
      <w:pPr>
        <w:pStyle w:val="Heading4"/>
      </w:pPr>
      <w:r>
        <w:rPr>
          <w:rStyle w:val="SectionNumber"/>
        </w:rPr>
        <w:t xml:space="preserve">7.1.3.2</w:t>
      </w:r>
      <w:r>
        <w:tab/>
      </w:r>
      <w:r>
        <w:t xml:space="preserve">Reference data</w:t>
      </w:r>
    </w:p>
    <w:p>
      <w:pPr>
        <w:numPr>
          <w:ilvl w:val="0"/>
          <w:numId w:val="1016"/>
        </w:numPr>
      </w:pPr>
      <w:r>
        <w:t xml:space="preserve">To follow</w:t>
      </w:r>
    </w:p>
    <w:bookmarkEnd w:id="57"/>
    <w:bookmarkStart w:id="58" w:name="req_core_storage"/>
    <w:p>
      <w:pPr>
        <w:pStyle w:val="Heading4"/>
      </w:pPr>
      <w:r>
        <w:rPr>
          <w:rStyle w:val="SectionNumber"/>
        </w:rPr>
        <w:t xml:space="preserve">7.1.3.3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58"/>
    <w:bookmarkStart w:id="59" w:name="req_core_obs_retrieval"/>
    <w:p>
      <w:pPr>
        <w:pStyle w:val="Heading4"/>
      </w:pPr>
      <w:r>
        <w:rPr>
          <w:rStyle w:val="SectionNumber"/>
        </w:rPr>
        <w:t xml:space="preserve">7.1.3.4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Quality control status</w:t>
            </w:r>
          </w:p>
        </w:tc>
      </w:tr>
    </w:tbl>
    <w:bookmarkEnd w:id="59"/>
    <w:bookmarkStart w:id="60" w:name="req_core_metadata_storage"/>
    <w:p>
      <w:pPr>
        <w:pStyle w:val="Heading4"/>
      </w:pPr>
      <w:r>
        <w:rPr>
          <w:rStyle w:val="SectionNumber"/>
        </w:rPr>
        <w:t xml:space="preserve">7.1.3.5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</w:tbl>
    <w:p>
      <w:pPr>
        <w:pStyle w:val="BodyText"/>
      </w:pPr>
      <w:r>
        <w:t xml:space="preserve">The WIGOS Metadata Standard provides the core schema for station and sensor metadata. Implementations</w:t>
      </w:r>
      <w:r>
        <w:t xml:space="preserve"> </w:t>
      </w:r>
      <w:r>
        <w:t xml:space="preserve">SHOULD support extensibility mechanisms (such as additional key-value attributes) to accommodate</w:t>
      </w:r>
      <w:r>
        <w:t xml:space="preserve"> </w:t>
      </w:r>
      <w:r>
        <w:t xml:space="preserve">national identifiers, legacy identifiers from predecessor networks, and other metadata fields not</w:t>
      </w:r>
      <w:r>
        <w:t xml:space="preserve"> </w:t>
      </w:r>
      <w:r>
        <w:t xml:space="preserve">covered by the WIGOS standard.</w:t>
      </w:r>
    </w:p>
    <w:bookmarkEnd w:id="60"/>
    <w:bookmarkStart w:id="61" w:name="req_core_metadata_retrieval"/>
    <w:p>
      <w:pPr>
        <w:pStyle w:val="Heading4"/>
      </w:pPr>
      <w:r>
        <w:rPr>
          <w:rStyle w:val="SectionNumber"/>
        </w:rPr>
        <w:t xml:space="preserve">7.1.3.6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61"/>
    <w:bookmarkStart w:id="62" w:name="req_core_metadata_versioning"/>
    <w:p>
      <w:pPr>
        <w:pStyle w:val="Heading4"/>
      </w:pPr>
      <w:r>
        <w:rPr>
          <w:rStyle w:val="SectionNumber"/>
        </w:rPr>
        <w:t xml:space="preserve">7.1.3.7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62"/>
    <w:bookmarkStart w:id="63" w:name="req_core_prov_storage"/>
    <w:p>
      <w:pPr>
        <w:pStyle w:val="Heading4"/>
      </w:pPr>
      <w:r>
        <w:rPr>
          <w:rStyle w:val="SectionNumber"/>
        </w:rPr>
        <w:t xml:space="preserve">7.1.3.8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Homogenisation adjustments (break points detected, adjustment factors applied, reference series used)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63"/>
    <w:bookmarkStart w:id="64" w:name="req_core_prov_retrieval"/>
    <w:p>
      <w:pPr>
        <w:pStyle w:val="Heading4"/>
      </w:pPr>
      <w:r>
        <w:rPr>
          <w:rStyle w:val="SectionNumber"/>
        </w:rPr>
        <w:t xml:space="preserve">7.1.3.9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64"/>
    <w:bookmarkStart w:id="65" w:name="req_core_prov_immutability"/>
    <w:p>
      <w:pPr>
        <w:pStyle w:val="Heading4"/>
      </w:pPr>
      <w:r>
        <w:rPr>
          <w:rStyle w:val="SectionNumber"/>
        </w:rPr>
        <w:t xml:space="preserve">7.1.3.10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65"/>
    <w:bookmarkStart w:id="66" w:name="req_core_batch_processing"/>
    <w:p>
      <w:pPr>
        <w:pStyle w:val="Heading4"/>
      </w:pPr>
      <w:r>
        <w:rPr>
          <w:rStyle w:val="SectionNumber"/>
        </w:rPr>
        <w:t xml:space="preserve">7.1.3.11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66"/>
    <w:bookmarkEnd w:id="67"/>
    <w:bookmarkEnd w:id="68"/>
    <w:bookmarkStart w:id="79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69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automated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</w:p>
    <w:bookmarkEnd w:id="69"/>
    <w:bookmarkStart w:id="70" w:name="X048801a9a7f37a869a937be7be1a8536f7a9ace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Observations Quality Control as Required (Section 5.3), emphasizing that "all data have been</w:t>
      </w:r>
      <w:r>
        <w:t xml:space="preserve"> </w:t>
      </w:r>
      <w:r>
        <w:t xml:space="preserve">checked for accuracy, and that a record is maintained of what checks were performed,</w:t>
      </w:r>
      <w:r>
        <w:t xml:space="preserve"> </w:t>
      </w:r>
      <w:r>
        <w:t xml:space="preserve">the outcome of the checks and when the checks took place."</w:t>
      </w:r>
    </w:p>
    <w:p>
      <w:pPr>
        <w:pStyle w:val="BodyText"/>
      </w:pPr>
      <w:r>
        <w:t xml:space="preserve">WMO-No. 1238 mandates that "Entities apply quality control to all climate datasets under their management and record</w:t>
      </w:r>
      <w:r>
        <w:t xml:space="preserve"> </w:t>
      </w:r>
      <w:r>
        <w:t xml:space="preserve">the result of that quality control in the metadata" (3.3.2.1).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 </w:t>
      </w:r>
      <w:r>
        <w:t xml:space="preserve">(WMO-No. 1269) provide specific methodologies referenced in both documents.</w:t>
      </w:r>
    </w:p>
    <w:bookmarkEnd w:id="70"/>
    <w:bookmarkStart w:id="78" w:name="X44c34f78f3010903e0cad9ff24651292b63a4f6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Requirements</w:t>
      </w:r>
    </w:p>
    <w:bookmarkStart w:id="71" w:name="req_qc_flag_management"/>
    <w:p>
      <w:pPr>
        <w:pStyle w:val="Heading4"/>
      </w:pPr>
      <w:r>
        <w:rPr>
          <w:rStyle w:val="SectionNumber"/>
        </w:rPr>
        <w:t xml:space="preserve">7.2.3.1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>
      <w:pPr>
        <w:pStyle w:val="FirstParagraph"/>
      </w:pPr>
      <w:r>
        <w:t xml:space="preserve">Implementers are encouraged to adopt a published flagging convention to facilitate data exchange and</w:t>
      </w:r>
      <w:r>
        <w:t xml:space="preserve"> </w:t>
      </w:r>
      <w:r>
        <w:t xml:space="preserve">interoperability. WMO-No. 1269 provides guidance on quality flag definitions applicable to long-term</w:t>
      </w:r>
      <w:r>
        <w:t xml:space="preserve"> </w:t>
      </w:r>
      <w:r>
        <w:t xml:space="preserve">observational data.</w:t>
      </w:r>
    </w:p>
    <w:bookmarkEnd w:id="71"/>
    <w:bookmarkStart w:id="72" w:name="req_qc_configuration"/>
    <w:p>
      <w:pPr>
        <w:pStyle w:val="Heading4"/>
      </w:pPr>
      <w:r>
        <w:rPr>
          <w:rStyle w:val="SectionNumber"/>
        </w:rPr>
        <w:t xml:space="preserve">7.2.3.2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bookmarkEnd w:id="72"/>
    <w:bookmarkStart w:id="73" w:name="req_qc_execution"/>
    <w:p>
      <w:pPr>
        <w:pStyle w:val="Heading4"/>
      </w:pPr>
      <w:r>
        <w:rPr>
          <w:rStyle w:val="SectionNumber"/>
        </w:rPr>
        <w:t xml:space="preserve">7.2.3.3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triggering of quality control processing: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On demand by an authorized user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bookmarkEnd w:id="73"/>
    <w:bookmarkStart w:id="74" w:name="req_qc_range_checks"/>
    <w:p>
      <w:pPr>
        <w:pStyle w:val="Heading4"/>
      </w:pPr>
      <w:r>
        <w:rPr>
          <w:rStyle w:val="SectionNumber"/>
        </w:rPr>
        <w:t xml:space="preserve">7.2.3.4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Gross error limits (physically impossible values)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Climatological based range checks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bookmarkEnd w:id="74"/>
    <w:bookmarkStart w:id="75" w:name="req_qc_temporal_consistency"/>
    <w:p>
      <w:pPr>
        <w:pStyle w:val="Heading4"/>
      </w:pPr>
      <w:r>
        <w:rPr>
          <w:rStyle w:val="SectionNumber"/>
        </w:rPr>
        <w:t xml:space="preserve">7.2.3.5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75"/>
    <w:bookmarkStart w:id="76" w:name="req_qc_spatial_consistency"/>
    <w:p>
      <w:pPr>
        <w:pStyle w:val="Heading4"/>
      </w:pPr>
      <w:r>
        <w:rPr>
          <w:rStyle w:val="SectionNumber"/>
        </w:rPr>
        <w:t xml:space="preserve">7.2.3.6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Comparison with neighbouring stations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Spatial regression tests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Buddy checks using configurable distance and elevation thresholds</w:t>
            </w:r>
          </w:p>
        </w:tc>
      </w:tr>
    </w:tbl>
    <w:bookmarkEnd w:id="76"/>
    <w:bookmarkStart w:id="77" w:name="req_qc_internal_consistency"/>
    <w:p>
      <w:pPr>
        <w:pStyle w:val="Heading4"/>
      </w:pPr>
      <w:r>
        <w:rPr>
          <w:rStyle w:val="SectionNumber"/>
        </w:rPr>
        <w:t xml:space="preserve">7.2.3.7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p>
      <w:pPr>
        <w:pStyle w:val="BodyText"/>
      </w:pPr>
      <w:r>
        <w:t xml:space="preserve">Some internal consistency checks may also be applied within Data Collection and Processing Systems</w:t>
      </w:r>
      <w:r>
        <w:t xml:space="preserve"> </w:t>
      </w:r>
      <w:r>
        <w:t xml:space="preserve">(DCPS) during real-time processing. The CDMS applies these checks in the context of quality assurance</w:t>
      </w:r>
      <w:r>
        <w:t xml:space="preserve"> </w:t>
      </w:r>
      <w:r>
        <w:t xml:space="preserve">for long-term observational records, where access to full station metadata and the complete observation</w:t>
      </w:r>
      <w:r>
        <w:t xml:space="preserve"> </w:t>
      </w:r>
      <w:r>
        <w:t xml:space="preserve">history allows for more thorough validation than is typically possible in real-time operational systems.</w:t>
      </w:r>
    </w:p>
    <w:bookmarkEnd w:id="77"/>
    <w:bookmarkEnd w:id="78"/>
    <w:bookmarkEnd w:id="79"/>
    <w:bookmarkStart w:id="92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0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observational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bookmarkEnd w:id="80"/>
    <w:bookmarkStart w:id="81" w:name="Xef06279e67305b8c3da3de792d40570d11333ab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Data Ingest as a Required capability (Section 5.1.1), stating systems must handle</w:t>
      </w:r>
      <w:r>
        <w:t xml:space="preserve"> </w:t>
      </w:r>
      <w:r>
        <w:t xml:space="preserve">"WMO messages, vector, raster array, ASCII and other formats" with "business rules, status logging,</w:t>
      </w:r>
      <w:r>
        <w:t xml:space="preserve"> </w:t>
      </w:r>
      <w:r>
        <w:t xml:space="preserve">automated self-recovery and transformation." This specification restricts the scope of data ingestion to</w:t>
      </w:r>
      <w:r>
        <w:t xml:space="preserve"> </w:t>
      </w:r>
      <w:r>
        <w:t xml:space="preserve">observational (in-situ) data formats; raster and gridded data ingestion is outside the scope of this specification.</w:t>
      </w:r>
    </w:p>
    <w:p>
      <w:pPr>
        <w:pStyle w:val="BodyText"/>
      </w:pPr>
      <w:r>
        <w:t xml:space="preserve">WMO-No. 1238 requires Members ensure "Entities encode data, and associated metadata, intended for international exchange</w:t>
      </w:r>
      <w:r>
        <w:t xml:space="preserve"> </w:t>
      </w:r>
      <w:r>
        <w:t xml:space="preserve">following the standards specified in the Manual on Codes (WMO-No. 306)" (3.2.2.1).</w:t>
      </w:r>
    </w:p>
    <w:bookmarkEnd w:id="81"/>
    <w:bookmarkStart w:id="91" w:name="X27e1c48849ca496b9dc62f8c326abac9eb85d2a"/>
    <w:p>
      <w:pPr>
        <w:pStyle w:val="Heading3"/>
      </w:pPr>
      <w:r>
        <w:rPr>
          <w:rStyle w:val="SectionNumber"/>
        </w:rPr>
        <w:t xml:space="preserve">7.3.3</w:t>
      </w:r>
      <w:r>
        <w:tab/>
      </w:r>
      <w:r>
        <w:t xml:space="preserve">Requirements</w:t>
      </w:r>
    </w:p>
    <w:bookmarkStart w:id="82" w:name="req_ingest_automated_collection"/>
    <w:p>
      <w:pPr>
        <w:pStyle w:val="Heading4"/>
      </w:pPr>
      <w:r>
        <w:rPr>
          <w:rStyle w:val="SectionNumber"/>
        </w:rPr>
        <w:t xml:space="preserve">7.3.3.1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FTP and SFTP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Graceful handling of temporarily unavailable sources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82"/>
    <w:bookmarkStart w:id="83" w:name="req_ingest_collection_monitoring"/>
    <w:p>
      <w:pPr>
        <w:pStyle w:val="Heading4"/>
      </w:pPr>
      <w:r>
        <w:rPr>
          <w:rStyle w:val="SectionNumber"/>
        </w:rPr>
        <w:t xml:space="preserve">7.3.3.2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Alert generation when expected data does not arrive within defined time windows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83"/>
    <w:bookmarkStart w:id="84" w:name="req_ingest_acquisition"/>
    <w:p>
      <w:pPr>
        <w:pStyle w:val="Heading4"/>
      </w:pPr>
      <w:r>
        <w:rPr>
          <w:rStyle w:val="SectionNumber"/>
        </w:rPr>
        <w:t xml:space="preserve">7.3.3.3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Web-based file upload interface with drag-and-drop support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84"/>
    <w:bookmarkStart w:id="85" w:name="req_ingest_formats"/>
    <w:p>
      <w:pPr>
        <w:pStyle w:val="Heading4"/>
      </w:pPr>
      <w:r>
        <w:rPr>
          <w:rStyle w:val="SectionNumber"/>
        </w:rPr>
        <w:t xml:space="preserve">7.3.3.4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BUFR (Binary Universal Form for the Representation of meteorological data)</w:t>
            </w:r>
            <w:r>
              <w:t xml:space="preserve">: WMO standard binary format as specified in WMO Manual on Codes (WMO-No. 306), Volume I.2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other code forms as specified in WMO Manual on Codes</w:t>
            </w:r>
          </w:p>
        </w:tc>
      </w:tr>
    </w:tbl>
    <w:p>
      <w:pPr>
        <w:pStyle w:val="FirstParagraph"/>
      </w:pPr>
      <w:r>
        <w:t xml:space="preserve">Implementations should document which BUFR message types and WMO code forms are supported. At minimum,</w:t>
      </w:r>
      <w:r>
        <w:t xml:space="preserve"> </w:t>
      </w:r>
      <w:r>
        <w:t xml:space="preserve">support for FM-12 SYNOP, CLIMAT, and DAYCLI message types is recommended for ingestion of</w:t>
      </w:r>
      <w:r>
        <w:t xml:space="preserve"> </w:t>
      </w:r>
      <w:r>
        <w:t xml:space="preserve">observational and monthly summary data. The Manual on Codes (WMO-No. 306) defines the complete set of</w:t>
      </w:r>
      <w:r>
        <w:t xml:space="preserve"> </w:t>
      </w:r>
      <w:r>
        <w:t xml:space="preserve">applicable message types.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implementations should adopt or reference a specific schema or</w:t>
      </w:r>
      <w:r>
        <w:t xml:space="preserve"> </w:t>
      </w:r>
      <w:r>
        <w:t xml:space="preserve">profile rather than providing generic format support, as the absence of a defined structure makes</w:t>
      </w:r>
      <w:r>
        <w:t xml:space="preserve"> </w:t>
      </w:r>
      <w:r>
        <w:t xml:space="preserve">generic readers impractical. Support for additional historical or legacy formats may be required based</w:t>
      </w:r>
      <w:r>
        <w:t xml:space="preserve"> </w:t>
      </w:r>
      <w:r>
        <w:t xml:space="preserve">on 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85"/>
    <w:bookmarkStart w:id="86" w:name="req_ingest_format_validation"/>
    <w:p>
      <w:pPr>
        <w:pStyle w:val="Heading4"/>
      </w:pPr>
      <w:r>
        <w:rPr>
          <w:rStyle w:val="SectionNumber"/>
        </w:rPr>
        <w:t xml:space="preserve">7.3.3.5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Rejection at the finest possible granularity: individual elements where the format supports it,</w:t>
            </w:r>
            <w:r>
              <w:t xml:space="preserve"> </w:t>
            </w:r>
            <w:r>
              <w:t xml:space="preserve">individual records where element-level rejection is not possible, or the entire file only where</w:t>
            </w:r>
            <w:r>
              <w:t xml:space="preserve"> </w:t>
            </w:r>
            <w:r>
              <w:t xml:space="preserve">record-level rejection is not feasible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>
      <w:pPr>
        <w:pStyle w:val="FirstParagraph"/>
      </w:pPr>
      <w:r>
        <w:t xml:space="preserve">The value range plausibility check in Statement A is a lightweight gate applied at ingestion time</w:t>
      </w:r>
      <w:r>
        <w:t xml:space="preserve"> </w:t>
      </w:r>
      <w:r>
        <w:t xml:space="preserve">to catch obviously erroneous values (e.g., temperature of 9999°C) before data enters storage. It</w:t>
      </w:r>
      <w:r>
        <w:t xml:space="preserve"> </w:t>
      </w:r>
      <w:r>
        <w:t xml:space="preserve">is not a substitute for the full quality control checks defined in /req/quality-control, which are</w:t>
      </w:r>
      <w:r>
        <w:t xml:space="preserve"> </w:t>
      </w:r>
      <w:r>
        <w:t xml:space="preserve">applied after ingestion using complete station metadata, climatological context, and inter-element</w:t>
      </w:r>
      <w:r>
        <w:t xml:space="preserve"> </w:t>
      </w:r>
      <w:r>
        <w:t xml:space="preserve">relationships. Data that passes ingestion validation but fails full QC will be stored with</w:t>
      </w:r>
      <w:r>
        <w:t xml:space="preserve"> </w:t>
      </w:r>
      <w:r>
        <w:t xml:space="preserve">appropriate quality flags rather than rejected at the ingestion boundary.</w:t>
      </w:r>
    </w:p>
    <w:bookmarkEnd w:id="86"/>
    <w:bookmarkStart w:id="87" w:name="req_ingest_normalisation"/>
    <w:p>
      <w:pPr>
        <w:pStyle w:val="Heading4"/>
      </w:pPr>
      <w:r>
        <w:rPr>
          <w:rStyle w:val="SectionNumber"/>
        </w:rPr>
        <w:t xml:space="preserve">7.3.3.6</w:t>
      </w:r>
      <w:r>
        <w:tab/>
      </w:r>
      <w:r>
        <w:t xml:space="preserve">Data Normalisation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/req/data-ingestion/normalization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The normalization approach described here — converting all ingested data to a common internal</w:t>
      </w:r>
      <w:r>
        <w:t xml:space="preserve"> </w:t>
      </w:r>
      <w:r>
        <w:t xml:space="preserve">representation — is one valid architectural pattern. Implementations that store data in source formats</w:t>
      </w:r>
      <w:r>
        <w:t xml:space="preserve"> </w:t>
      </w:r>
      <w:r>
        <w:t xml:space="preserve">with format-specific adapters for API access are also conformant, provided that equivalent provenance</w:t>
      </w:r>
      <w:r>
        <w:t xml:space="preserve"> </w:t>
      </w:r>
      <w:r>
        <w:t xml:space="preserve">and retrieval capabilities are met.</w:t>
      </w:r>
    </w:p>
    <w:p>
      <w:pPr>
        <w:pStyle w:val="BodyText"/>
      </w:pPr>
      <w:r>
        <w:t xml:space="preserve">Note that WMO BUFR parameter codes do not cover all observable elements. Implementations should</w:t>
      </w:r>
      <w:r>
        <w:t xml:space="preserve"> </w:t>
      </w:r>
      <w:r>
        <w:t xml:space="preserve">document the controlled vocabulary used for element codes and provide mappings for any elements not</w:t>
      </w:r>
      <w:r>
        <w:t xml:space="preserve"> </w:t>
      </w:r>
      <w:r>
        <w:t xml:space="preserve">covered by the BUFR code tables.</w:t>
      </w:r>
    </w:p>
    <w:bookmarkEnd w:id="87"/>
    <w:bookmarkStart w:id="88" w:name="req_ingest_duplicate_detection"/>
    <w:p>
      <w:pPr>
        <w:pStyle w:val="Heading4"/>
      </w:pPr>
      <w:r>
        <w:rPr>
          <w:rStyle w:val="SectionNumber"/>
        </w:rPr>
        <w:t xml:space="preserve">7.3.3.7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88"/>
    <w:bookmarkStart w:id="89" w:name="req_ingest_character_set"/>
    <w:p>
      <w:pPr>
        <w:pStyle w:val="Heading4"/>
      </w:pPr>
      <w:r>
        <w:rPr>
          <w:rStyle w:val="SectionNumber"/>
        </w:rPr>
        <w:t xml:space="preserve">7.3.3.8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89"/>
    <w:bookmarkStart w:id="90" w:name="X2ee50565509593889a08e90bf0b30e0e76a6bb7"/>
    <w:p>
      <w:pPr>
        <w:pStyle w:val="Heading4"/>
      </w:pPr>
      <w:r>
        <w:rPr>
          <w:rStyle w:val="SectionNumber"/>
        </w:rPr>
        <w:t xml:space="preserve">7.3.3.9</w:t>
      </w:r>
      <w:r>
        <w:tab/>
      </w:r>
      <w:r>
        <w:t xml:space="preserve">Calculation of derived parameters</w:t>
      </w:r>
    </w:p>
    <w:p>
      <w:pPr>
        <w:pStyle w:val="FirstParagraph"/>
      </w:pPr>
      <w:r>
        <w:t xml:space="preserve">Requirements for the calculation of derived parameters are addressed in the Climate Products</w:t>
      </w:r>
      <w:r>
        <w:t xml:space="preserve"> </w:t>
      </w:r>
      <w:r>
        <w:t xml:space="preserve">requirements class: aggregated summary statistics (daily minima/maxima, monthly totals, period means)</w:t>
      </w:r>
      <w:r>
        <w:t xml:space="preserve"> </w:t>
      </w:r>
      <w:r>
        <w:t xml:space="preserve">and climate normals in /req/climate-products/statistics and /req/climate-products/normals; indices</w:t>
      </w:r>
      <w:r>
        <w:t xml:space="preserve"> </w:t>
      </w:r>
      <w:r>
        <w:t xml:space="preserve">such as SPI and CLIMDEX in /rec/climate-products/indices. Scheduling and automation of these</w:t>
      </w:r>
      <w:r>
        <w:t xml:space="preserve"> </w:t>
      </w:r>
      <w:r>
        <w:t xml:space="preserve">computations is addressed in /req/automation.</w:t>
      </w:r>
    </w:p>
    <w:bookmarkEnd w:id="90"/>
    <w:bookmarkEnd w:id="91"/>
    <w:bookmarkEnd w:id="92"/>
    <w:bookmarkStart w:id="103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93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93"/>
    <w:bookmarkStart w:id="94" w:name="Xc93f047c0b7430cbcbe918c52478e10b1f4932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Data Delivery Services as Required (Chapter 8), emphasizing "open spatial standards"</w:t>
      </w:r>
      <w:r>
        <w:t xml:space="preserve"> </w:t>
      </w:r>
      <w:r>
        <w:t xml:space="preserve">and "WMO formats" for data exchange.</w:t>
      </w:r>
    </w:p>
    <w:p>
      <w:pPr>
        <w:pStyle w:val="BodyText"/>
      </w:pPr>
      <w:r>
        <w:t xml:space="preserve">WMO-No. 1238 requires that "data, and associated metadata, are registered in the WMO Information System Global</w:t>
      </w:r>
      <w:r>
        <w:t xml:space="preserve"> </w:t>
      </w:r>
      <w:r>
        <w:t xml:space="preserve">Discovery Catalogue" (3.2.1.1c) and that systems support "API interoperability" using standards like OGC API family</w:t>
      </w:r>
      <w:r>
        <w:t xml:space="preserve"> </w:t>
      </w:r>
      <w:r>
        <w:t xml:space="preserve">(Features, Records, Environmental Data Retreival, Processes). The framework principle that "datasets designated to be</w:t>
      </w:r>
      <w:r>
        <w:t xml:space="preserve"> </w:t>
      </w:r>
      <w:r>
        <w:t xml:space="preserve">exchanged internationally through the WMO Information System" (1.1.1(4)) requires standardized API access.</w:t>
      </w:r>
    </w:p>
    <w:bookmarkEnd w:id="94"/>
    <w:bookmarkStart w:id="102" w:name="X0cab09a2e48a3feb3fa1e0c2e547b296b5c813c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Requirements</w:t>
      </w:r>
    </w:p>
    <w:bookmarkStart w:id="95" w:name="req_api_restful"/>
    <w:p>
      <w:pPr>
        <w:pStyle w:val="Heading4"/>
      </w:pPr>
      <w:r>
        <w:rPr>
          <w:rStyle w:val="SectionNumber"/>
        </w:rPr>
        <w:t xml:space="preserve">7.4.3.1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Returns data in standard formats (JSON, XML, CSV, NetCDF)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Implementations should document the intended access scope of the API (e.g., internal/LAN access only,</w:t>
      </w:r>
      <w:r>
        <w:t xml:space="preserve"> </w:t>
      </w:r>
      <w:r>
        <w:t xml:space="preserve">or publicly accessible). Publicly accessible APIs should apply appropriate authentication and rate</w:t>
      </w:r>
      <w:r>
        <w:t xml:space="preserve"> </w:t>
      </w:r>
      <w:r>
        <w:t xml:space="preserve">limiting in accordance with /req/data-api/auth.</w:t>
      </w:r>
    </w:p>
    <w:bookmarkEnd w:id="95"/>
    <w:bookmarkStart w:id="96" w:name="req_api_standards"/>
    <w:p>
      <w:pPr>
        <w:pStyle w:val="Heading4"/>
      </w:pPr>
      <w:r>
        <w:rPr>
          <w:rStyle w:val="SectionNumber"/>
        </w:rPr>
        <w:t xml:space="preserve">7.4.3.2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SensorThings API</w:t>
            </w:r>
          </w:p>
        </w:tc>
      </w:tr>
    </w:tbl>
    <w:p>
      <w:pPr>
        <w:pStyle w:val="FirstParagraph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96"/>
    <w:bookmarkStart w:id="97" w:name="req_api_capabilities"/>
    <w:p>
      <w:pPr>
        <w:pStyle w:val="Heading4"/>
      </w:pPr>
      <w:r>
        <w:rPr>
          <w:rStyle w:val="SectionNumber"/>
        </w:rPr>
        <w:t xml:space="preserve">7.4.3.3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is not recommended. Rigorous statistics require careful handling of data gaps, quality</w:t>
      </w:r>
      <w:r>
        <w:t xml:space="preserve"> </w:t>
      </w:r>
      <w:r>
        <w:t xml:space="preserve">flags, and defined computation periods. Pre-computed official statistics should be stored as standard</w:t>
      </w:r>
      <w:r>
        <w:t xml:space="preserve"> </w:t>
      </w:r>
      <w:r>
        <w:t xml:space="preserve">derived observations and served through the same query interface.</w:t>
      </w:r>
    </w:p>
    <w:bookmarkEnd w:id="97"/>
    <w:bookmarkStart w:id="98" w:name="req_api_auth"/>
    <w:p>
      <w:pPr>
        <w:pStyle w:val="Heading4"/>
      </w:pPr>
      <w:r>
        <w:rPr>
          <w:rStyle w:val="SectionNumber"/>
        </w:rPr>
        <w:t xml:space="preserve">7.4.3.4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98"/>
    <w:bookmarkStart w:id="99" w:name="req_api_versioning"/>
    <w:p>
      <w:pPr>
        <w:pStyle w:val="Heading4"/>
      </w:pPr>
      <w:r>
        <w:rPr>
          <w:rStyle w:val="SectionNumber"/>
        </w:rPr>
        <w:t xml:space="preserve">7.4.3.5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99"/>
    <w:bookmarkStart w:id="100" w:name="req_api_integration"/>
    <w:p>
      <w:pPr>
        <w:pStyle w:val="Heading4"/>
      </w:pPr>
      <w:r>
        <w:rPr>
          <w:rStyle w:val="SectionNumber"/>
        </w:rPr>
        <w:t xml:space="preserve">7.4.3.6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00"/>
    <w:bookmarkStart w:id="101" w:name="req_api_format_interoperability"/>
    <w:p>
      <w:pPr>
        <w:pStyle w:val="Heading4"/>
      </w:pPr>
      <w:r>
        <w:rPr>
          <w:rStyle w:val="SectionNumber"/>
        </w:rPr>
        <w:t xml:space="preserve">7.4.3.7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For high-frequency or real-time data feeds, including full format documentation with every export</w:t>
      </w:r>
      <w:r>
        <w:t xml:space="preserve"> </w:t>
      </w:r>
      <w:r>
        <w:t xml:space="preserve">response may be impractical. In such cases, it is sufficient to make the format definition and schema</w:t>
      </w:r>
      <w:r>
        <w:t xml:space="preserve"> </w:t>
      </w:r>
      <w:r>
        <w:t xml:space="preserve">documentation available via a persistent, well-known endpoint referenced in the API documentation.</w:t>
      </w:r>
    </w:p>
    <w:bookmarkEnd w:id="101"/>
    <w:bookmarkEnd w:id="102"/>
    <w:bookmarkEnd w:id="103"/>
    <w:bookmarkStart w:id="111" w:name="X82bff02d343ffb43d65c0e9aec19bb1f84b0da8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Homogenisation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/req/homogenisation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04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Detect and correct non-climatic discontinuities in long-term observation series caused by changes in instrumentation,</w:t>
      </w:r>
      <w:r>
        <w:t xml:space="preserve"> </w:t>
      </w:r>
      <w:r>
        <w:t xml:space="preserve">observation practices, station location, or surrounding environment, ensuring temporal consistency essential for</w:t>
      </w:r>
      <w:r>
        <w:t xml:space="preserve"> </w:t>
      </w:r>
      <w:r>
        <w:t xml:space="preserve">long-term trend analysis. Homogenisation is critical for producing reliable assessments of environmental variability</w:t>
      </w:r>
      <w:r>
        <w:t xml:space="preserve"> </w:t>
      </w:r>
      <w:r>
        <w:t xml:space="preserve">and change.</w:t>
      </w:r>
    </w:p>
    <w:bookmarkEnd w:id="104"/>
    <w:bookmarkStart w:id="105" w:name="X095f3ba22bd3b47a374c48fc6bfeca36f0fb174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Homogenisation as Recommended (Section 6.1.3), recognizing that homogenised datasets</w:t>
      </w:r>
      <w:r>
        <w:t xml:space="preserve"> </w:t>
      </w:r>
      <w:r>
        <w:t xml:space="preserve">"aim to ensure that the only variability remaining in the time series is that resulting from actual climate variability"</w:t>
      </w:r>
      <w:r>
        <w:t xml:space="preserve"> </w:t>
      </w:r>
      <w:r>
        <w:t xml:space="preserve">(4.5.1.3).</w:t>
      </w:r>
    </w:p>
    <w:p>
      <w:pPr>
        <w:pStyle w:val="BodyText"/>
      </w:pPr>
      <w:r>
        <w:t xml:space="preserve">WMO-No. 1238 requires that "Entities record any homogenisation or reprocessing carried out on the data as part of the</w:t>
      </w:r>
      <w:r>
        <w:t xml:space="preserve"> </w:t>
      </w:r>
      <w:r>
        <w:t xml:space="preserve">provenance metadata" (3.3.2.5). The Guidelines on Homogenisation (WMO-No. 1245) provide detailed methodologies.</w:t>
      </w:r>
      <w:r>
        <w:t xml:space="preserve"> </w:t>
      </w:r>
      <w:r>
        <w:t xml:space="preserve">GCOS Monitoring Principle 1 requires assessing "impact of new systems or changes to existing systems," making</w:t>
      </w:r>
      <w:r>
        <w:t xml:space="preserve"> </w:t>
      </w:r>
      <w:r>
        <w:t xml:space="preserve">homogenisation essential for maintaining long-term climate records.</w:t>
      </w:r>
    </w:p>
    <w:bookmarkEnd w:id="105"/>
    <w:bookmarkStart w:id="110" w:name="Xd297eeff202b0acbd5cba26ccd804f2cef042c5"/>
    <w:p>
      <w:pPr>
        <w:pStyle w:val="Heading3"/>
      </w:pPr>
      <w:r>
        <w:rPr>
          <w:rStyle w:val="SectionNumber"/>
        </w:rPr>
        <w:t xml:space="preserve">7.5.3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These requirements apply to all observable elements where sufficient station density and record length</w:t>
      </w:r>
      <w:r>
        <w:t xml:space="preserve"> </w:t>
      </w:r>
      <w:r>
        <w:t xml:space="preserve">exist to support homogenisation. While temperature is the most commonly homogenised element, the</w:t>
      </w:r>
      <w:r>
        <w:t xml:space="preserve"> </w:t>
      </w:r>
      <w:r>
        <w:t xml:space="preserve">requirements apply equally to precipitation, pressure, wind, and other elements where applicable.</w:t>
      </w:r>
    </w:p>
    <w:p>
      <w:pPr>
        <w:pStyle w:val="BodyText"/>
      </w:pPr>
      <w:r>
        <w:t xml:space="preserve">Implementations may satisfy these requirements either by integrating homogenisation algorithms</w:t>
      </w:r>
      <w:r>
        <w:t xml:space="preserve"> </w:t>
      </w:r>
      <w:r>
        <w:t xml:space="preserve">directly within the CDMS, or by providing well-defined interfaces for data exchange with specialist</w:t>
      </w:r>
      <w:r>
        <w:t xml:space="preserve"> </w:t>
      </w:r>
      <w:r>
        <w:t xml:space="preserve">third-party homogenisation tools, provided that the documentation and data management requirements</w:t>
      </w:r>
      <w:r>
        <w:t xml:space="preserve"> </w:t>
      </w:r>
      <w:r>
        <w:t xml:space="preserve">of this class are met.</w:t>
      </w:r>
    </w:p>
    <w:bookmarkStart w:id="106" w:name="rec_homogenisation_bp_detection"/>
    <w:p>
      <w:pPr>
        <w:pStyle w:val="Heading4"/>
      </w:pPr>
      <w:r>
        <w:rPr>
          <w:rStyle w:val="SectionNumber"/>
        </w:rPr>
        <w:t xml:space="preserve">7.5.3.1</w:t>
      </w:r>
      <w:r>
        <w:tab/>
      </w:r>
      <w:r>
        <w:t xml:space="preserve">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Implement statistical methods for detecting inhomogeneities.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Support: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Relative homogenisation using reference series from neighboring stations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Absolute homogenisation methods where appropriate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06"/>
    <w:bookmarkStart w:id="107" w:name="rec_homogenisation_adjustments"/>
    <w:p>
      <w:pPr>
        <w:pStyle w:val="Heading4"/>
      </w:pPr>
      <w:r>
        <w:rPr>
          <w:rStyle w:val="SectionNumber"/>
        </w:rPr>
        <w:t xml:space="preserve">7.5.3.2</w:t>
      </w:r>
      <w:r>
        <w:tab/>
      </w:r>
      <w:r>
        <w:t xml:space="preserve">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bookmarkEnd w:id="107"/>
    <w:bookmarkStart w:id="108" w:name="req_homogenisation_documentations"/>
    <w:p>
      <w:pPr>
        <w:pStyle w:val="Heading4"/>
      </w:pPr>
      <w:r>
        <w:rPr>
          <w:rStyle w:val="SectionNumber"/>
        </w:rPr>
        <w:t xml:space="preserve">7.5.3.3</w:t>
      </w:r>
      <w:r>
        <w:tab/>
      </w:r>
      <w:r>
        <w:t xml:space="preserve">Homogenisation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document all homogenisation processes applied including: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Break points detected with dates and statistical confidence levels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Adjustment factors applied to each segment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Reference series used for relative homogenisation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Statistical test results and significance values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Comparison of original and homogenised series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Metadata about known station changes that correspond to detected breaks</w:t>
            </w:r>
          </w:p>
        </w:tc>
      </w:tr>
    </w:tbl>
    <w:bookmarkEnd w:id="108"/>
    <w:bookmarkStart w:id="109" w:name="req_homogenisation_management"/>
    <w:p>
      <w:pPr>
        <w:pStyle w:val="Heading4"/>
      </w:pPr>
      <w:r>
        <w:rPr>
          <w:rStyle w:val="SectionNumber"/>
        </w:rPr>
        <w:t xml:space="preserve">7.5.3.4</w:t>
      </w:r>
      <w:r>
        <w:tab/>
      </w:r>
      <w:r>
        <w:t xml:space="preserve">Homogenised 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homogenised data such that: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Original (raw) observations are preserved unchanged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Homogenised values are stored as derived data with clear lineage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Both original and homogenised series are accessible to users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Provenance metadata clearly identifies homogenisation processing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Homogenisation can be revised or reprocessed without data loss</w:t>
            </w:r>
          </w:p>
        </w:tc>
      </w:tr>
    </w:tbl>
    <w:bookmarkEnd w:id="109"/>
    <w:bookmarkEnd w:id="110"/>
    <w:bookmarkEnd w:id="111"/>
    <w:bookmarkStart w:id="119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12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12"/>
    <w:bookmarkStart w:id="113" w:name="Xae122b1d8fc05fc50f66b028d3df9d0ae6fc78b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Rescue capabilities as Recommended (Section 5.2), covering "imaging and digitization,</w:t>
      </w:r>
      <w:r>
        <w:t xml:space="preserve"> </w:t>
      </w:r>
      <w:r>
        <w:t xml:space="preserve">monitoring, and data entry."</w:t>
      </w:r>
    </w:p>
    <w:p>
      <w:pPr>
        <w:pStyle w:val="BodyText"/>
      </w:pPr>
      <w:r>
        <w:t xml:space="preserve">WMO-No. 1238 requires Members ensure "Entities develop a data rescue strategy" including "systematic" preservation</w:t>
      </w:r>
      <w:r>
        <w:t xml:space="preserve"> </w:t>
      </w:r>
      <w:r>
        <w:t xml:space="preserve">activities, digitization plans, and resource mobilization (3.5.3.1).</w:t>
      </w:r>
    </w:p>
    <w:p>
      <w:pPr>
        <w:pStyle w:val="BodyText"/>
      </w:pPr>
      <w:r>
        <w:t xml:space="preserve">The Guidelines on Good Practices for Data Rescue (WMO-No. 1182) emphasizes that data rescue is "the ongoing process of</w:t>
      </w:r>
      <w:r>
        <w:t xml:space="preserve"> </w:t>
      </w:r>
      <w:r>
        <w:t xml:space="preserve">identifying and preserving all data, records and climate archives that are at risk of being lost."</w:t>
      </w:r>
    </w:p>
    <w:bookmarkEnd w:id="113"/>
    <w:bookmarkStart w:id="118" w:name="X5f2b021dc8d0cbf192382c68bf007f55108c885"/>
    <w:p>
      <w:pPr>
        <w:pStyle w:val="Heading3"/>
      </w:pPr>
      <w:r>
        <w:rPr>
          <w:rStyle w:val="SectionNumber"/>
        </w:rPr>
        <w:t xml:space="preserve">7.6.3</w:t>
      </w:r>
      <w:r>
        <w:tab/>
      </w:r>
      <w:r>
        <w:t xml:space="preserve">Requirements</w:t>
      </w:r>
    </w:p>
    <w:bookmarkStart w:id="114" w:name="rec_data_rescue_imaging"/>
    <w:p>
      <w:pPr>
        <w:pStyle w:val="Heading4"/>
      </w:pPr>
      <w:r>
        <w:rPr>
          <w:rStyle w:val="SectionNumber"/>
        </w:rPr>
        <w:t xml:space="preserve">7.6.3.1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Association of images with source document metadata (archive, collection, date range)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14"/>
    <w:bookmarkStart w:id="115" w:name="rec_data_rescue_interface"/>
    <w:p>
      <w:pPr>
        <w:pStyle w:val="Heading4"/>
      </w:pPr>
      <w:r>
        <w:rPr>
          <w:rStyle w:val="SectionNumber"/>
        </w:rPr>
        <w:t xml:space="preserve">7.6.3.2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both single-key and double-key entry workflows for quality assurance</w:t>
            </w:r>
          </w:p>
        </w:tc>
      </w:tr>
    </w:tbl>
    <w:bookmarkEnd w:id="115"/>
    <w:bookmarkStart w:id="116" w:name="req_data_rescue_qc"/>
    <w:p>
      <w:pPr>
        <w:pStyle w:val="Heading4"/>
      </w:pPr>
      <w:r>
        <w:rPr>
          <w:rStyle w:val="SectionNumber"/>
        </w:rPr>
        <w:t xml:space="preserve">7.6.3.3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Comparison between double-key entries to identify transcription errors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Once digitized observations have passed data rescue quality assurance, they SHALL be submitted for</w:t>
      </w:r>
      <w:r>
        <w:t xml:space="preserve"> </w:t>
      </w:r>
      <w:r>
        <w:t xml:space="preserve">ingestion through the same processing pipeline as contemporary observations, including the full suite</w:t>
      </w:r>
      <w:r>
        <w:t xml:space="preserve"> </w:t>
      </w:r>
      <w:r>
        <w:t xml:space="preserve">of quality control checks defined in /req/quality-control.</w:t>
      </w:r>
    </w:p>
    <w:bookmarkEnd w:id="116"/>
    <w:bookmarkStart w:id="117" w:name="req_data_rescue_provenance"/>
    <w:p>
      <w:pPr>
        <w:pStyle w:val="Heading4"/>
      </w:pPr>
      <w:r>
        <w:rPr>
          <w:rStyle w:val="SectionNumber"/>
        </w:rPr>
        <w:t xml:space="preserve">7.6.3.4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Keying method (single-key, double-key, automated OCR)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17"/>
    <w:bookmarkEnd w:id="118"/>
    <w:bookmarkEnd w:id="119"/>
    <w:bookmarkStart w:id="136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20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homogenisation,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bookmarkEnd w:id="120"/>
    <w:bookmarkStart w:id="121" w:name="X270eea35105a3d7f89a4404d24c68dc51bea153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Metadata management as Required (Section 4.3 and 5.5), encompassing</w:t>
      </w:r>
      <w:r>
        <w:t xml:space="preserve"> </w:t>
      </w:r>
      <w:r>
        <w:t xml:space="preserve">"observations metadata, discovery metadata, and data provenance metadata."</w:t>
      </w:r>
    </w:p>
    <w:p>
      <w:pPr>
        <w:pStyle w:val="BodyText"/>
      </w:pPr>
      <w:r>
        <w:t xml:space="preserve">WMO-No. 1238 requires Entities to create and maintain three types of metadata: discovery metadata</w:t>
      </w:r>
      <w:r>
        <w:t xml:space="preserve"> </w:t>
      </w:r>
      <w:r>
        <w:t xml:space="preserve">(per WMO-No. 1060, Volume II), observations metadata (per WMO No. 49, Volume I), and provenance</w:t>
      </w:r>
      <w:r>
        <w:t xml:space="preserve"> </w:t>
      </w:r>
      <w:r>
        <w:t xml:space="preserve">metadata, defined as "information documenting the origin, processing history, and all modifications</w:t>
      </w:r>
      <w:r>
        <w:t xml:space="preserve"> </w:t>
      </w:r>
      <w:r>
        <w:t xml:space="preserve">to a dataset throughout its lifecycle."</w:t>
      </w:r>
    </w:p>
    <w:p>
      <w:pPr>
        <w:pStyle w:val="BodyText"/>
      </w:pPr>
      <w:r>
        <w:t xml:space="preserve">For findability and discovery (3.2.1.1), Entities SHALL assign globally unique and persistent</w:t>
      </w:r>
      <w:r>
        <w:t xml:space="preserve"> </w:t>
      </w:r>
      <w:r>
        <w:t xml:space="preserve">identifiers to data and metadata (a), describe data with WIS-conformant metadata (b), and ensure</w:t>
      </w:r>
      <w:r>
        <w:t xml:space="preserve"> </w:t>
      </w:r>
      <w:r>
        <w:t xml:space="preserve">data and metadata are registered in the WMO Information System Global Discovery Catalogue (c). For</w:t>
      </w:r>
      <w:r>
        <w:t xml:space="preserve"> </w:t>
      </w:r>
      <w:r>
        <w:t xml:space="preserve">reusability (3.2.3), Entities SHALL include a usage licence with recommended data published through</w:t>
      </w:r>
      <w:r>
        <w:t xml:space="preserve"> </w:t>
      </w:r>
      <w:r>
        <w:t xml:space="preserve">WIS (3.2.3.2), and any licence for core data SHALL be compatible with the WMO Unified Data Policy</w:t>
      </w:r>
      <w:r>
        <w:t xml:space="preserve"> </w:t>
      </w:r>
      <w:r>
        <w:t xml:space="preserve">(3.2.3.3).</w:t>
      </w:r>
    </w:p>
    <w:p>
      <w:pPr>
        <w:pStyle w:val="BodyText"/>
      </w:pPr>
      <w:r>
        <w:t xml:space="preserve">Section 3.3.1 establishes provenance requirements: Entities SHOULD maintain comprehensive records of</w:t>
      </w:r>
      <w:r>
        <w:t xml:space="preserve"> </w:t>
      </w:r>
      <w:r>
        <w:t xml:space="preserve">all modifications and processing throughout the data lifecycle (3.3.1.1), including the origin of</w:t>
      </w:r>
      <w:r>
        <w:t xml:space="preserve"> </w:t>
      </w:r>
      <w:r>
        <w:t xml:space="preserve">observations, processing history, and methodology references (3.3.1.2). Entities SHALL collect</w:t>
      </w:r>
      <w:r>
        <w:t xml:space="preserve"> </w:t>
      </w:r>
      <w:r>
        <w:t xml:space="preserve">observational metadata and include it in provenance records (3.3.1.4), with reference to the WIGOS</w:t>
      </w:r>
      <w:r>
        <w:t xml:space="preserve"> </w:t>
      </w:r>
      <w:r>
        <w:t xml:space="preserve">Metadata Standard (WMO-No. 1192) and the Manual on the WMO Integrated Global Observing System</w:t>
      </w:r>
      <w:r>
        <w:t xml:space="preserve"> </w:t>
      </w:r>
      <w:r>
        <w:t xml:space="preserve">(WMO-No. 1160). Entities SHALL include a full version history for critical datasets used to monitor</w:t>
      </w:r>
      <w:r>
        <w:t xml:space="preserve"> </w:t>
      </w:r>
      <w:r>
        <w:t xml:space="preserve">climate change (3.3.1.6). Section 2.1.2.3 further requires that Entities responsible for making</w:t>
      </w:r>
      <w:r>
        <w:t xml:space="preserve"> </w:t>
      </w:r>
      <w:r>
        <w:t xml:space="preserve">observations follow the provisions for collection, management, and publication of observational</w:t>
      </w:r>
      <w:r>
        <w:t xml:space="preserve"> </w:t>
      </w:r>
      <w:r>
        <w:t xml:space="preserve">metadata as specified in WMO-No. 1160.</w:t>
      </w:r>
    </w:p>
    <w:p>
      <w:pPr>
        <w:pStyle w:val="BodyText"/>
      </w:pPr>
      <w:r>
        <w:t xml:space="preserve">Section 3.3.2 establishes quality assurance metadata requirements: Entities SHALL apply quality</w:t>
      </w:r>
      <w:r>
        <w:t xml:space="preserve"> </w:t>
      </w:r>
      <w:r>
        <w:t xml:space="preserve">control to all datasets and record results in metadata (3.3.2.1), SHALL assign quality flags or</w:t>
      </w:r>
      <w:r>
        <w:t xml:space="preserve"> </w:t>
      </w:r>
      <w:r>
        <w:t xml:space="preserve">indicators to all records (3.3.2.2), SHOULD update metadata with assessed quality at each stage of</w:t>
      </w:r>
      <w:r>
        <w:t xml:space="preserve"> </w:t>
      </w:r>
      <w:r>
        <w:t xml:space="preserve">the quality control process (3.3.2.3), and SHALL record any homogenisation or reprocessing in</w:t>
      </w:r>
      <w:r>
        <w:t xml:space="preserve"> </w:t>
      </w:r>
      <w:r>
        <w:t xml:space="preserve">provenance metadata with links to processing documentation (3.3.2.5).</w:t>
      </w:r>
    </w:p>
    <w:p>
      <w:pPr>
        <w:pStyle w:val="BodyText"/>
      </w:pPr>
      <w:r>
        <w:t xml:space="preserve">The ISO 19115 family of standards (ISO 19115-1, ISO 19115-2, ISO 19157, ISO 19110) provides widely</w:t>
      </w:r>
      <w:r>
        <w:t xml:space="preserve"> </w:t>
      </w:r>
      <w:r>
        <w:t xml:space="preserve">recognised concepts for geographic dataset metadata, including lineage, data quality, constraints,</w:t>
      </w:r>
      <w:r>
        <w:t xml:space="preserve"> </w:t>
      </w:r>
      <w:r>
        <w:t xml:space="preserve">maintenance, and feature cataloguing. These concepts inform the requirements in this class; however,</w:t>
      </w:r>
      <w:r>
        <w:t xml:space="preserve"> </w:t>
      </w:r>
      <w:r>
        <w:t xml:space="preserve">as ISO standards are not freely available, they are referenced informatively rather than as normative</w:t>
      </w:r>
      <w:r>
        <w:t xml:space="preserve"> </w:t>
      </w:r>
      <w:r>
        <w:t xml:space="preserve">dependencies. Freely available standards are used as normative references throughout, including the</w:t>
      </w:r>
      <w:r>
        <w:t xml:space="preserve"> </w:t>
      </w:r>
      <w:r>
        <w:t xml:space="preserve">WMO WIGOS Metadata Standard (WMO-No. 1192), WCMP2, W3C PROV-O (provenance), and the CF Conventions</w:t>
      </w:r>
      <w:r>
        <w:t xml:space="preserve"> </w:t>
      </w:r>
      <w:r>
        <w:t xml:space="preserve">for Climate and Forecast Metadata.</w:t>
      </w:r>
    </w:p>
    <w:bookmarkEnd w:id="121"/>
    <w:bookmarkStart w:id="135" w:name="Xbad0825d89186ddc0cf865eb935751911404b40"/>
    <w:p>
      <w:pPr>
        <w:pStyle w:val="Heading3"/>
      </w:pPr>
      <w:r>
        <w:rPr>
          <w:rStyle w:val="SectionNumber"/>
        </w:rPr>
        <w:t xml:space="preserve">7.7.3</w:t>
      </w:r>
      <w:r>
        <w:tab/>
      </w:r>
      <w:r>
        <w:t xml:space="preserve">Requirements</w:t>
      </w:r>
    </w:p>
    <w:bookmarkStart w:id="122" w:name="req_metadata_wigos_compliance"/>
    <w:p>
      <w:pPr>
        <w:pStyle w:val="Heading4"/>
      </w:pPr>
      <w:r>
        <w:rPr>
          <w:rStyle w:val="SectionNumber"/>
        </w:rPr>
        <w:t xml:space="preserve">7.7.3.1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Responsible party and contact information</w:t>
            </w:r>
          </w:p>
        </w:tc>
      </w:tr>
    </w:tbl>
    <w:p>
      <w:pPr>
        <w:pStyle w:val="FirstParagraph"/>
      </w:pPr>
      <w:r>
        <w:t xml:space="preserve">The WIGOS Metadata Standard provides the core schema for station and sensor metadata. In practice,</w:t>
      </w:r>
      <w:r>
        <w:t xml:space="preserve"> </w:t>
      </w:r>
      <w:r>
        <w:t xml:space="preserve">implementations often require additional metadata fields not covered by the WIGOS standard, such as</w:t>
      </w:r>
      <w:r>
        <w:t xml:space="preserve"> </w:t>
      </w:r>
      <w:r>
        <w:t xml:space="preserve">national station identifiers, legacy identifiers from predecessor networks, runway numbers, or other</w:t>
      </w:r>
      <w:r>
        <w:t xml:space="preserve"> </w:t>
      </w:r>
      <w:r>
        <w:t xml:space="preserve">site-specific attributes. Implementations SHOULD support extensibility mechanisms (e.g., additional</w:t>
      </w:r>
      <w:r>
        <w:t xml:space="preserve"> </w:t>
      </w:r>
      <w:r>
        <w:t xml:space="preserve">key-value attributes) to accommodate these requirements without compromising WIGOS compliance.</w:t>
      </w:r>
    </w:p>
    <w:bookmarkEnd w:id="122"/>
    <w:bookmarkStart w:id="123" w:name="req_metadata_history"/>
    <w:p>
      <w:pPr>
        <w:pStyle w:val="Heading4"/>
      </w:pPr>
      <w:r>
        <w:rPr>
          <w:rStyle w:val="SectionNumber"/>
        </w:rPr>
        <w:t xml:space="preserve">7.7.3.2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23"/>
    <w:bookmarkStart w:id="126" w:name="req_metadata_feature_catalogue"/>
    <w:p>
      <w:pPr>
        <w:pStyle w:val="Heading4"/>
      </w:pPr>
      <w:r>
        <w:rPr>
          <w:rStyle w:val="SectionNumber"/>
        </w:rPr>
        <w:t xml:space="preserve">7.7.3.3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Observation height or depth relative to the surface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p>
      <w:pPr>
        <w:pStyle w:val="FirstParagraph"/>
      </w:pPr>
      <w:r>
        <w:t xml:space="preserve">The combination of measurement class, observation height/depth, duration, unit, and statistical function</w:t>
      </w:r>
      <w:r>
        <w:t xml:space="preserve"> </w:t>
      </w:r>
      <w:r>
        <w:t xml:space="preserve">constitutes the unique identity of an observable element. Two observations that differ in any of these</w:t>
      </w:r>
      <w:r>
        <w:t xml:space="preserve"> </w:t>
      </w:r>
      <w:r>
        <w:t xml:space="preserve">properties represent distinct elements and must be stored and described separately. This ensures</w:t>
      </w:r>
      <w:r>
        <w:t xml:space="preserve"> </w:t>
      </w:r>
      <w:r>
        <w:t xml:space="preserve">unambiguous interpretation of stored values across stations and datasets. The element identity</w:t>
      </w:r>
      <w:r>
        <w:t xml:space="preserve"> </w:t>
      </w:r>
      <w:r>
        <w:t xml:space="preserve">concept is also described in the data model NOTE in /req/core/data-model; the feature catalogue</w:t>
      </w:r>
      <w:r>
        <w:t xml:space="preserve"> </w:t>
      </w:r>
      <w:r>
        <w:t xml:space="preserve">requirement here provides the normative basis for maintaining that element dictionary as a</w:t>
      </w:r>
      <w:r>
        <w:t xml:space="preserve"> </w:t>
      </w:r>
      <w:r>
        <w:t xml:space="preserve">managed, queryable catalogue separate from the individual observation records.</w:t>
      </w:r>
    </w:p>
    <w:p>
      <w:pPr>
        <w:pStyle w:val="BodyText"/>
      </w:pPr>
      <w:r>
        <w:t xml:space="preserve">The concept of a formal element catalogue is informed by ISO 19110 (Feature Cataloguing) and the</w:t>
      </w:r>
      <w:r>
        <w:t xml:space="preserve"> </w:t>
      </w:r>
      <w:r>
        <w:t xml:space="preserve">Observable Property concept in OGC Observations and Measurements. Those standards are referenced</w:t>
      </w:r>
      <w:r>
        <w:t xml:space="preserve"> </w:t>
      </w:r>
      <w:r>
        <w:t xml:space="preserve">informatively; the normative vocabulary references are WMO BUFR code tables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https://library.wmo.int/records/item/35713-manual-on-codes-volume-i-1</w:t>
        </w:r>
      </w:hyperlink>
      <w:r>
        <w:t xml:space="preserve">) and the CF standard name</w:t>
      </w:r>
      <w:r>
        <w:t xml:space="preserve"> </w:t>
      </w:r>
      <w:r>
        <w:t xml:space="preserve">table (</w:t>
      </w:r>
      <w:hyperlink r:id="rId125">
        <w:r>
          <w:rPr>
            <w:rStyle w:val="Hyperlink"/>
          </w:rPr>
          <w:t xml:space="preserve">https://cfconventions.org/standard-names.html</w:t>
        </w:r>
      </w:hyperlink>
      <w:r>
        <w:t xml:space="preserve">), both of which are freely available.</w:t>
      </w:r>
    </w:p>
    <w:bookmarkEnd w:id="126"/>
    <w:bookmarkStart w:id="128" w:name="req_metadata_discovery"/>
    <w:p>
      <w:pPr>
        <w:pStyle w:val="Heading4"/>
      </w:pPr>
      <w:r>
        <w:rPr>
          <w:rStyle w:val="SectionNumber"/>
        </w:rPr>
        <w:t xml:space="preserve">7.7.3.4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 unique record identifier following the URN pattern</w:t>
            </w:r>
            <w:r>
              <w:t xml:space="preserve"> </w:t>
            </w:r>
            <w:r>
              <w:rPr>
                <w:rStyle w:val="VerbatimChar"/>
              </w:rPr>
              <w:t xml:space="preserve">urn:wmo:md:{centre-id}:{local-identifier}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Resource title and free-text description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Earth system discipline classification using the WIS2 Topic Hierarchy vocabulary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properties.themes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Responsible organisation name and contact role (</w:t>
            </w:r>
            <w:r>
              <w:rPr>
                <w:rStyle w:val="VerbatimChar"/>
              </w:rPr>
              <w:t xml:space="preserve">properties.contacts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properties.wmo:dataPolicy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lineage statement summarising the overall processing history of the dataset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Source data references: originating station networks, instruments, and observation periods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record for each significant processing stage applied to the dataset, covering at minimum: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Ingestion and format normalisation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Homogenisation adjustments, where applicable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The system SHALL support submission and update of WCMP2 records to the WIS2 Global Discovery</w:t>
            </w:r>
            <w:r>
              <w:t xml:space="preserve"> </w:t>
            </w:r>
            <w:r>
              <w:t xml:space="preserve">Catalogue (GDC), either directly or via a configured WIS2 Node.</w:t>
            </w:r>
          </w:p>
        </w:tc>
      </w:tr>
    </w:tbl>
    <w:p>
      <w:pPr>
        <w:pStyle w:val="BodyText"/>
      </w:pPr>
      <w:r>
        <w:t xml:space="preserve">WCMP2 is built on OGC API - Records (GeoJSON) and intentionally does not incorporate the ISO 19115/19139</w:t>
      </w:r>
      <w:r>
        <w:t xml:space="preserve"> </w:t>
      </w:r>
      <w:r>
        <w:t xml:space="preserve">XML structures used in earlier WMO metadata standards. WCMP2 serves the discovery function: making</w:t>
      </w:r>
      <w:r>
        <w:t xml:space="preserve"> </w:t>
      </w:r>
      <w:r>
        <w:t xml:space="preserve">datasets findable in the WIS2 Global Discovery Catalogue. Dataset lineage metadata, structured</w:t>
      </w:r>
      <w:r>
        <w:t xml:space="preserve"> </w:t>
      </w:r>
      <w:r>
        <w:t xml:space="preserve">following the W3C PROV Data Model (</w:t>
      </w:r>
      <w:hyperlink r:id="rId127">
        <w:r>
          <w:rPr>
            <w:rStyle w:val="Hyperlink"/>
          </w:rPr>
          <w:t xml:space="preserve">https://www.w3.org/TR/prov-dm/</w:t>
        </w:r>
      </w:hyperlink>
      <w:r>
        <w:t xml:space="preserve">), serves a complementary function:</w:t>
      </w:r>
      <w:r>
        <w:t xml:space="preserve"> </w:t>
      </w:r>
      <w:r>
        <w:t xml:space="preserve">documenting the detailed processing provenance of datasets for scientific interpretation and</w:t>
      </w:r>
      <w:r>
        <w:t xml:space="preserve"> </w:t>
      </w:r>
      <w:r>
        <w:t xml:space="preserve">fitness-for-purpose assessment. The PROV Data Model defines the core concepts of Entity (the dataset</w:t>
      </w:r>
      <w:r>
        <w:t xml:space="preserve"> </w:t>
      </w:r>
      <w:r>
        <w:t xml:space="preserve">or observation series), Activity (a processing step), and Agent (the responsible party or software).</w:t>
      </w:r>
    </w:p>
    <w:p>
      <w:pPr>
        <w:pStyle w:val="BodyText"/>
      </w:pPr>
      <w:r>
        <w:t xml:space="preserve">Discovery metadata records are dataset-level descriptions and are distinct from the station and sensor</w:t>
      </w:r>
      <w:r>
        <w:t xml:space="preserve"> </w:t>
      </w:r>
      <w:r>
        <w:t xml:space="preserve">metadata described in /req/metadata-management/wigos.</w:t>
      </w:r>
    </w:p>
    <w:p>
      <w:pPr>
        <w:pStyle w:val="BodyText"/>
      </w:pPr>
      <w:r>
        <w:t xml:space="preserve">Two levels of provenance/lineage are maintained in a CDMS: (1) observation-level provenance</w:t>
      </w:r>
      <w:r>
        <w:t xml:space="preserve"> </w:t>
      </w:r>
      <w:r>
        <w:t xml:space="preserve">(/req/core/provenance-storage, /req/core/provenance-immutability) records the complete immutable</w:t>
      </w:r>
      <w:r>
        <w:t xml:space="preserve"> </w:t>
      </w:r>
      <w:r>
        <w:t xml:space="preserve">history of each individual observation — ingestion, QC flags, corrections, and data rescue events;</w:t>
      </w:r>
      <w:r>
        <w:t xml:space="preserve"> </w:t>
      </w:r>
      <w:r>
        <w:t xml:space="preserve">(2) dataset-level lineage (this requirement, Statement B) summarises the processing history of a</w:t>
      </w:r>
      <w:r>
        <w:t xml:space="preserve"> </w:t>
      </w:r>
      <w:r>
        <w:t xml:space="preserve">collection of observations as a whole, supporting discovery and fitness-for-purpose assessment.</w:t>
      </w:r>
      <w:r>
        <w:t xml:space="preserve"> </w:t>
      </w:r>
      <w:r>
        <w:t xml:space="preserve">Dataset-level lineage is a descriptive summary; it is not a substitute for the immutable</w:t>
      </w:r>
      <w:r>
        <w:t xml:space="preserve"> </w:t>
      </w:r>
      <w:r>
        <w:t xml:space="preserve">observation-level provenance record and does not carry the same immutability constraint.</w:t>
      </w:r>
    </w:p>
    <w:p>
      <w:pPr>
        <w:pStyle w:val="BodyText"/>
      </w:pPr>
      <w:r>
        <w:t xml:space="preserve">Export formats are addressed in /req/metadata-management/export.</w:t>
      </w:r>
    </w:p>
    <w:p>
      <w:pPr>
        <w:pStyle w:val="BodyText"/>
      </w:pP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p>
      <w:pPr>
        <w:pStyle w:val="BodyText"/>
      </w:pPr>
      <w:r>
        <w:t xml:space="preserve">The concepts of lineage statement, process step, and source data used in Statement B above are</w:t>
      </w:r>
      <w:r>
        <w:t xml:space="preserve"> </w:t>
      </w:r>
      <w:r>
        <w:t xml:space="preserve">informed by the ISO 19115 family (ISO 19115-1 LI_Lineage, ISO 19115-2 LE_ProcessStep); however,</w:t>
      </w:r>
      <w:r>
        <w:t xml:space="preserve"> </w:t>
      </w:r>
      <w:r>
        <w:t xml:space="preserve">those standards are not freely available and are not normative dependencies of this specification.</w:t>
      </w:r>
    </w:p>
    <w:bookmarkEnd w:id="128"/>
    <w:bookmarkStart w:id="129" w:name="req_metadata_data_quality"/>
    <w:p>
      <w:pPr>
        <w:pStyle w:val="Heading4"/>
      </w:pPr>
      <w:r>
        <w:rPr>
          <w:rStyle w:val="SectionNumber"/>
        </w:rPr>
        <w:t xml:space="preserve">7.7.3.5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Summarise completeness by station, element, and time period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Report the distribution of quality control flag statuses across the dataset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Support GCOS reporting requirements for data availability and quality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 and</w:t>
      </w:r>
      <w:r>
        <w:t xml:space="preserve"> </w:t>
      </w:r>
      <w:r>
        <w:t xml:space="preserve">inform users about the suitability of a dataset for specific applications.</w:t>
      </w:r>
    </w:p>
    <w:p>
      <w:pPr>
        <w:pStyle w:val="BodyText"/>
      </w:pPr>
      <w:r>
        <w:t xml:space="preserve">The structure and terminology used here (completeness, temporal quality, thematic accuracy,</w:t>
      </w:r>
      <w:r>
        <w:t xml:space="preserve"> </w:t>
      </w:r>
      <w:r>
        <w:t xml:space="preserve">conformance result) are informed by ISO 19157 (Data Quality), which is referenced informatively.</w:t>
      </w:r>
      <w:r>
        <w:t xml:space="preserve"> </w:t>
      </w:r>
      <w:r>
        <w:t xml:space="preserve">ISO 19157 is not freely available and is not a normative dependency of this specification.</w:t>
      </w:r>
    </w:p>
    <w:bookmarkEnd w:id="129"/>
    <w:bookmarkStart w:id="130" w:name="rec_metadata_maintenance"/>
    <w:p>
      <w:pPr>
        <w:pStyle w:val="Heading4"/>
      </w:pPr>
      <w:r>
        <w:rPr>
          <w:rStyle w:val="SectionNumber"/>
        </w:rPr>
        <w:t xml:space="preserve">7.7.3.6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0"/>
    <w:bookmarkStart w:id="131" w:name="req_metadata_constraints"/>
    <w:p>
      <w:pPr>
        <w:pStyle w:val="Heading4"/>
      </w:pPr>
      <w:r>
        <w:rPr>
          <w:rStyle w:val="SectionNumber"/>
        </w:rPr>
        <w:t xml:space="preserve">7.7.3.7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consistent</w:t>
            </w:r>
            <w:r>
              <w:t xml:space="preserve"> </w:t>
            </w:r>
            <w:r>
              <w:t xml:space="preserve">with WMO data policy requirements as defined in WMO-No. 1238 and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</w:t>
            </w:r>
            <w:r>
              <w:t xml:space="preserve"> </w:t>
            </w:r>
            <w:r>
              <w:t xml:space="preserve">specified in WCMP2, including: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WMO data policy classification (core or recommended), consistent with</w:t>
            </w:r>
            <w:r>
              <w:t xml:space="preserve"> </w:t>
            </w:r>
            <w:r>
              <w:t xml:space="preserve">/req/metadata-management/discovery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>
      <w:pPr>
        <w:pStyle w:val="FirstParagraph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p>
      <w:pPr>
        <w:pStyle w:val="BodyText"/>
      </w:pPr>
      <w:r>
        <w:t xml:space="preserve">The legal and security constraint concepts used here are informed by ISO 19115-1</w:t>
      </w:r>
      <w:r>
        <w:t xml:space="preserve"> </w:t>
      </w:r>
      <w:r>
        <w:t xml:space="preserve">(MD_LegalConstraints, MD_SecurityConstraints), referenced informatively. The normative basis</w:t>
      </w:r>
      <w:r>
        <w:t xml:space="preserve"> </w:t>
      </w:r>
      <w:r>
        <w:t xml:space="preserve">is WMO-No. 1238 data policy requirements and the WCMP2</w:t>
      </w:r>
      <w:r>
        <w:t xml:space="preserve"> </w:t>
      </w:r>
      <w:r>
        <w:rPr>
          <w:rStyle w:val="VerbatimChar"/>
        </w:rPr>
        <w:t xml:space="preserve">wmo:dataPolicy</w:t>
      </w:r>
      <w:r>
        <w:t xml:space="preserve"> </w:t>
      </w:r>
      <w:r>
        <w:t xml:space="preserve">property.</w:t>
      </w:r>
    </w:p>
    <w:bookmarkEnd w:id="131"/>
    <w:bookmarkStart w:id="132" w:name="req_metadata_export"/>
    <w:p>
      <w:pPr>
        <w:pStyle w:val="Heading4"/>
      </w:pPr>
      <w:r>
        <w:rPr>
          <w:rStyle w:val="SectionNumber"/>
        </w:rPr>
        <w:t xml:space="preserve">7.7.3.8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bookmarkEnd w:id="132"/>
    <w:bookmarkStart w:id="133" w:name="req_metadata_quality"/>
    <w:p>
      <w:pPr>
        <w:pStyle w:val="Heading4"/>
      </w:pPr>
      <w:r>
        <w:rPr>
          <w:rStyle w:val="SectionNumber"/>
        </w:rPr>
        <w:t xml:space="preserve">7.7.3.9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Referential integrity (stations referenced by observations exist)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33"/>
    <w:bookmarkStart w:id="134" w:name="req_metadata_citation"/>
    <w:p>
      <w:pPr>
        <w:pStyle w:val="Heading4"/>
      </w:pPr>
      <w:r>
        <w:rPr>
          <w:rStyle w:val="SectionNumber"/>
        </w:rPr>
        <w:t xml:space="preserve">7.7.3.10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Recording data usage and access patterns for impact assessment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bookmarkEnd w:id="134"/>
    <w:bookmarkEnd w:id="135"/>
    <w:bookmarkEnd w:id="136"/>
    <w:bookmarkStart w:id="144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37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operators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37"/>
    <w:bookmarkStart w:id="138" w:name="Xf244ca634379f91edffabe503d42c6b3d27f793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the Graphical User Interface for time-series data exploration as Recommended (Section 7.1),</w:t>
      </w:r>
      <w:r>
        <w:t xml:space="preserve"> </w:t>
      </w:r>
      <w:r>
        <w:t xml:space="preserve">supporting "tables and charts, visualization, manage content, integrated search of climate data, and data download."</w:t>
      </w:r>
    </w:p>
    <w:p>
      <w:pPr>
        <w:pStyle w:val="BodyText"/>
      </w:pPr>
      <w:r>
        <w:t xml:space="preserve">While WMO-No. 1238 does not mandate specific UI requirements, it emphasizes the need for "climate scientists to review</w:t>
      </w:r>
      <w:r>
        <w:t xml:space="preserve"> </w:t>
      </w:r>
      <w:r>
        <w:t xml:space="preserve">and validate climate observations, identify inhomogeneities" and for "data managers to manage station metadata and</w:t>
      </w:r>
      <w:r>
        <w:t xml:space="preserve"> </w:t>
      </w:r>
      <w:r>
        <w:t xml:space="preserve">data holdings" (Figure 2), which requires appropriate user interfaces. The requirement for "comprehensive records" and</w:t>
      </w:r>
      <w:r>
        <w:t xml:space="preserve"> </w:t>
      </w:r>
      <w:r>
        <w:t xml:space="preserve">"quality control" workflows (3.3.2) implies interactive tools for human oversight.</w:t>
      </w:r>
    </w:p>
    <w:bookmarkEnd w:id="138"/>
    <w:bookmarkStart w:id="143" w:name="X30d4d7275d9928054a80ea11094709cc4356d61"/>
    <w:p>
      <w:pPr>
        <w:pStyle w:val="Heading3"/>
      </w:pPr>
      <w:r>
        <w:rPr>
          <w:rStyle w:val="SectionNumber"/>
        </w:rPr>
        <w:t xml:space="preserve">7.8.3</w:t>
      </w:r>
      <w:r>
        <w:tab/>
      </w:r>
      <w:r>
        <w:t xml:space="preserve">Requirements</w:t>
      </w:r>
    </w:p>
    <w:bookmarkStart w:id="139" w:name="req_ui_visualisation"/>
    <w:p>
      <w:pPr>
        <w:pStyle w:val="Heading4"/>
      </w:pPr>
      <w:r>
        <w:rPr>
          <w:rStyle w:val="SectionNumber"/>
        </w:rPr>
        <w:t xml:space="preserve">7.8.3.1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Simultaneous display of original and quality-controlled or homogenised values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39"/>
    <w:bookmarkStart w:id="140" w:name="req_ui_tabular"/>
    <w:p>
      <w:pPr>
        <w:pStyle w:val="Heading4"/>
      </w:pPr>
      <w:r>
        <w:rPr>
          <w:rStyle w:val="SectionNumber"/>
        </w:rPr>
        <w:t xml:space="preserve">7.8.3.2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0"/>
    <w:bookmarkStart w:id="141" w:name="req_ui_search"/>
    <w:p>
      <w:pPr>
        <w:pStyle w:val="Heading4"/>
      </w:pPr>
      <w:r>
        <w:rPr>
          <w:rStyle w:val="SectionNumber"/>
        </w:rPr>
        <w:t xml:space="preserve">7.8.3.3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1"/>
    <w:bookmarkStart w:id="142" w:name="req_ui_data_entry"/>
    <w:p>
      <w:pPr>
        <w:pStyle w:val="Heading4"/>
      </w:pPr>
      <w:r>
        <w:rPr>
          <w:rStyle w:val="SectionNumber"/>
        </w:rPr>
        <w:t xml:space="preserve">7.8.3.4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2"/>
    <w:bookmarkEnd w:id="143"/>
    <w:bookmarkEnd w:id="144"/>
    <w:bookmarkStart w:id="152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45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derived products from quality-controlled observation</w:t>
      </w:r>
      <w:r>
        <w:t xml:space="preserve"> </w:t>
      </w:r>
      <w:r>
        <w:t xml:space="preserve">series, including summary statistics, climate normals, and climate indices.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45"/>
    <w:bookmarkStart w:id="146" w:name="X48485c8e88eb36efa62efcfa2da6f7ba34f8c96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Products as Recommended (Section 6.1), covering the computation of</w:t>
      </w:r>
      <w:r>
        <w:t xml:space="preserve"> </w:t>
      </w:r>
      <w:r>
        <w:t xml:space="preserve">summary statistics, climate normals, and indices from quality-controlled observational records.</w:t>
      </w:r>
    </w:p>
    <w:p>
      <w:pPr>
        <w:pStyle w:val="BodyText"/>
      </w:pPr>
      <w:r>
        <w:t xml:space="preserve">WMO-No. 1238 requires that Members ensure the production of standard climate products and that these are</w:t>
      </w:r>
      <w:r>
        <w:t xml:space="preserve"> </w:t>
      </w:r>
      <w:r>
        <w:t xml:space="preserve">made available through appropriate services. The computation of WMO Climate Normals is governed by the</w:t>
      </w:r>
      <w:r>
        <w:t xml:space="preserve"> </w:t>
      </w:r>
      <w:r>
        <w:t xml:space="preserve">WMO Guidelines on the Calculation of Climate Normals (WMO-No. 1203), which prescribes standard 30-year</w:t>
      </w:r>
      <w:r>
        <w:t xml:space="preserve"> </w:t>
      </w:r>
      <w:r>
        <w:t xml:space="preserve">averaging periods. Climate normals and indices support national and international reporting obligations,</w:t>
      </w:r>
      <w:r>
        <w:t xml:space="preserve"> </w:t>
      </w:r>
      <w:r>
        <w:t xml:space="preserve">including contributions to the Global Climate Observing System (GCOS).</w:t>
      </w:r>
    </w:p>
    <w:bookmarkEnd w:id="146"/>
    <w:bookmarkStart w:id="151" w:name="X0dbc4f7325760f3add39d40fb3ce358ff293970"/>
    <w:p>
      <w:pPr>
        <w:pStyle w:val="Heading3"/>
      </w:pPr>
      <w:r>
        <w:rPr>
          <w:rStyle w:val="SectionNumber"/>
        </w:rPr>
        <w:t xml:space="preserve">7.9.3</w:t>
      </w:r>
      <w:r>
        <w:tab/>
      </w:r>
      <w:r>
        <w:t xml:space="preserve">Requirements</w:t>
      </w:r>
    </w:p>
    <w:bookmarkStart w:id="147" w:name="req_climate_products_statistics"/>
    <w:p>
      <w:pPr>
        <w:pStyle w:val="Heading4"/>
      </w:pPr>
      <w:r>
        <w:rPr>
          <w:rStyle w:val="SectionNumber"/>
        </w:rPr>
        <w:t xml:space="preserve">7.9.3.1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Configurable aggregation periods and functions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</w:t>
      </w:r>
      <w:r>
        <w:t xml:space="preserve"> </w:t>
      </w:r>
      <w:r>
        <w:t xml:space="preserve">with significant data gaps should be flagged accordingly. Implementations should apply documented</w:t>
      </w:r>
      <w:r>
        <w:t xml:space="preserve"> </w:t>
      </w:r>
      <w:r>
        <w:t xml:space="preserve">minimum data completeness thresholds before producing summary values.</w:t>
      </w:r>
    </w:p>
    <w:bookmarkEnd w:id="147"/>
    <w:bookmarkStart w:id="148" w:name="req_climate_products_normals"/>
    <w:p>
      <w:pPr>
        <w:pStyle w:val="Heading4"/>
      </w:pPr>
      <w:r>
        <w:rPr>
          <w:rStyle w:val="SectionNumber"/>
        </w:rPr>
        <w:t xml:space="preserve">7.9.3.2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48"/>
    <w:bookmarkStart w:id="149" w:name="rec_climate_products_indices"/>
    <w:p>
      <w:pPr>
        <w:pStyle w:val="Heading4"/>
      </w:pPr>
      <w:r>
        <w:rPr>
          <w:rStyle w:val="SectionNumber"/>
        </w:rPr>
        <w:t xml:space="preserve">7.9.3.3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Temperature and precipitation extremes indices as defined by the Expert Team on Climate Change</w:t>
            </w:r>
            <w:r>
              <w:t xml:space="preserve"> </w:t>
            </w:r>
            <w:r>
              <w:t xml:space="preserve">Detection and Indices (ETCCDI)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Standardised Precipitation Index (SPI) and related drought indices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49"/>
    <w:bookmarkStart w:id="150" w:name="req_climate_products_management"/>
    <w:p>
      <w:pPr>
        <w:pStyle w:val="Heading4"/>
      </w:pPr>
      <w:r>
        <w:rPr>
          <w:rStyle w:val="SectionNumber"/>
        </w:rPr>
        <w:t xml:space="preserve">7.9.3.4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0"/>
    <w:bookmarkEnd w:id="151"/>
    <w:bookmarkEnd w:id="152"/>
    <w:bookmarkStart w:id="160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3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3"/>
    <w:bookmarkStart w:id="154" w:name="Xa1b291a0ac08677c148b1b7cea0c1b64d21c39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Processing Automation as Recommended, emphasizing that routine data processing</w:t>
      </w:r>
      <w:r>
        <w:t xml:space="preserve"> </w:t>
      </w:r>
      <w:r>
        <w:t xml:space="preserve">should be performed systematically and consistently without requiring manual intervention for each cycle.</w:t>
      </w:r>
    </w:p>
    <w:p>
      <w:pPr>
        <w:pStyle w:val="BodyText"/>
      </w:pPr>
      <w:r>
        <w:t xml:space="preserve">WMO-No. 1238 requires timely generation of climate products and systematic data processing (2.2.1). The</w:t>
      </w:r>
      <w:r>
        <w:t xml:space="preserve"> </w:t>
      </w:r>
      <w:r>
        <w:t xml:space="preserve">framework principle requiring "comprehensive records of all modifications and processing" (3.3.1.1) implies</w:t>
      </w:r>
      <w:r>
        <w:t xml:space="preserve"> </w:t>
      </w:r>
      <w:r>
        <w:t xml:space="preserve">that automated processing must be fully logged and auditable.</w:t>
      </w:r>
    </w:p>
    <w:bookmarkEnd w:id="154"/>
    <w:bookmarkStart w:id="159" w:name="X31680a6736fcb2711fe5288fbca1d9c0d4ce9ef"/>
    <w:p>
      <w:pPr>
        <w:pStyle w:val="Heading3"/>
      </w:pPr>
      <w:r>
        <w:rPr>
          <w:rStyle w:val="SectionNumber"/>
        </w:rPr>
        <w:t xml:space="preserve">7.10.3</w:t>
      </w:r>
      <w:r>
        <w:tab/>
      </w:r>
      <w:r>
        <w:t xml:space="preserve">Requirements</w:t>
      </w:r>
    </w:p>
    <w:bookmarkStart w:id="155" w:name="req_automation_scheduling"/>
    <w:p>
      <w:pPr>
        <w:pStyle w:val="Heading4"/>
      </w:pPr>
      <w:r>
        <w:rPr>
          <w:rStyle w:val="SectionNumber"/>
        </w:rPr>
        <w:t xml:space="preserve">7.10.3.1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5"/>
    <w:bookmarkStart w:id="156" w:name="req_automation_workflows"/>
    <w:p>
      <w:pPr>
        <w:pStyle w:val="Heading4"/>
      </w:pPr>
      <w:r>
        <w:rPr>
          <w:rStyle w:val="SectionNumber"/>
        </w:rPr>
        <w:t xml:space="preserve">7.10.3.2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56"/>
    <w:bookmarkStart w:id="157" w:name="req_automation_monitoring"/>
    <w:p>
      <w:pPr>
        <w:pStyle w:val="Heading4"/>
      </w:pPr>
      <w:r>
        <w:rPr>
          <w:rStyle w:val="SectionNumber"/>
        </w:rPr>
        <w:t xml:space="preserve">7.10.3.3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57"/>
    <w:bookmarkStart w:id="158" w:name="req_automation_audit"/>
    <w:p>
      <w:pPr>
        <w:pStyle w:val="Heading4"/>
      </w:pPr>
      <w:r>
        <w:rPr>
          <w:rStyle w:val="SectionNumber"/>
        </w:rPr>
        <w:t xml:space="preserve">7.10.3.4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58"/>
    <w:bookmarkEnd w:id="159"/>
    <w:bookmarkEnd w:id="160"/>
    <w:bookmarkEnd w:id="161"/>
    <w:bookmarkStart w:id="221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68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2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2"/>
    <w:bookmarkStart w:id="163" w:name="X11f04ed098b7f833ba6df437e5d6dc45cdd2524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handle "big data" characterized by "large volumes of data in a variety of</w:t>
      </w:r>
      <w:r>
        <w:t xml:space="preserve"> </w:t>
      </w:r>
      <w:r>
        <w:t xml:space="preserve">formats that present challenges for effective data management" (Section 4.1). The specification notes systems must</w:t>
      </w:r>
      <w:r>
        <w:t xml:space="preserve"> </w:t>
      </w:r>
      <w:r>
        <w:t xml:space="preserve">manage "observation datasets spanning minimum 100 years of historical data" with scalability for "considerable amounts</w:t>
      </w:r>
      <w:r>
        <w:t xml:space="preserve"> </w:t>
      </w:r>
      <w:r>
        <w:t xml:space="preserve">of derived data" (Section 4.5).</w:t>
      </w:r>
    </w:p>
    <w:p>
      <w:pPr>
        <w:pStyle w:val="BodyText"/>
      </w:pPr>
      <w:r>
        <w:t xml:space="preserve">WMO-No. 1238 requires systems support "duplicate repositories for the duration of their retention periods" (3.4.2.2)</w:t>
      </w:r>
      <w:r>
        <w:t xml:space="preserve"> </w:t>
      </w:r>
      <w:r>
        <w:t xml:space="preserve">and handle data from multiple Earth system domains (1.1.2), implying substantial performance requirements.</w:t>
      </w:r>
      <w:r>
        <w:t xml:space="preserve"> </w:t>
      </w:r>
      <w:r>
        <w:t xml:space="preserve">The framework principle of ensuring "adequate uniformity and standardization" (Introduction, para 5e) requires</w:t>
      </w:r>
      <w:r>
        <w:t xml:space="preserve"> </w:t>
      </w:r>
      <w:r>
        <w:t xml:space="preserve">consistent performance across implementations.</w:t>
      </w:r>
    </w:p>
    <w:bookmarkEnd w:id="163"/>
    <w:bookmarkStart w:id="167" w:name="Xc0ea67382d56eb8fcbf04ce32aa70367a0b05ca"/>
    <w:p>
      <w:pPr>
        <w:pStyle w:val="Heading3"/>
      </w:pPr>
      <w:r>
        <w:rPr>
          <w:rStyle w:val="SectionNumber"/>
        </w:rPr>
        <w:t xml:space="preserve">8.1.3</w:t>
      </w:r>
      <w:r>
        <w:tab/>
      </w:r>
      <w:r>
        <w:t xml:space="preserve">Requirements</w:t>
      </w:r>
    </w:p>
    <w:bookmarkStart w:id="164" w:name="X4e1490d96bd118da200ee47068a0f11e0abea01"/>
    <w:p>
      <w:pPr>
        <w:pStyle w:val="Heading4"/>
      </w:pPr>
      <w:r>
        <w:rPr>
          <w:rStyle w:val="SectionNumber"/>
        </w:rPr>
        <w:t xml:space="preserve">8.1.3.1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4"/>
    <w:bookmarkStart w:id="165" w:name="X84135e1eb24249aa11e6512b3a010cadd05bca4"/>
    <w:p>
      <w:pPr>
        <w:pStyle w:val="Heading4"/>
      </w:pPr>
      <w:r>
        <w:rPr>
          <w:rStyle w:val="SectionNumber"/>
        </w:rPr>
        <w:t xml:space="preserve">8.1.3.2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5"/>
    <w:bookmarkStart w:id="166" w:name="X923d479b642fa69914041c1403cbf6fcc339ef2"/>
    <w:p>
      <w:pPr>
        <w:pStyle w:val="Heading4"/>
      </w:pPr>
      <w:r>
        <w:rPr>
          <w:rStyle w:val="SectionNumber"/>
        </w:rPr>
        <w:t xml:space="preserve">8.1.3.3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6"/>
    <w:bookmarkEnd w:id="167"/>
    <w:bookmarkEnd w:id="168"/>
    <w:bookmarkStart w:id="178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9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69"/>
    <w:bookmarkStart w:id="170" w:name="Xbb3a16280feb5e142338a19dbc398ee4a193c46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states that "the most important stakeholders for climate data are future generations, and the reason to</w:t>
      </w:r>
      <w:r>
        <w:t xml:space="preserve"> </w:t>
      </w:r>
      <w:r>
        <w:t xml:space="preserve">implement and manage CDMSs now is to protect the integrity of climate data for their future use" (Section 2.3).</w:t>
      </w:r>
      <w:r>
        <w:t xml:space="preserve"> </w:t>
      </w:r>
      <w:r>
        <w:t xml:space="preserve">The specification’s core theme is to "ensure that the data are securely and transparently managed" (Section 2.3).</w:t>
      </w:r>
    </w:p>
    <w:p>
      <w:pPr>
        <w:pStyle w:val="BodyText"/>
      </w:pPr>
      <w:r>
        <w:t xml:space="preserve">WMO-No. 1238 mandates that "Members shall ensure that Entities develop and maintain a business continuity plan to</w:t>
      </w:r>
      <w:r>
        <w:t xml:space="preserve"> </w:t>
      </w:r>
      <w:r>
        <w:t xml:space="preserve">mitigate risks associated with disruption of operations" (3.4.1.1) and requires "routine backup, and procedures for</w:t>
      </w:r>
      <w:r>
        <w:t xml:space="preserve"> </w:t>
      </w:r>
      <w:r>
        <w:t xml:space="preserve">timely restoration of their databases" (3.4.1.2). The requirement to "retain their original and irreproducible climate</w:t>
      </w:r>
      <w:r>
        <w:t xml:space="preserve"> </w:t>
      </w:r>
      <w:r>
        <w:t xml:space="preserve">records, and associated metadata, permanently" (3.4.1.4) establishes reliability as a foundational requirement.</w:t>
      </w:r>
    </w:p>
    <w:bookmarkEnd w:id="170"/>
    <w:bookmarkStart w:id="177" w:name="X7c4ace7d878fab3dfcc7cd52c4413124c84ed24"/>
    <w:p>
      <w:pPr>
        <w:pStyle w:val="Heading3"/>
      </w:pPr>
      <w:r>
        <w:rPr>
          <w:rStyle w:val="SectionNumber"/>
        </w:rPr>
        <w:t xml:space="preserve">8.2.3</w:t>
      </w:r>
      <w:r>
        <w:tab/>
      </w:r>
      <w:r>
        <w:t xml:space="preserve">Requirements</w:t>
      </w:r>
    </w:p>
    <w:bookmarkStart w:id="171" w:name="Xd3eee222c5a1b9aabe95dd15b721372b65ed200"/>
    <w:p>
      <w:pPr>
        <w:pStyle w:val="Heading4"/>
      </w:pPr>
      <w:r>
        <w:rPr>
          <w:rStyle w:val="SectionNumber"/>
        </w:rPr>
        <w:t xml:space="preserve">8.2.3.1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Minimise scheduled maintenance downtime through rolling update or equivalent procedures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1"/>
    <w:bookmarkStart w:id="172" w:name="Xccf0ebfb852c43db6078079a90f86262cc30389"/>
    <w:p>
      <w:pPr>
        <w:pStyle w:val="Heading4"/>
      </w:pPr>
      <w:r>
        <w:rPr>
          <w:rStyle w:val="SectionNumber"/>
        </w:rPr>
        <w:t xml:space="preserve">8.2.3.2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ACID-compliant transactions for all data create, update, and delete operations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p>
      <w:pPr>
        <w:pStyle w:val="BodyText"/>
      </w:pPr>
      <w:r>
        <w:t xml:space="preserve">Referential integrity should be enforced as a system invariant. However, implementations</w:t>
      </w:r>
      <w:r>
        <w:t xml:space="preserve"> </w:t>
      </w:r>
      <w:r>
        <w:t xml:space="preserve">receiving data from operational feeds (e.g., GTS, WIS 2.0) may encounter observations</w:t>
      </w:r>
      <w:r>
        <w:t xml:space="preserve"> </w:t>
      </w:r>
      <w:r>
        <w:t xml:space="preserve">for stations not yet registered in the metadata repository. In such cases, implementations</w:t>
      </w:r>
      <w:r>
        <w:t xml:space="preserve"> </w:t>
      </w:r>
      <w:r>
        <w:t xml:space="preserve">may auto-create a minimal station record pending metadata completion, rather than</w:t>
      </w:r>
      <w:r>
        <w:t xml:space="preserve"> </w:t>
      </w:r>
      <w:r>
        <w:t xml:space="preserve">rejecting the observation. This exception should be logged and flagged for follow-up.</w:t>
      </w:r>
      <w:r>
        <w:t xml:space="preserve"> </w:t>
      </w:r>
      <w:r>
        <w:t xml:space="preserve">See also /req/data-ingestion/validation.</w:t>
      </w:r>
    </w:p>
    <w:bookmarkEnd w:id="172"/>
    <w:bookmarkStart w:id="173" w:name="Xf8362461428feaf5d321104e366bff787a7adb9"/>
    <w:p>
      <w:pPr>
        <w:pStyle w:val="Heading4"/>
      </w:pPr>
      <w:r>
        <w:rPr>
          <w:rStyle w:val="SectionNumber"/>
        </w:rPr>
        <w:t xml:space="preserve">8.2.3.3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Verification of backup integrity through periodic restore testing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Implementers should</w:t>
      </w:r>
      <w:r>
        <w:t xml:space="preserve"> </w:t>
      </w:r>
      <w:r>
        <w:t xml:space="preserve">define targets appropriate to their national context — for a national CDMS, a pragmatic</w:t>
      </w:r>
      <w:r>
        <w:t xml:space="preserve"> </w:t>
      </w:r>
      <w:r>
        <w:t xml:space="preserve">RPO will often be longer than for a real-time operational system, since historical</w:t>
      </w:r>
      <w:r>
        <w:t xml:space="preserve"> </w:t>
      </w:r>
      <w:r>
        <w:t xml:space="preserve">observation data is typically re-ingestible from source systems. The critical concern</w:t>
      </w:r>
      <w:r>
        <w:t xml:space="preserve"> </w:t>
      </w:r>
      <w:r>
        <w:t xml:space="preserve">is protecting processed outputs (QC flags, homogenisation adjustments) that may not</w:t>
      </w:r>
      <w:r>
        <w:t xml:space="preserve"> </w:t>
      </w:r>
      <w:r>
        <w:t xml:space="preserve">be reproducible without significant effort.</w:t>
      </w:r>
    </w:p>
    <w:p>
      <w:pPr>
        <w:pStyle w:val="BodyText"/>
      </w:pPr>
      <w:r>
        <w:t xml:space="preserve">Backup storage volumes grow with retention period. Implementers should balance</w:t>
      </w:r>
      <w:r>
        <w:t xml:space="preserve"> </w:t>
      </w:r>
      <w:r>
        <w:t xml:space="preserve">retention requirements against available storage, using incremental backup strategies</w:t>
      </w:r>
      <w:r>
        <w:t xml:space="preserve"> </w:t>
      </w:r>
      <w:r>
        <w:t xml:space="preserve">and compression to manage costs. WMO-No. 1238 requires permanent retention of original</w:t>
      </w:r>
      <w:r>
        <w:t xml:space="preserve"> </w:t>
      </w:r>
      <w:r>
        <w:t xml:space="preserve">and irreproducible climate records (3.4.1.4); backup policies should reflect this for</w:t>
      </w:r>
      <w:r>
        <w:t xml:space="preserve"> </w:t>
      </w:r>
      <w:r>
        <w:t xml:space="preserve">long-term archival.</w:t>
      </w:r>
    </w:p>
    <w:bookmarkEnd w:id="173"/>
    <w:bookmarkStart w:id="174" w:name="X2324087a6af50fa0a6c9bee2b544897859a3860"/>
    <w:p>
      <w:pPr>
        <w:pStyle w:val="Heading4"/>
      </w:pPr>
      <w:r>
        <w:rPr>
          <w:rStyle w:val="SectionNumber"/>
        </w:rPr>
        <w:t xml:space="preserve">8.2.3.4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4"/>
    <w:bookmarkStart w:id="175" w:name="Xf2f0d34c003031bd57a8baf7dcb12073df65e80"/>
    <w:p>
      <w:pPr>
        <w:pStyle w:val="Heading4"/>
      </w:pPr>
      <w:r>
        <w:rPr>
          <w:rStyle w:val="SectionNumber"/>
        </w:rPr>
        <w:t xml:space="preserve">8.2.3.5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5"/>
    <w:bookmarkStart w:id="176" w:name="rec_reliability_disaster_recovery"/>
    <w:p>
      <w:pPr>
        <w:pStyle w:val="Heading4"/>
      </w:pPr>
      <w:r>
        <w:rPr>
          <w:rStyle w:val="SectionNumber"/>
        </w:rPr>
        <w:t xml:space="preserve">8.2.3.6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6"/>
    <w:bookmarkEnd w:id="177"/>
    <w:bookmarkEnd w:id="178"/>
    <w:bookmarkStart w:id="189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9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79"/>
    <w:bookmarkStart w:id="180" w:name="Xefa1c8256c5bdc175c992009b3ef1595bf0389c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requires "controlled access to data and systems" as a Required governance component (Section 3.2.1.1),</w:t>
      </w:r>
      <w:r>
        <w:t xml:space="preserve"> </w:t>
      </w:r>
      <w:r>
        <w:t xml:space="preserve">specifying that "staff who have write access to data stored within a database only be able to change data under</w:t>
      </w:r>
      <w:r>
        <w:t xml:space="preserve"> </w:t>
      </w:r>
      <w:r>
        <w:t xml:space="preserve">software control" with comprehensive audit trails. The specification mandates "each successful change to observations</w:t>
      </w:r>
      <w:r>
        <w:t xml:space="preserve"> </w:t>
      </w:r>
      <w:r>
        <w:t xml:space="preserve">data be audited to ensure that the change, the details of the operator who made the change and the time of the change</w:t>
      </w:r>
      <w:r>
        <w:t xml:space="preserve"> </w:t>
      </w:r>
      <w:r>
        <w:t xml:space="preserve">have all been recorded" (Section 3.2.1.1).</w:t>
      </w:r>
    </w:p>
    <w:p>
      <w:pPr>
        <w:pStyle w:val="BodyText"/>
      </w:pPr>
      <w:r>
        <w:t xml:space="preserve">WMO-No. 1238 requires "Members shall ensure Entities implement rigorous authorization processes for modification or</w:t>
      </w:r>
      <w:r>
        <w:t xml:space="preserve"> </w:t>
      </w:r>
      <w:r>
        <w:t xml:space="preserve">deletion of data or metadata" (3.4.4.1) and mandates "regularly review systems for the physical- and cyber-security of</w:t>
      </w:r>
      <w:r>
        <w:t xml:space="preserve"> </w:t>
      </w:r>
      <w:r>
        <w:t xml:space="preserve">the climate record" (3.4.4.2).</w:t>
      </w:r>
    </w:p>
    <w:bookmarkEnd w:id="180"/>
    <w:bookmarkStart w:id="188" w:name="X3948f899c9bbf4279fb4c5ac1ee6058c140a6bb"/>
    <w:p>
      <w:pPr>
        <w:pStyle w:val="Heading3"/>
      </w:pPr>
      <w:r>
        <w:rPr>
          <w:rStyle w:val="SectionNumber"/>
        </w:rPr>
        <w:t xml:space="preserve">8.3.3</w:t>
      </w:r>
      <w:r>
        <w:tab/>
      </w:r>
      <w:r>
        <w:t xml:space="preserve">Requirements</w:t>
      </w:r>
    </w:p>
    <w:bookmarkStart w:id="181" w:name="X5ebb4cdfd0c668359b7158b95b73dd022f1e18c"/>
    <w:p>
      <w:pPr>
        <w:pStyle w:val="Heading4"/>
      </w:pPr>
      <w:r>
        <w:rPr>
          <w:rStyle w:val="SectionNumber"/>
        </w:rPr>
        <w:t xml:space="preserve">8.3.3.1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organisation.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1"/>
    <w:bookmarkStart w:id="182" w:name="X1c144cc0be2c1e39c42efea40c0b555765c9400"/>
    <w:p>
      <w:pPr>
        <w:pStyle w:val="Heading4"/>
      </w:pPr>
      <w:r>
        <w:rPr>
          <w:rStyle w:val="SectionNumber"/>
        </w:rPr>
        <w:t xml:space="preserve">8.3.3.2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Enforces data access policies for embargoed or sensitive datasets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Allows system administrators to define and manage custom roles and their associated</w:t>
            </w:r>
            <w:r>
              <w:t xml:space="preserve"> </w:t>
            </w:r>
            <w:r>
              <w:t xml:space="preserve">permissions</w:t>
            </w:r>
          </w:p>
        </w:tc>
      </w:tr>
    </w:tbl>
    <w:p>
      <w:pPr>
        <w:pStyle w:val="FirstParagraph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2"/>
    <w:bookmarkStart w:id="183" w:name="X65112b248fcb910ea72d31633878c048fceb3ae"/>
    <w:p>
      <w:pPr>
        <w:pStyle w:val="Heading4"/>
      </w:pPr>
      <w:r>
        <w:rPr>
          <w:rStyle w:val="SectionNumber"/>
        </w:rPr>
        <w:t xml:space="preserve">8.3.3.3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3"/>
    <w:bookmarkStart w:id="184" w:name="X2ade6a34ac18e38de4ac6707b12ed183b92000e"/>
    <w:p>
      <w:pPr>
        <w:pStyle w:val="Heading4"/>
      </w:pPr>
      <w:r>
        <w:rPr>
          <w:rStyle w:val="SectionNumber"/>
        </w:rPr>
        <w:t xml:space="preserve">8.3.3.4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tamper-evident or stored in write-once media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retained in accordance with the organisation’s data retention policy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4"/>
    <w:bookmarkStart w:id="185" w:name="Xbcd926724f7c712fd44ea06e368943af8c2f042"/>
    <w:p>
      <w:pPr>
        <w:pStyle w:val="Heading4"/>
      </w:pPr>
      <w:r>
        <w:rPr>
          <w:rStyle w:val="SectionNumber"/>
        </w:rPr>
        <w:t xml:space="preserve">8.3.3.5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5"/>
    <w:bookmarkStart w:id="186" w:name="X0ee1da29373504434a9884370e4d04ff8f637bd"/>
    <w:p>
      <w:pPr>
        <w:pStyle w:val="Heading4"/>
      </w:pPr>
      <w:r>
        <w:rPr>
          <w:rStyle w:val="SectionNumber"/>
        </w:rPr>
        <w:t xml:space="preserve">8.3.3.6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Minimising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Providing mechanisms to redact or anonymise personal information where required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organisation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 and data</w:t>
      </w:r>
      <w:r>
        <w:t xml:space="preserve"> </w:t>
      </w:r>
      <w:r>
        <w:t xml:space="preserve">submitters rather than observation data itself.</w:t>
      </w:r>
    </w:p>
    <w:bookmarkEnd w:id="186"/>
    <w:bookmarkStart w:id="187" w:name="X436d262ed139948f1c87a4d73c8e91225f9cf4f"/>
    <w:p>
      <w:pPr>
        <w:pStyle w:val="Heading4"/>
      </w:pPr>
      <w:r>
        <w:rPr>
          <w:rStyle w:val="SectionNumber"/>
        </w:rPr>
        <w:t xml:space="preserve">8.3.3.7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7"/>
    <w:bookmarkEnd w:id="188"/>
    <w:bookmarkEnd w:id="189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0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0"/>
    <w:bookmarkStart w:id="191" w:name="X11b116b0b1e2c7cbbc380c33c02ff4d2049d637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support diverse user roles including "climate scientists, data managers,</w:t>
      </w:r>
      <w:r>
        <w:t xml:space="preserve"> </w:t>
      </w:r>
      <w:r>
        <w:t xml:space="preserve">system operators and data entry operators" (Figure 2 and Figure 3). The specification notes that while "most NMHSs</w:t>
      </w:r>
      <w:r>
        <w:t xml:space="preserve"> </w:t>
      </w:r>
      <w:r>
        <w:t xml:space="preserve">would not manage infrastructure and software required to support" certain advanced components, systems must still be "</w:t>
      </w:r>
      <w:r>
        <w:t xml:space="preserve"> </w:t>
      </w:r>
      <w:r>
        <w:t xml:space="preserve">flexible enough to accommodate national climate monitoring products and other national indices" (Section 4.4.2.3).</w:t>
      </w:r>
    </w:p>
    <w:p>
      <w:pPr>
        <w:pStyle w:val="BodyText"/>
      </w:pPr>
      <w:r>
        <w:t xml:space="preserve">WMO-No. 1238 recognizes the need for "climate scientists to review and validate climate observations, identify</w:t>
      </w:r>
      <w:r>
        <w:t xml:space="preserve"> </w:t>
      </w:r>
      <w:r>
        <w:t xml:space="preserve">inhomogeneities" (Figure 2), which requires effective user interfaces. The Competencies requirements (3.6) acknowledge</w:t>
      </w:r>
      <w:r>
        <w:t xml:space="preserve"> </w:t>
      </w:r>
      <w:r>
        <w:t xml:space="preserve">that staff need appropriate training, implying systems should support learnable, efficient workflows.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8.4.3.1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maximises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Implementations providing a web-based</w:t>
      </w:r>
      <w:r>
        <w:t xml:space="preserve"> </w:t>
      </w:r>
      <w:r>
        <w:t xml:space="preserve">interface should consider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8.4.3.2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8.4.3.3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Completion of long-running operations (ingestion, QC processing, homogenization)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6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198" w:name="Xb1eef2c940cbffe01a5f6fe7f89d80b08bd5d0d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"one of the steps often overlooked when implementing a CDMS is to ensure that the NMHS</w:t>
      </w:r>
      <w:r>
        <w:t xml:space="preserve"> </w:t>
      </w:r>
      <w:r>
        <w:t xml:space="preserve">has established a solid governance framework to protect the integrity of the climate record" (Section 3), including</w:t>
      </w:r>
      <w:r>
        <w:t xml:space="preserve"> </w:t>
      </w:r>
      <w:r>
        <w:t xml:space="preserve">"processes that ensure adherence to CDMS-related policies" and comprehensive documentation requirements (Section 3.2.2.5).</w:t>
      </w:r>
      <w:r>
        <w:t xml:space="preserve"> </w:t>
      </w:r>
      <w:r>
        <w:t xml:space="preserve">The specification requires "effective IT security and monitoring" (Section 5.2.3) and "managed change" as Required</w:t>
      </w:r>
      <w:r>
        <w:t xml:space="preserve"> </w:t>
      </w:r>
      <w:r>
        <w:t xml:space="preserve">governance (Section 3.2.2.2), noting that "uncontrolled change can result in chaos for users" including</w:t>
      </w:r>
      <w:r>
        <w:t xml:space="preserve"> </w:t>
      </w:r>
      <w:r>
        <w:t xml:space="preserve">"data corruptions or even data loss."</w:t>
      </w:r>
    </w:p>
    <w:p>
      <w:pPr>
        <w:pStyle w:val="BodyText"/>
      </w:pPr>
      <w:r>
        <w:t xml:space="preserve">WMO-No. 1238 mandates "Members shall ensure that Entities communicate work involving changes to the data management</w:t>
      </w:r>
      <w:r>
        <w:t xml:space="preserve"> </w:t>
      </w:r>
      <w:r>
        <w:t xml:space="preserve">system and associated software to affected stakeholders in a timely fashion" (3.3.3.3) and requires comprehensive</w:t>
      </w:r>
      <w:r>
        <w:t xml:space="preserve"> </w:t>
      </w:r>
      <w:r>
        <w:t xml:space="preserve">documentation of "data management processes, including details of roles and responsibilities" (3.3.3.1).</w:t>
      </w:r>
    </w:p>
    <w:bookmarkEnd w:id="198"/>
    <w:bookmarkStart w:id="205" w:name="X49168e4bb222cca0cd1e7f626c5063548539f20"/>
    <w:p>
      <w:pPr>
        <w:pStyle w:val="Heading3"/>
      </w:pPr>
      <w:r>
        <w:rPr>
          <w:rStyle w:val="SectionNumber"/>
        </w:rPr>
        <w:t xml:space="preserve">8.5.3</w:t>
      </w:r>
      <w:r>
        <w:tab/>
      </w:r>
      <w:r>
        <w:t xml:space="preserve">Requirements</w:t>
      </w:r>
    </w:p>
    <w:bookmarkStart w:id="199" w:name="X88b4731aa8563e2d47e344dac462bdb95d9cc14"/>
    <w:p>
      <w:pPr>
        <w:pStyle w:val="Heading4"/>
      </w:pPr>
      <w:r>
        <w:rPr>
          <w:rStyle w:val="SectionNumber"/>
        </w:rPr>
        <w:t xml:space="preserve">8.5.3.1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9"/>
    <w:bookmarkStart w:id="200" w:name="X12c1e9bc4d2cdef4b12a2ba3fe7bed53eed6687"/>
    <w:p>
      <w:pPr>
        <w:pStyle w:val="Heading4"/>
      </w:pPr>
      <w:r>
        <w:rPr>
          <w:rStyle w:val="SectionNumber"/>
        </w:rPr>
        <w:t xml:space="preserve">8.5.3.2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200"/>
    <w:bookmarkStart w:id="201" w:name="Xd9fa9f79e074e219c87216fb39e2ce7fa7a5f36"/>
    <w:p>
      <w:pPr>
        <w:pStyle w:val="Heading4"/>
      </w:pPr>
      <w:r>
        <w:rPr>
          <w:rStyle w:val="SectionNumber"/>
        </w:rPr>
        <w:t xml:space="preserve">8.5.3.3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1"/>
    <w:bookmarkStart w:id="202" w:name="X505501b205ec6367da3dfd220d89465fbb89141"/>
    <w:p>
      <w:pPr>
        <w:pStyle w:val="Heading4"/>
      </w:pPr>
      <w:r>
        <w:rPr>
          <w:rStyle w:val="SectionNumber"/>
        </w:rPr>
        <w:t xml:space="preserve">8.5.3.4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2"/>
    <w:bookmarkStart w:id="203" w:name="X02e3747b3c79c3f22b5c2e57def9c5f76cd14ef"/>
    <w:p>
      <w:pPr>
        <w:pStyle w:val="Heading4"/>
      </w:pPr>
      <w:r>
        <w:rPr>
          <w:rStyle w:val="SectionNumber"/>
        </w:rPr>
        <w:t xml:space="preserve">8.5.3.5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3"/>
    <w:bookmarkStart w:id="204" w:name="X983d5959bc8486b1ce731c329c055fcbbc55a03"/>
    <w:p>
      <w:pPr>
        <w:pStyle w:val="Heading4"/>
      </w:pPr>
      <w:r>
        <w:rPr>
          <w:rStyle w:val="SectionNumber"/>
        </w:rPr>
        <w:t xml:space="preserve">8.5.3.6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4"/>
    <w:bookmarkEnd w:id="205"/>
    <w:bookmarkEnd w:id="206"/>
    <w:bookmarkStart w:id="212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7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7"/>
    <w:bookmarkStart w:id="208" w:name="X6f1ec30f7abcf4280d929b80dc71859ac1d7d31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"open spatial standards are a mechanism that is being increasingly adopted by many</w:t>
      </w:r>
      <w:r>
        <w:t xml:space="preserve"> </w:t>
      </w:r>
      <w:r>
        <w:t xml:space="preserve">organizations and industry sectors around the world" (Section 8.1) and that these standards are "expected to become an</w:t>
      </w:r>
      <w:r>
        <w:t xml:space="preserve"> </w:t>
      </w:r>
      <w:r>
        <w:t xml:space="preserve">increasingly important mechanism for distributing data in future years." The specification notes that standardized</w:t>
      </w:r>
      <w:r>
        <w:t xml:space="preserve"> </w:t>
      </w:r>
      <w:r>
        <w:t xml:space="preserve">delivery "will ensure that data are represented in a form that facilitates data interoperability and are accessible</w:t>
      </w:r>
      <w:r>
        <w:t xml:space="preserve"> </w:t>
      </w:r>
      <w:r>
        <w:t xml:space="preserve">to a wide range of end users from disparate industries" (Section 3.1.4.1).</w:t>
      </w:r>
    </w:p>
    <w:p>
      <w:pPr>
        <w:pStyle w:val="BodyText"/>
      </w:pPr>
      <w:r>
        <w:t xml:space="preserve">WMO-No. 1238 requires "Members shall ensure that Entities encode data, and associated metadata, intended for</w:t>
      </w:r>
      <w:r>
        <w:t xml:space="preserve"> </w:t>
      </w:r>
      <w:r>
        <w:t xml:space="preserve">international exchange following the standards specified in the Manual on Codes (WMO-No. 306), the Manual on the WMO</w:t>
      </w:r>
      <w:r>
        <w:t xml:space="preserve"> </w:t>
      </w:r>
      <w:r>
        <w:t xml:space="preserve">Information System (WMO-No. 1060)" (3.2.2.1). The framework principle mandating registration in "the WIS Global</w:t>
      </w:r>
      <w:r>
        <w:t xml:space="preserve"> </w:t>
      </w:r>
      <w:r>
        <w:t xml:space="preserve">Discovery Catalogue" (1.1.1(4)) requires standards-based interoperability.</w:t>
      </w:r>
    </w:p>
    <w:bookmarkEnd w:id="208"/>
    <w:bookmarkStart w:id="211" w:name="Xb004aba5b96e1b6a47f2fa5d3dc4f6e79b39f88"/>
    <w:p>
      <w:pPr>
        <w:pStyle w:val="Heading3"/>
      </w:pPr>
      <w:r>
        <w:rPr>
          <w:rStyle w:val="SectionNumber"/>
        </w:rPr>
        <w:t xml:space="preserve">8.6.3</w:t>
      </w:r>
      <w:r>
        <w:tab/>
      </w:r>
      <w:r>
        <w:t xml:space="preserve">Requirements</w:t>
      </w:r>
    </w:p>
    <w:bookmarkStart w:id="209" w:name="Xc7a9bd0e5b06720cd7545663d17a58f87557081"/>
    <w:p>
      <w:pPr>
        <w:pStyle w:val="Heading4"/>
      </w:pPr>
      <w:r>
        <w:rPr>
          <w:rStyle w:val="SectionNumber"/>
        </w:rPr>
        <w:t xml:space="preserve">8.6.3.1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9"/>
    <w:bookmarkStart w:id="210" w:name="Xeaf605a141df8c5d15e9967c970a734a7fab6f4"/>
    <w:p>
      <w:pPr>
        <w:pStyle w:val="Heading4"/>
      </w:pPr>
      <w:r>
        <w:rPr>
          <w:rStyle w:val="SectionNumber"/>
        </w:rPr>
        <w:t xml:space="preserve">8.6.3.2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10"/>
    <w:bookmarkEnd w:id="211"/>
    <w:bookmarkEnd w:id="212"/>
    <w:bookmarkStart w:id="220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3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3"/>
    <w:bookmarkStart w:id="214" w:name="Xd69bf5739c8505a566eeb8c3314a3bc36a83c51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dedicates Chapter 3 entirely to "CDMS Governance," stating that "one of the steps often overlooked when</w:t>
      </w:r>
      <w:r>
        <w:t xml:space="preserve"> </w:t>
      </w:r>
      <w:r>
        <w:t xml:space="preserve">implementing a CDMS is to ensure that the NMHS has established a solid governance framework to protect the integrity of</w:t>
      </w:r>
      <w:r>
        <w:t xml:space="preserve"> </w:t>
      </w:r>
      <w:r>
        <w:t xml:space="preserve">the climate record" involving "Policies" and "Governance processes." The specification defines data governance as</w:t>
      </w:r>
      <w:r>
        <w:t xml:space="preserve"> </w:t>
      </w:r>
      <w:r>
        <w:t xml:space="preserve">Required (Section 3.2.1), including "controlled access to data and systems," "approval process for new data types,"</w:t>
      </w:r>
      <w:r>
        <w:t xml:space="preserve"> </w:t>
      </w:r>
      <w:r>
        <w:t xml:space="preserve">"approval process to change data," and "IT change approvals.".</w:t>
      </w:r>
    </w:p>
    <w:p>
      <w:pPr>
        <w:pStyle w:val="BodyText"/>
      </w:pPr>
      <w:r>
        <w:t xml:space="preserve">WMO-No. 1238 requires "Members should ensure that Entities implement and maintain a governance mechanism to oversee the</w:t>
      </w:r>
      <w:r>
        <w:t xml:space="preserve"> </w:t>
      </w:r>
      <w:r>
        <w:t xml:space="preserve">various governance elements, coordinated by a governance body" (3.5.1.1) and mandates policies covering commitments,</w:t>
      </w:r>
      <w:r>
        <w:t xml:space="preserve"> </w:t>
      </w:r>
      <w:r>
        <w:t xml:space="preserve">sustainability, intellectual property, and data delivery (Section 3.1 of WMO-No. 1131). The framework emphasizes that</w:t>
      </w:r>
      <w:r>
        <w:t xml:space="preserve"> </w:t>
      </w:r>
      <w:r>
        <w:t xml:space="preserve">"data stewardship assigns to an entity rights and responsibilities for acquiring and managing climate data and</w:t>
      </w:r>
      <w:r>
        <w:t xml:space="preserve"> </w:t>
      </w:r>
      <w:r>
        <w:t xml:space="preserve">information" (Definitions), requiring formalized governance structures.</w:t>
      </w:r>
    </w:p>
    <w:bookmarkEnd w:id="214"/>
    <w:bookmarkStart w:id="219" w:name="X2b52e10b467aa8caf05fb4c3fee0cd710cb26de"/>
    <w:p>
      <w:pPr>
        <w:pStyle w:val="Heading3"/>
      </w:pPr>
      <w:r>
        <w:rPr>
          <w:rStyle w:val="SectionNumber"/>
        </w:rPr>
        <w:t xml:space="preserve">8.7.3</w:t>
      </w:r>
      <w:r>
        <w:tab/>
      </w:r>
      <w:r>
        <w:t xml:space="preserve">Requirements</w:t>
      </w:r>
    </w:p>
    <w:bookmarkStart w:id="215" w:name="Xa599aabf136adf043016dc4c120bcc2341719b9"/>
    <w:p>
      <w:pPr>
        <w:pStyle w:val="Heading4"/>
      </w:pPr>
      <w:r>
        <w:rPr>
          <w:rStyle w:val="SectionNumber"/>
        </w:rPr>
        <w:t xml:space="preserve">8.7.3.1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5"/>
    <w:bookmarkStart w:id="216" w:name="X204b056a2f350baef00752203fe263a48732e54"/>
    <w:p>
      <w:pPr>
        <w:pStyle w:val="Heading4"/>
      </w:pPr>
      <w:r>
        <w:rPr>
          <w:rStyle w:val="SectionNumber"/>
        </w:rPr>
        <w:t xml:space="preserve">8.7.3.2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summarise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6"/>
    <w:bookmarkStart w:id="217" w:name="Xe729df9d27155340ca3d7cc773114e9396a1bcb"/>
    <w:p>
      <w:pPr>
        <w:pStyle w:val="Heading4"/>
      </w:pPr>
      <w:r>
        <w:rPr>
          <w:rStyle w:val="SectionNumber"/>
        </w:rPr>
        <w:t xml:space="preserve">8.7.3.3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7"/>
    <w:bookmarkStart w:id="218" w:name="Xeaf02a202a1b02ac0ac82b796884601f7e03421"/>
    <w:p>
      <w:pPr>
        <w:pStyle w:val="Heading4"/>
      </w:pPr>
      <w:r>
        <w:rPr>
          <w:rStyle w:val="SectionNumber"/>
        </w:rPr>
        <w:t xml:space="preserve">8.7.3.4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quality manager authority for quality control decisions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organisational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homogenisation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8"/>
    <w:bookmarkEnd w:id="219"/>
    <w:bookmarkEnd w:id="220"/>
    <w:bookmarkEnd w:id="221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2026-03-06T17:43:45Z</dcterms:created>
  <dcterms:modified xsi:type="dcterms:W3CDTF">2026-03-06T17:43:45Z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2026-03-06</vt:lpwstr>
  </property>
</Properties>
</file>