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WMO</w:t>
      </w:r>
      <w:r>
        <w:t xml:space="preserve"> </w:t>
      </w:r>
      <w:r>
        <w:t xml:space="preserve">First</w:t>
      </w:r>
      <w:r>
        <w:t xml:space="preserve"> </w:t>
      </w:r>
      <w:r>
        <w:t xml:space="preserve">Mile</w:t>
      </w:r>
      <w:r>
        <w:t xml:space="preserve"> </w:t>
      </w:r>
      <w:r>
        <w:t xml:space="preserve">Data</w:t>
      </w:r>
      <w:r>
        <w:t xml:space="preserve"> </w:t>
      </w:r>
      <w:r>
        <w:t xml:space="preserve">Collection</w:t>
      </w:r>
      <w:r>
        <w:t xml:space="preserve"> </w:t>
      </w:r>
      <w:r>
        <w:t xml:space="preserve">Guide</w:t>
      </w:r>
    </w:p>
    <w:p>
      <w:pPr>
        <w:pStyle w:val="Date"/>
      </w:pPr>
      <w:r>
        <w:t xml:space="preserve">2026-06-12</w:t>
      </w:r>
    </w:p>
    <w:p>
      <w:pPr>
        <w:pStyle w:val="Heading1"/>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2026-06-12</w:t>
            </w:r>
          </w:p>
        </w:tc>
      </w:tr>
      <w:tr>
        <w:tc>
          <w:tcPr/>
          <w:p>
            <w:pPr>
              <w:jc w:val="left"/>
            </w:pPr>
            <w:r>
              <w:t xml:space="preserve">Version: 0.1</w:t>
            </w:r>
          </w:p>
        </w:tc>
      </w:tr>
      <w:tr>
        <w:tc>
          <w:tcPr/>
          <w:p>
            <w:pPr>
              <w:jc w:val="left"/>
            </w:pPr>
            <w:r>
              <w:t xml:space="preserve">Document status: DRAFT</w:t>
            </w:r>
          </w:p>
        </w:tc>
      </w:tr>
      <w:tr>
        <w:tc>
          <w:tcPr/>
          <w:p>
            <w:pPr>
              <w:jc w:val="left"/>
            </w:pPr>
            <w:r>
              <w:t xml:space="preserve">Document location:</w:t>
            </w:r>
            <w:r>
              <w:t xml:space="preserve"> </w:t>
            </w:r>
            <w:hyperlink r:id="rId20">
              <w:r>
                <w:rPr>
                  <w:rStyle w:val="Hyperlink"/>
                </w:rPr>
                <w:t xml:space="preserve">https://wmo-im.github.io/first-mile-guide/first-mile-guide/first-mile-guide-DRAFT.html</w:t>
              </w:r>
            </w:hyperlink>
          </w:p>
        </w:tc>
      </w:tr>
      <w:tr>
        <w:tc>
          <w:tcPr/>
          <w:p>
            <w:pPr>
              <w:jc w:val="left"/>
            </w:pPr>
            <w:r>
              <w:t xml:space="preserve">Standing Committee on Information Management and Technology (SC-IMT)</w:t>
            </w:r>
            <w:r>
              <w:rPr>
                <w:rStyle w:val="FootnoteReference"/>
              </w:rPr>
              <w:footnoteReference w:id="21"/>
            </w:r>
          </w:p>
        </w:tc>
      </w:tr>
      <w:tr>
        <w:tc>
          <w:tcPr/>
          <w:p>
            <w:pPr>
              <w:jc w:val="left"/>
            </w:pPr>
            <w:r>
              <w:t xml:space="preserve">Commission for Observation, Infrastructure and Information Systems (INFCOM)</w:t>
            </w:r>
            <w:r>
              <w:rPr>
                <w:rStyle w:val="FootnoteReference"/>
              </w:rPr>
              <w:footnoteReference w:id="23"/>
            </w:r>
          </w:p>
        </w:tc>
      </w:tr>
      <w:tr>
        <w:tc>
          <w:tcPr/>
          <w:p>
            <w:pPr>
              <w:jc w:val="left"/>
            </w:pPr>
            <w:r>
              <w:t xml:space="preserve">Copyright © 2025 World Meteorological Organization (WMO)</w:t>
            </w:r>
          </w:p>
        </w:tc>
      </w:tr>
    </w:tbl>
    <w:bookmarkStart w:id="25" w:name="Xc8210088bf4711be4456d26326179eb58b8f5b4"/>
    <w:p>
      <w:pPr>
        <w:pStyle w:val="Heading1"/>
      </w:pPr>
      <w:r>
        <w:t xml:space="preserve">Scope</w:t>
      </w:r>
    </w:p>
    <w:bookmarkEnd w:id="25"/>
    <w:bookmarkStart w:id="32" w:name="X859b073d7e5a95a337a680b453cd9ab10fc927d"/>
    <w:p>
      <w:pPr>
        <w:pStyle w:val="Heading1"/>
      </w:pPr>
      <w:r>
        <w:t xml:space="preserve">Conformance</w:t>
      </w:r>
    </w:p>
    <w:bookmarkStart w:id="31" w:name="X95453ac46235389615ae4c7fa5db07d307ceeeb"/>
    <w:p>
      <w:pPr>
        <w:pStyle w:val="Heading2"/>
      </w:pPr>
      <w:r>
        <w:t xml:space="preserve">Conformance Classes</w:t>
      </w:r>
    </w:p>
    <w:bookmarkStart w:id="26" w:name="X646ab08e6bca8943f243683fcd8f6523f801bd0"/>
    <w:p>
      <w:pPr>
        <w:pStyle w:val="Heading3"/>
      </w:pPr>
      <w:r>
        <w:t xml:space="preserve">Requirements Class: Core Data Model</w:t>
      </w:r>
    </w:p>
    <w:bookmarkEnd w:id="26"/>
    <w:bookmarkStart w:id="27" w:name="X64312687e0dd28141dab4939a855dfe209e77d4"/>
    <w:p>
      <w:pPr>
        <w:pStyle w:val="Heading3"/>
      </w:pPr>
      <w:r>
        <w:t xml:space="preserve">Requirements Class: Standard Name Binding</w:t>
      </w:r>
    </w:p>
    <w:bookmarkEnd w:id="27"/>
    <w:bookmarkStart w:id="28" w:name="X6ab12899376edf358ff4c559472288b7664d758"/>
    <w:p>
      <w:pPr>
        <w:pStyle w:val="Heading3"/>
      </w:pPr>
      <w:r>
        <w:t xml:space="preserve">Requirements Class: MQTT Protocol Binding</w:t>
      </w:r>
    </w:p>
    <w:bookmarkEnd w:id="28"/>
    <w:bookmarkStart w:id="29" w:name="X432d8ee338d691b03f62835f27a19b55dd2e86e"/>
    <w:p>
      <w:pPr>
        <w:pStyle w:val="Heading3"/>
      </w:pPr>
      <w:r>
        <w:t xml:space="preserve">Requirements Class: Node</w:t>
      </w:r>
    </w:p>
    <w:bookmarkEnd w:id="29"/>
    <w:bookmarkStart w:id="30" w:name="X318c5ecd7c0580fafe0acb90d765ddaa79def9d"/>
    <w:p>
      <w:pPr>
        <w:pStyle w:val="Heading3"/>
      </w:pPr>
      <w:r>
        <w:t xml:space="preserve">Requirements Class: Host</w:t>
      </w:r>
    </w:p>
    <w:bookmarkEnd w:id="30"/>
    <w:bookmarkEnd w:id="31"/>
    <w:bookmarkEnd w:id="32"/>
    <w:bookmarkStart w:id="33" w:name="X006c9d3b6667aaf06958882560708ea28cb1739"/>
    <w:p>
      <w:pPr>
        <w:pStyle w:val="Heading1"/>
      </w:pPr>
      <w:r>
        <w:t xml:space="preserve">Normative references</w:t>
      </w:r>
    </w:p>
    <w:bookmarkEnd w:id="33"/>
    <w:bookmarkStart w:id="46" w:name="Xd5582cd57372740036a424fe6cab6ad90ab568a"/>
    <w:p>
      <w:pPr>
        <w:pStyle w:val="Heading1"/>
      </w:pPr>
      <w:r>
        <w:t xml:space="preserve">Terms, definitions and abbreviations</w:t>
      </w:r>
    </w:p>
    <w:bookmarkStart w:id="44" w:name="Xf17c8383fae2ebb7cd7431905910c5a97b905d8"/>
    <w:p>
      <w:pPr>
        <w:pStyle w:val="Heading2"/>
      </w:pPr>
      <w:r>
        <w:t xml:space="preserve">Terms and definitions</w:t>
      </w:r>
    </w:p>
    <w:bookmarkStart w:id="34" w:name="Xcb6c7e9c4822e4385288cb0297183304786108e"/>
    <w:p>
      <w:pPr>
        <w:pStyle w:val="Heading3"/>
      </w:pPr>
      <w:r>
        <w:t xml:space="preserve">First mile</w:t>
      </w:r>
    </w:p>
    <w:bookmarkEnd w:id="34"/>
    <w:bookmarkStart w:id="35" w:name="X55ef750d99e95876a16cf5c6a6e7374568044c1"/>
    <w:p>
      <w:pPr>
        <w:pStyle w:val="Heading3"/>
      </w:pPr>
      <w:r>
        <w:t xml:space="preserve">Node device</w:t>
      </w:r>
    </w:p>
    <w:bookmarkEnd w:id="35"/>
    <w:bookmarkStart w:id="36" w:name="X839292c1a045f3fc22ae5b812c0062239c6b5da"/>
    <w:p>
      <w:pPr>
        <w:pStyle w:val="Heading3"/>
      </w:pPr>
      <w:r>
        <w:t xml:space="preserve">Observer device</w:t>
      </w:r>
    </w:p>
    <w:bookmarkEnd w:id="36"/>
    <w:bookmarkStart w:id="37" w:name="X3dd5b6348b7c8cabaa06a4e46e02f6125633375"/>
    <w:p>
      <w:pPr>
        <w:pStyle w:val="Heading3"/>
      </w:pPr>
      <w:r>
        <w:t xml:space="preserve">Observation</w:t>
      </w:r>
    </w:p>
    <w:bookmarkEnd w:id="37"/>
    <w:bookmarkStart w:id="38" w:name="X577630d6c26f797218344715e8d87cfeb328b04"/>
    <w:p>
      <w:pPr>
        <w:pStyle w:val="Heading3"/>
      </w:pPr>
      <w:r>
        <w:t xml:space="preserve">Parameter definition</w:t>
      </w:r>
    </w:p>
    <w:bookmarkEnd w:id="38"/>
    <w:bookmarkStart w:id="39" w:name="X8f1fb64e682958358ede0b244e2b111d22d914d"/>
    <w:p>
      <w:pPr>
        <w:pStyle w:val="Heading3"/>
      </w:pPr>
      <w:r>
        <w:t xml:space="preserve">Cell method</w:t>
      </w:r>
    </w:p>
    <w:bookmarkEnd w:id="39"/>
    <w:bookmarkStart w:id="40" w:name="X21d252061e556901263887ad8c73b4bf7e6fcd9"/>
    <w:p>
      <w:pPr>
        <w:pStyle w:val="Heading3"/>
      </w:pPr>
      <w:r>
        <w:t xml:space="preserve">Cell period</w:t>
      </w:r>
    </w:p>
    <w:bookmarkEnd w:id="40"/>
    <w:bookmarkStart w:id="41" w:name="Xb2c6ca581828d3107bbc351d89e0ec5b54d83da"/>
    <w:p>
      <w:pPr>
        <w:pStyle w:val="Heading3"/>
      </w:pPr>
      <w:r>
        <w:t xml:space="preserve">Empty value</w:t>
      </w:r>
    </w:p>
    <w:bookmarkEnd w:id="41"/>
    <w:bookmarkStart w:id="42" w:name="X9a8bf083cb84847f8d5f7064eaf08f0475256cf"/>
    <w:p>
      <w:pPr>
        <w:pStyle w:val="Heading3"/>
      </w:pPr>
      <w:r>
        <w:t xml:space="preserve">Standard name</w:t>
      </w:r>
    </w:p>
    <w:bookmarkEnd w:id="42"/>
    <w:bookmarkStart w:id="43" w:name="Xfc0b80871eb798be7b7c67dc681dffb81a86689"/>
    <w:p>
      <w:pPr>
        <w:pStyle w:val="Heading3"/>
      </w:pPr>
      <w:r>
        <w:t xml:space="preserve">Namespace</w:t>
      </w:r>
    </w:p>
    <w:bookmarkEnd w:id="43"/>
    <w:bookmarkEnd w:id="44"/>
    <w:bookmarkStart w:id="45" w:name="X6b29db19483545f8f9a43ff322b99ed5bd7e3a6"/>
    <w:p>
      <w:pPr>
        <w:pStyle w:val="Heading2"/>
      </w:pPr>
      <w:r>
        <w:t xml:space="preserve">Abbreviations</w:t>
      </w:r>
    </w:p>
    <w:p>
      <w:pPr>
        <w:numPr>
          <w:ilvl w:val="0"/>
          <w:numId w:val="1001"/>
        </w:numPr>
      </w:pPr>
      <w:r>
        <w:t xml:space="preserve">CF</w:t>
      </w:r>
    </w:p>
    <w:p>
      <w:pPr>
        <w:numPr>
          <w:ilvl w:val="0"/>
          <w:numId w:val="1001"/>
        </w:numPr>
      </w:pPr>
      <w:r>
        <w:t xml:space="preserve">HMEI</w:t>
      </w:r>
    </w:p>
    <w:p>
      <w:pPr>
        <w:numPr>
          <w:ilvl w:val="0"/>
          <w:numId w:val="1001"/>
        </w:numPr>
      </w:pPr>
      <w:r>
        <w:t xml:space="preserve">INFCOM</w:t>
      </w:r>
    </w:p>
    <w:p>
      <w:pPr>
        <w:numPr>
          <w:ilvl w:val="0"/>
          <w:numId w:val="1001"/>
        </w:numPr>
      </w:pPr>
      <w:r>
        <w:t xml:space="preserve">MQTT</w:t>
      </w:r>
    </w:p>
    <w:p>
      <w:pPr>
        <w:numPr>
          <w:ilvl w:val="0"/>
          <w:numId w:val="1001"/>
        </w:numPr>
      </w:pPr>
      <w:r>
        <w:t xml:space="preserve">protobuf</w:t>
      </w:r>
    </w:p>
    <w:p>
      <w:pPr>
        <w:numPr>
          <w:ilvl w:val="0"/>
          <w:numId w:val="1001"/>
        </w:numPr>
      </w:pPr>
      <w:r>
        <w:t xml:space="preserve">QoS</w:t>
      </w:r>
    </w:p>
    <w:p>
      <w:pPr>
        <w:numPr>
          <w:ilvl w:val="0"/>
          <w:numId w:val="1001"/>
        </w:numPr>
      </w:pPr>
      <w:r>
        <w:t xml:space="preserve">SC-IMT</w:t>
      </w:r>
    </w:p>
    <w:p>
      <w:pPr>
        <w:numPr>
          <w:ilvl w:val="0"/>
          <w:numId w:val="1001"/>
        </w:numPr>
      </w:pPr>
      <w:r>
        <w:t xml:space="preserve">WMO</w:t>
      </w:r>
    </w:p>
    <w:bookmarkEnd w:id="45"/>
    <w:bookmarkEnd w:id="46"/>
    <w:bookmarkStart w:id="50" w:name="X092135ba5a88783865c456c6e3593fb42502819"/>
    <w:p>
      <w:pPr>
        <w:pStyle w:val="Heading1"/>
      </w:pPr>
      <w:r>
        <w:t xml:space="preserve">Conventions</w:t>
      </w:r>
    </w:p>
    <w:bookmarkStart w:id="47" w:name="X945af8d3d835d9bfa055da55970a8304612c3ef"/>
    <w:p>
      <w:pPr>
        <w:pStyle w:val="Heading2"/>
      </w:pPr>
      <w:r>
        <w:t xml:space="preserve">Schema notation (Protocol Buffers v3)</w:t>
      </w:r>
    </w:p>
    <w:bookmarkEnd w:id="47"/>
    <w:bookmarkStart w:id="48" w:name="Xc477c1b95c4c34f6071d182fb5619d7b7524115"/>
    <w:p>
      <w:pPr>
        <w:pStyle w:val="Heading2"/>
      </w:pPr>
      <w:r>
        <w:t xml:space="preserve">Requirements, recommendations and permissions</w:t>
      </w:r>
    </w:p>
    <w:bookmarkEnd w:id="48"/>
    <w:bookmarkStart w:id="49" w:name="Xfba110af0e2726c334fba24c31d62dd5f8af371"/>
    <w:p>
      <w:pPr>
        <w:pStyle w:val="Heading2"/>
      </w:pPr>
      <w:r>
        <w:t xml:space="preserve">Namespace and identifier conventions</w:t>
      </w:r>
    </w:p>
    <w:bookmarkEnd w:id="49"/>
    <w:bookmarkEnd w:id="50"/>
    <w:bookmarkStart w:id="54" w:name="Xc683cc3eb5f62f1b2665ffbeddec6924032d7d2"/>
    <w:p>
      <w:pPr>
        <w:pStyle w:val="Heading1"/>
      </w:pPr>
      <w:r>
        <w:t xml:space="preserve">Overview (informative)</w:t>
      </w:r>
    </w:p>
    <w:p>
      <w:pPr>
        <w:pStyle w:val="FirstParagraph"/>
      </w:pPr>
      <w:r>
        <w:t xml:space="preserve">This clause provides a high-level view of the First-Mile Data Collection Guide. Communication is strictly unidirectional, with the Node transmitting protobuf payloads over MQTT to the Host. The two top-level payloads are the</w:t>
      </w:r>
      <w:r>
        <w:t xml:space="preserve"> </w:t>
      </w:r>
      <w:r>
        <w:rPr>
          <w:rStyle w:val="VerbatimChar"/>
        </w:rPr>
        <w:t xml:space="preserve">Data</w:t>
      </w:r>
      <w:r>
        <w:t xml:space="preserve"> </w:t>
      </w:r>
      <w:r>
        <w:t xml:space="preserve">message, which carries Observation content, and the</w:t>
      </w:r>
      <w:r>
        <w:t xml:space="preserve"> </w:t>
      </w:r>
      <w:r>
        <w:rPr>
          <w:rStyle w:val="VerbatimChar"/>
        </w:rPr>
        <w:t xml:space="preserve">Metadata</w:t>
      </w:r>
      <w:r>
        <w:t xml:space="preserve"> </w:t>
      </w:r>
      <w:r>
        <w:t xml:space="preserve">message, which carries the descriptive context needed to interpret those observations.</w:t>
      </w:r>
    </w:p>
    <w:bookmarkStart w:id="51" w:name="X961aebdbdb5906a05af74af8407e8ac6ecf2ffb"/>
    <w:p>
      <w:pPr>
        <w:pStyle w:val="Heading2"/>
      </w:pPr>
      <w:r>
        <w:t xml:space="preserve">System architecture</w:t>
      </w:r>
    </w:p>
    <w:p>
      <w:pPr>
        <w:pStyle w:val="FirstParagraph"/>
      </w:pPr>
      <w:r>
        <w:t xml:space="preserve">The Node represents the remote station or logger through a Node Device and may describe attached sensors as Observer Device entries. The</w:t>
      </w:r>
      <w:r>
        <w:t xml:space="preserve"> </w:t>
      </w:r>
      <w:r>
        <w:rPr>
          <w:rStyle w:val="VerbatimChar"/>
        </w:rPr>
        <w:t xml:space="preserve">Metadata</w:t>
      </w:r>
      <w:r>
        <w:t xml:space="preserve"> </w:t>
      </w:r>
      <w:r>
        <w:t xml:space="preserve">message carries the Node Device, Observer Device, Parameter Definition, and namespace information, while the</w:t>
      </w:r>
      <w:r>
        <w:t xml:space="preserve"> </w:t>
      </w:r>
      <w:r>
        <w:rPr>
          <w:rStyle w:val="VerbatimChar"/>
        </w:rPr>
        <w:t xml:space="preserve">Data</w:t>
      </w:r>
      <w:r>
        <w:t xml:space="preserve"> </w:t>
      </w:r>
      <w:r>
        <w:t xml:space="preserve">message carries one or more Observation instances that refer to those Parameter Definition identifiers. Detailed message structure is described in Clause 7, standard name binding in Clause 8, and MQTT protocol binding in Clause 9.</w:t>
      </w:r>
    </w:p>
    <w:p>
      <w:pPr>
        <w:pStyle w:val="SourceCode"/>
      </w:pPr>
      <w:r>
        <w:rPr>
          <w:rStyle w:val="VerbatimChar"/>
        </w:rPr>
        <w:t xml:space="preserve"> +-------------------+            +-------------------+</w:t>
      </w:r>
      <w:r>
        <w:br/>
      </w:r>
      <w:r>
        <w:rPr>
          <w:rStyle w:val="VerbatimChar"/>
        </w:rPr>
        <w:t xml:space="preserve">    | Node A            |            | Node B            |</w:t>
      </w:r>
      <w:r>
        <w:br/>
      </w:r>
      <w:r>
        <w:rPr>
          <w:rStyle w:val="VerbatimChar"/>
        </w:rPr>
        <w:t xml:space="preserve">    | Node Device       |            | Node Device       |</w:t>
      </w:r>
      <w:r>
        <w:br/>
      </w:r>
      <w:r>
        <w:rPr>
          <w:rStyle w:val="VerbatimChar"/>
        </w:rPr>
        <w:t xml:space="preserve">    | + Observers       |            | + Observers       |</w:t>
      </w:r>
      <w:r>
        <w:br/>
      </w:r>
      <w:r>
        <w:rPr>
          <w:rStyle w:val="VerbatimChar"/>
        </w:rPr>
        <w:t xml:space="preserve">    +-------------------+            +-------------------+</w:t>
      </w:r>
      <w:r>
        <w:br/>
      </w:r>
      <w:r>
        <w:rPr>
          <w:rStyle w:val="VerbatimChar"/>
        </w:rPr>
        <w:t xml:space="preserve">              |                                |</w:t>
      </w:r>
      <w:r>
        <w:br/>
      </w:r>
      <w:r>
        <w:rPr>
          <w:rStyle w:val="VerbatimChar"/>
        </w:rPr>
        <w:t xml:space="preserve">              | Metadata and Data messages     | Metadata and Data messages</w:t>
      </w:r>
      <w:r>
        <w:br/>
      </w:r>
      <w:r>
        <w:rPr>
          <w:rStyle w:val="VerbatimChar"/>
        </w:rPr>
        <w:t xml:space="preserve">              | over MQTT                      | over MQTT</w:t>
      </w:r>
      <w:r>
        <w:br/>
      </w:r>
      <w:r>
        <w:rPr>
          <w:rStyle w:val="VerbatimChar"/>
        </w:rPr>
        <w:t xml:space="preserve">              v                                v</w:t>
      </w:r>
      <w:r>
        <w:br/>
      </w:r>
      <w:r>
        <w:rPr>
          <w:rStyle w:val="VerbatimChar"/>
        </w:rPr>
        <w:t xml:space="preserve">    +----------------------------------------------------------+</w:t>
      </w:r>
      <w:r>
        <w:br/>
      </w:r>
      <w:r>
        <w:rPr>
          <w:rStyle w:val="VerbatimChar"/>
        </w:rPr>
        <w:t xml:space="preserve">    |                         Host                             |</w:t>
      </w:r>
      <w:r>
        <w:br/>
      </w:r>
      <w:r>
        <w:rPr>
          <w:rStyle w:val="VerbatimChar"/>
        </w:rPr>
        <w:t xml:space="preserve">    | Receives, decodes, and interprets protobuf payloads      |</w:t>
      </w:r>
      <w:r>
        <w:br/>
      </w:r>
      <w:r>
        <w:rPr>
          <w:rStyle w:val="VerbatimChar"/>
        </w:rPr>
        <w:t xml:space="preserve">    +----------------------------------------------------------+</w:t>
      </w:r>
      <w:r>
        <w:br/>
      </w:r>
      <w:r>
        <w:br/>
      </w:r>
      <w:r>
        <w:rPr>
          <w:rStyle w:val="VerbatimChar"/>
        </w:rPr>
        <w:t xml:space="preserve">                  Multiple Nodes may publish</w:t>
      </w:r>
      <w:r>
        <w:br/>
      </w:r>
      <w:r>
        <w:rPr>
          <w:rStyle w:val="VerbatimChar"/>
        </w:rPr>
        <w:t xml:space="preserve">                  to a single Host.</w:t>
      </w:r>
    </w:p>
    <w:bookmarkEnd w:id="51"/>
    <w:bookmarkStart w:id="52" w:name="X770fa29b64d56b71c44a849f2807d40b1e1388b"/>
    <w:p>
      <w:pPr>
        <w:pStyle w:val="Heading2"/>
      </w:pPr>
      <w:r>
        <w:t xml:space="preserve">Message flow</w:t>
      </w:r>
    </w:p>
    <w:p>
      <w:pPr>
        <w:pStyle w:val="FirstParagraph"/>
      </w:pPr>
      <w:r>
        <w:t xml:space="preserve">In typical operation, the</w:t>
      </w:r>
      <w:r>
        <w:t xml:space="preserve"> </w:t>
      </w:r>
      <w:r>
        <w:rPr>
          <w:rStyle w:val="VerbatimChar"/>
        </w:rPr>
        <w:t xml:space="preserve">Metadata</w:t>
      </w:r>
      <w:r>
        <w:t xml:space="preserve"> </w:t>
      </w:r>
      <w:r>
        <w:t xml:space="preserve">message is sent when the Node is initialized and whenever the station configuration changes, and the</w:t>
      </w:r>
      <w:r>
        <w:t xml:space="preserve"> </w:t>
      </w:r>
      <w:r>
        <w:rPr>
          <w:rStyle w:val="VerbatimChar"/>
        </w:rPr>
        <w:t xml:space="preserve">Data</w:t>
      </w:r>
      <w:r>
        <w:t xml:space="preserve"> </w:t>
      </w:r>
      <w:r>
        <w:t xml:space="preserve">message is sent as observations become available. This separates relatively stable descriptive information from frequently changing measurement values and supports both individual and batched Observation delivery. Where a measurement is unavailable, the value is represented explicitly using</w:t>
      </w:r>
      <w:r>
        <w:t xml:space="preserve"> </w:t>
      </w:r>
      <w:r>
        <w:rPr>
          <w:rStyle w:val="VerbatimChar"/>
        </w:rPr>
        <w:t xml:space="preserve">emptyValue</w:t>
      </w:r>
      <w:r>
        <w:t xml:space="preserve"> </w:t>
      </w:r>
      <w:r>
        <w:t xml:space="preserve">rather than being inferred from zero or omission.</w:t>
      </w:r>
    </w:p>
    <w:bookmarkEnd w:id="52"/>
    <w:bookmarkStart w:id="53" w:name="Xeb3755b0f5fc801b9ca59eeff88831d7e633675"/>
    <w:p>
      <w:pPr>
        <w:pStyle w:val="Heading2"/>
      </w:pPr>
      <w:r>
        <w:t xml:space="preserve">Conformance class summary</w:t>
      </w:r>
    </w:p>
    <w:tbl>
      <w:tblPr>
        <w:tblStyle w:val="Table"/>
        <w:tblW w:type="pct" w:w="5000"/>
        <w:tblLook w:firstRow="1" w:lastRow="0" w:firstColumn="0" w:lastColumn="0" w:noHBand="0" w:noVBand="0" w:val="0020"/>
        <w:jc w:val="start"/>
      </w:tblPr>
      <w:tblGrid>
        <w:gridCol w:w="2262"/>
        <w:gridCol w:w="5657"/>
      </w:tblGrid>
      <w:tr>
        <w:trPr>
          <w:tblHeader w:val="true"/>
        </w:trPr>
        <w:tc>
          <w:tcPr/>
          <w:p>
            <w:pPr>
              <w:pStyle w:val="Compact"/>
              <w:jc w:val="left"/>
            </w:pPr>
            <w:r>
              <w:t xml:space="preserve">Conformance class</w:t>
            </w:r>
          </w:p>
        </w:tc>
        <w:tc>
          <w:tcPr/>
          <w:p>
            <w:pPr>
              <w:pStyle w:val="Compact"/>
              <w:jc w:val="left"/>
            </w:pPr>
            <w:r>
              <w:t xml:space="preserve">Summary</w:t>
            </w:r>
          </w:p>
        </w:tc>
      </w:tr>
      <w:tr>
        <w:tc>
          <w:tcPr/>
          <w:p>
            <w:pPr>
              <w:jc w:val="left"/>
            </w:pPr>
            <w:r>
              <w:t xml:space="preserve">Core Data Model</w:t>
            </w:r>
          </w:p>
        </w:tc>
        <w:tc>
          <w:tcPr/>
          <w:p>
            <w:pPr>
              <w:jc w:val="left"/>
            </w:pPr>
            <w:r>
              <w:t xml:space="preserve">Covers the protobuf structure and semantics of the</w:t>
            </w:r>
            <w:r>
              <w:t xml:space="preserve"> </w:t>
            </w:r>
            <w:r>
              <w:rPr>
                <w:rStyle w:val="VerbatimChar"/>
              </w:rPr>
              <w:t xml:space="preserve">Data</w:t>
            </w:r>
            <w:r>
              <w:t xml:space="preserve"> </w:t>
            </w:r>
            <w:r>
              <w:t xml:space="preserve">message,</w:t>
            </w:r>
            <w:r>
              <w:t xml:space="preserve"> </w:t>
            </w:r>
            <w:r>
              <w:rPr>
                <w:rStyle w:val="VerbatimChar"/>
              </w:rPr>
              <w:t xml:space="preserve">Metadata</w:t>
            </w:r>
            <w:r>
              <w:t xml:space="preserve"> </w:t>
            </w:r>
            <w:r>
              <w:t xml:space="preserve">message, Observation content, devices, Parameter Definition content, and explicit missing values.</w:t>
            </w:r>
          </w:p>
        </w:tc>
      </w:tr>
      <w:tr>
        <w:tc>
          <w:tcPr/>
          <w:p>
            <w:pPr>
              <w:jc w:val="left"/>
            </w:pPr>
            <w:r>
              <w:t xml:space="preserve">Standard Name Binding</w:t>
            </w:r>
          </w:p>
        </w:tc>
        <w:tc>
          <w:tcPr/>
          <w:p>
            <w:pPr>
              <w:jc w:val="left"/>
            </w:pPr>
            <w:r>
              <w:t xml:space="preserve">Covers how Parameter Definition entries associate parameters with controlled standard-name vocabularies and namespaces.</w:t>
            </w:r>
          </w:p>
        </w:tc>
      </w:tr>
      <w:tr>
        <w:tc>
          <w:tcPr/>
          <w:p>
            <w:pPr>
              <w:jc w:val="left"/>
            </w:pPr>
            <w:r>
              <w:t xml:space="preserve">MQTT Protocol Binding</w:t>
            </w:r>
          </w:p>
        </w:tc>
        <w:tc>
          <w:tcPr/>
          <w:p>
            <w:pPr>
              <w:jc w:val="left"/>
            </w:pPr>
            <w:r>
              <w:t xml:space="preserve">Covers how protobuf payloads are conveyed over MQTT in the unidirectional exchange between Node and Host.</w:t>
            </w:r>
          </w:p>
        </w:tc>
      </w:tr>
      <w:tr>
        <w:tc>
          <w:tcPr/>
          <w:p>
            <w:pPr>
              <w:jc w:val="left"/>
            </w:pPr>
            <w:r>
              <w:t xml:space="preserve">Node</w:t>
            </w:r>
          </w:p>
        </w:tc>
        <w:tc>
          <w:tcPr/>
          <w:p>
            <w:pPr>
              <w:jc w:val="left"/>
            </w:pPr>
            <w:r>
              <w:t xml:space="preserve">Covers the sender-side behavior for constructing and publishing</w:t>
            </w:r>
            <w:r>
              <w:t xml:space="preserve"> </w:t>
            </w:r>
            <w:r>
              <w:rPr>
                <w:rStyle w:val="VerbatimChar"/>
              </w:rPr>
              <w:t xml:space="preserve">Metadata</w:t>
            </w:r>
            <w:r>
              <w:t xml:space="preserve"> </w:t>
            </w:r>
            <w:r>
              <w:t xml:space="preserve">message and</w:t>
            </w:r>
            <w:r>
              <w:t xml:space="preserve"> </w:t>
            </w:r>
            <w:r>
              <w:rPr>
                <w:rStyle w:val="VerbatimChar"/>
              </w:rPr>
              <w:t xml:space="preserve">Data</w:t>
            </w:r>
            <w:r>
              <w:t xml:space="preserve"> </w:t>
            </w:r>
            <w:r>
              <w:t xml:space="preserve">message payloads.</w:t>
            </w:r>
          </w:p>
        </w:tc>
      </w:tr>
      <w:tr>
        <w:tc>
          <w:tcPr/>
          <w:p>
            <w:pPr>
              <w:jc w:val="left"/>
            </w:pPr>
            <w:r>
              <w:t xml:space="preserve">Host</w:t>
            </w:r>
          </w:p>
        </w:tc>
        <w:tc>
          <w:tcPr/>
          <w:p>
            <w:pPr>
              <w:jc w:val="left"/>
            </w:pPr>
            <w:r>
              <w:t xml:space="preserve">Covers the receiver-side behavior for accepting, decoding, and interpreting payloads received from the Node.</w:t>
            </w:r>
          </w:p>
        </w:tc>
      </w:tr>
    </w:tbl>
    <w:bookmarkEnd w:id="53"/>
    <w:bookmarkEnd w:id="54"/>
    <w:bookmarkStart w:id="75" w:name="Xcf8df71770e278956d1af1654bdc7462ec5e71a"/>
    <w:p>
      <w:pPr>
        <w:pStyle w:val="Heading1"/>
      </w:pPr>
      <w:r>
        <w:t xml:space="preserve">Data model</w:t>
      </w:r>
    </w:p>
    <w:bookmarkStart w:id="58" w:name="X43f9398da9c2eb974194c1e60a2fdc80e1bfc87"/>
    <w:p>
      <w:pPr>
        <w:pStyle w:val="Heading2"/>
      </w:pPr>
      <w:r>
        <w:t xml:space="preserve">Overview</w:t>
      </w:r>
    </w:p>
    <w:p>
      <w:pPr>
        <w:pStyle w:val="FirstParagraph"/>
      </w:pPr>
      <w:r>
        <w:t xml:space="preserve">The data model defines the structure and organization of information transmitted from the Node to the Host using Protocol Buffers (Protobuf) as the Data Format. The data model is formally specified in the protobuf schema</w:t>
      </w:r>
      <w:r>
        <w:t xml:space="preserve"> </w:t>
      </w:r>
      <w:r>
        <w:rPr>
          <w:rStyle w:val="VerbatimChar"/>
        </w:rPr>
        <w:t xml:space="preserve">firstmile.proto</w:t>
      </w:r>
      <w:r>
        <w:t xml:space="preserve">.</w:t>
      </w:r>
    </w:p>
    <w:p>
      <w:pPr>
        <w:pStyle w:val="BodyText"/>
      </w:pPr>
      <w:r>
        <w:t xml:space="preserve">The data model supports two primary use cases:</w:t>
      </w:r>
    </w:p>
    <w:p>
      <w:pPr>
        <w:numPr>
          <w:ilvl w:val="0"/>
          <w:numId w:val="1002"/>
        </w:numPr>
      </w:pPr>
      <w:r>
        <w:rPr>
          <w:bCs/>
          <w:b/>
        </w:rPr>
        <w:t xml:space="preserve">Transmission of observation data</w:t>
      </w:r>
      <w:r>
        <w:t xml:space="preserve"> </w:t>
      </w:r>
      <w:r>
        <w:t xml:space="preserve">- The Node transmits measurement values collected from sensors</w:t>
      </w:r>
    </w:p>
    <w:p>
      <w:pPr>
        <w:numPr>
          <w:ilvl w:val="0"/>
          <w:numId w:val="1002"/>
        </w:numPr>
      </w:pPr>
      <w:r>
        <w:rPr>
          <w:bCs/>
          <w:b/>
        </w:rPr>
        <w:t xml:space="preserve">Transmission of metadata</w:t>
      </w:r>
      <w:r>
        <w:t xml:space="preserve"> </w:t>
      </w:r>
      <w:r>
        <w:t xml:space="preserve">- The Node transmits information about the monitoring site, devices, and parameter definitions</w:t>
      </w:r>
    </w:p>
    <w:p>
      <w:pPr>
        <w:pStyle w:val="FirstParagraph"/>
      </w:pPr>
      <w:r>
        <w:t xml:space="preserve">These use cases are supported by two top-level message types: the</w:t>
      </w:r>
      <w:r>
        <w:t xml:space="preserve"> </w:t>
      </w:r>
      <w:r>
        <w:rPr>
          <w:rStyle w:val="VerbatimChar"/>
        </w:rPr>
        <w:t xml:space="preserve">Data</w:t>
      </w:r>
      <w:r>
        <w:t xml:space="preserve"> </w:t>
      </w:r>
      <w:r>
        <w:t xml:space="preserve">message containing observations, and the</w:t>
      </w:r>
      <w:r>
        <w:t xml:space="preserve"> </w:t>
      </w:r>
      <w:r>
        <w:rPr>
          <w:rStyle w:val="VerbatimChar"/>
        </w:rPr>
        <w:t xml:space="preserve">Metadata</w:t>
      </w:r>
      <w:r>
        <w:t xml:space="preserve"> </w:t>
      </w:r>
      <w:r>
        <w:t xml:space="preserve">message containing configuration and contextual information. Both messages are defined in a single protobuf schema and transmitted as independent payloads over MQTT. The</w:t>
      </w:r>
      <w:r>
        <w:t xml:space="preserve"> </w:t>
      </w:r>
      <w:r>
        <w:rPr>
          <w:rStyle w:val="VerbatimChar"/>
        </w:rPr>
        <w:t xml:space="preserve">Metadata</w:t>
      </w:r>
      <w:r>
        <w:t xml:space="preserve"> </w:t>
      </w:r>
      <w:r>
        <w:t xml:space="preserve">message provides the necessary context for interpreting the</w:t>
      </w:r>
      <w:r>
        <w:t xml:space="preserve"> </w:t>
      </w:r>
      <w:r>
        <w:rPr>
          <w:rStyle w:val="VerbatimChar"/>
        </w:rPr>
        <w:t xml:space="preserve">Data</w:t>
      </w:r>
      <w:r>
        <w:t xml:space="preserve"> </w:t>
      </w:r>
      <w:r>
        <w:t xml:space="preserve">message, including descriptions of devices and parameters.</w:t>
      </w:r>
    </w:p>
    <w:bookmarkStart w:id="55" w:name="X4ba8f9e6d5079a7cc156a45f9b70bb3a6db2312"/>
    <w:p>
      <w:pPr>
        <w:pStyle w:val="Heading3"/>
      </w:pPr>
      <w:r>
        <w:t xml:space="preserve">Communication pattern</w:t>
      </w:r>
    </w:p>
    <w:p>
      <w:pPr>
        <w:pStyle w:val="FirstParagraph"/>
      </w:pPr>
      <w:r>
        <w:t xml:space="preserve">The communication follows a unidirectional pattern where data flows from the Node to the Host. The Node may transmit messages in the following patterns:</w:t>
      </w:r>
    </w:p>
    <w:p>
      <w:pPr>
        <w:numPr>
          <w:ilvl w:val="0"/>
          <w:numId w:val="1003"/>
        </w:numPr>
      </w:pPr>
      <w:r>
        <w:rPr>
          <w:bCs/>
          <w:b/>
        </w:rPr>
        <w:t xml:space="preserve">Data-only transmission</w:t>
      </w:r>
      <w:r>
        <w:t xml:space="preserve"> </w:t>
      </w:r>
      <w:r>
        <w:t xml:space="preserve">- Frequent transmission of</w:t>
      </w:r>
      <w:r>
        <w:t xml:space="preserve"> </w:t>
      </w:r>
      <w:r>
        <w:rPr>
          <w:rStyle w:val="VerbatimChar"/>
        </w:rPr>
        <w:t xml:space="preserve">Data</w:t>
      </w:r>
      <w:r>
        <w:t xml:space="preserve"> </w:t>
      </w:r>
      <w:r>
        <w:t xml:space="preserve">messages containing current or batched observations</w:t>
      </w:r>
    </w:p>
    <w:p>
      <w:pPr>
        <w:numPr>
          <w:ilvl w:val="0"/>
          <w:numId w:val="1003"/>
        </w:numPr>
      </w:pPr>
      <w:r>
        <w:rPr>
          <w:bCs/>
          <w:b/>
        </w:rPr>
        <w:t xml:space="preserve">Metadata transmission</w:t>
      </w:r>
      <w:r>
        <w:t xml:space="preserve"> </w:t>
      </w:r>
      <w:r>
        <w:t xml:space="preserve">- Transmission of</w:t>
      </w:r>
      <w:r>
        <w:t xml:space="preserve"> </w:t>
      </w:r>
      <w:r>
        <w:rPr>
          <w:rStyle w:val="VerbatimChar"/>
        </w:rPr>
        <w:t xml:space="preserve">Metadata</w:t>
      </w:r>
      <w:r>
        <w:t xml:space="preserve"> </w:t>
      </w:r>
      <w:r>
        <w:t xml:space="preserve">messages when the configuration changes or upon initialization</w:t>
      </w:r>
    </w:p>
    <w:p>
      <w:pPr>
        <w:pStyle w:val="FirstParagraph"/>
      </w:pPr>
      <w:r>
        <w:t xml:space="preserve">The Node should transmit the</w:t>
      </w:r>
      <w:r>
        <w:t xml:space="preserve"> </w:t>
      </w:r>
      <w:r>
        <w:rPr>
          <w:rStyle w:val="VerbatimChar"/>
        </w:rPr>
        <w:t xml:space="preserve">Metadata</w:t>
      </w:r>
      <w:r>
        <w:t xml:space="preserve"> </w:t>
      </w:r>
      <w:r>
        <w:t xml:space="preserve">message at least once after initialization and whenever the configuration of devices or parameter definitions changes. The</w:t>
      </w:r>
      <w:r>
        <w:t xml:space="preserve"> </w:t>
      </w:r>
      <w:r>
        <w:rPr>
          <w:rStyle w:val="VerbatimChar"/>
        </w:rPr>
        <w:t xml:space="preserve">Data</w:t>
      </w:r>
      <w:r>
        <w:t xml:space="preserve"> </w:t>
      </w:r>
      <w:r>
        <w:t xml:space="preserve">message may be transmitted as frequently as needed to deliver observations.</w:t>
      </w:r>
      <w:r>
        <w:t xml:space="preserve"> </w:t>
      </w:r>
      <w:r>
        <w:t xml:space="preserve">The Host can only intepret data correctly if it has received the relevant</w:t>
      </w:r>
      <w:r>
        <w:t xml:space="preserve"> </w:t>
      </w:r>
      <w:r>
        <w:rPr>
          <w:rStyle w:val="VerbatimChar"/>
        </w:rPr>
        <w:t xml:space="preserve">Metadata</w:t>
      </w:r>
      <w:r>
        <w:t xml:space="preserve"> </w:t>
      </w:r>
      <w:r>
        <w:t xml:space="preserve">message that defines the devices and parameters being observed. Therefore, it is recommended to transmit the</w:t>
      </w:r>
      <w:r>
        <w:t xml:space="preserve"> </w:t>
      </w:r>
      <w:r>
        <w:rPr>
          <w:rStyle w:val="VerbatimChar"/>
        </w:rPr>
        <w:t xml:space="preserve">Metadata</w:t>
      </w:r>
      <w:r>
        <w:t xml:space="preserve"> </w:t>
      </w:r>
      <w:r>
        <w:t xml:space="preserve">message at least once before transmitting any</w:t>
      </w:r>
      <w:r>
        <w:t xml:space="preserve"> </w:t>
      </w:r>
      <w:r>
        <w:rPr>
          <w:rStyle w:val="VerbatimChar"/>
        </w:rPr>
        <w:t xml:space="preserve">Data</w:t>
      </w:r>
      <w:r>
        <w:t xml:space="preserve"> </w:t>
      </w:r>
      <w:r>
        <w:t xml:space="preserve">messages.</w:t>
      </w:r>
    </w:p>
    <w:bookmarkEnd w:id="55"/>
    <w:bookmarkStart w:id="56" w:name="Xc6af7eb06d9e27528b46af08e1b66f96da6310c"/>
    <w:p>
      <w:pPr>
        <w:pStyle w:val="Heading3"/>
      </w:pPr>
      <w:r>
        <w:t xml:space="preserve">Message hierarchy</w:t>
      </w:r>
    </w:p>
    <w:p>
      <w:pPr>
        <w:pStyle w:val="FirstParagraph"/>
      </w:pPr>
      <w:r>
        <w:t xml:space="preserve">The data model organizes information hierarchically:</w:t>
      </w:r>
    </w:p>
    <w:p>
      <w:pPr>
        <w:numPr>
          <w:ilvl w:val="0"/>
          <w:numId w:val="1004"/>
        </w:numPr>
      </w:pPr>
      <w:r>
        <w:rPr>
          <w:bCs/>
          <w:b/>
        </w:rPr>
        <w:t xml:space="preserve">Messages</w:t>
      </w:r>
      <w:r>
        <w:t xml:space="preserve"> </w:t>
      </w:r>
      <w:r>
        <w:t xml:space="preserve">- Top-level containers (</w:t>
      </w:r>
      <w:r>
        <w:rPr>
          <w:rStyle w:val="VerbatimChar"/>
        </w:rPr>
        <w:t xml:space="preserve">Data</w:t>
      </w:r>
      <w:r>
        <w:t xml:space="preserve"> </w:t>
      </w:r>
      <w:r>
        <w:t xml:space="preserve">and</w:t>
      </w:r>
      <w:r>
        <w:t xml:space="preserve"> </w:t>
      </w:r>
      <w:r>
        <w:rPr>
          <w:rStyle w:val="VerbatimChar"/>
        </w:rPr>
        <w:t xml:space="preserve">Metadata</w:t>
      </w:r>
      <w:r>
        <w:t xml:space="preserve">) that are transmitted as independent payloads</w:t>
      </w:r>
    </w:p>
    <w:p>
      <w:pPr>
        <w:numPr>
          <w:ilvl w:val="0"/>
          <w:numId w:val="1004"/>
        </w:numPr>
      </w:pPr>
      <w:r>
        <w:rPr>
          <w:bCs/>
          <w:b/>
        </w:rPr>
        <w:t xml:space="preserve">Devices</w:t>
      </w:r>
      <w:r>
        <w:t xml:space="preserve"> </w:t>
      </w:r>
      <w:r>
        <w:t xml:space="preserve">- Descriptions of physical equipment including the Node Device (node) and Observer Devices (sensors)</w:t>
      </w:r>
    </w:p>
    <w:p>
      <w:pPr>
        <w:numPr>
          <w:ilvl w:val="0"/>
          <w:numId w:val="1004"/>
        </w:numPr>
      </w:pPr>
      <w:r>
        <w:rPr>
          <w:bCs/>
          <w:b/>
        </w:rPr>
        <w:t xml:space="preserve">Observations</w:t>
      </w:r>
      <w:r>
        <w:t xml:space="preserve"> </w:t>
      </w:r>
      <w:r>
        <w:t xml:space="preserve">- Measurement data points consisting of a parameter identifier, timestamp, and one or more values</w:t>
      </w:r>
    </w:p>
    <w:p>
      <w:pPr>
        <w:numPr>
          <w:ilvl w:val="0"/>
          <w:numId w:val="1004"/>
        </w:numPr>
      </w:pPr>
      <w:r>
        <w:rPr>
          <w:bCs/>
          <w:b/>
        </w:rPr>
        <w:t xml:space="preserve">Parameter definitions</w:t>
      </w:r>
      <w:r>
        <w:t xml:space="preserve"> </w:t>
      </w:r>
      <w:r>
        <w:t xml:space="preserve">- Metadata describing what is being measured, including units, aggregation methods, and standard name mappings. Parameter definitions also describe how observations are structured in</w:t>
      </w:r>
      <w:r>
        <w:t xml:space="preserve"> </w:t>
      </w:r>
      <w:r>
        <w:rPr>
          <w:rStyle w:val="VerbatimChar"/>
        </w:rPr>
        <w:t xml:space="preserve">Data</w:t>
      </w:r>
      <w:r>
        <w:t xml:space="preserve"> </w:t>
      </w:r>
      <w:r>
        <w:t xml:space="preserve">messages.</w:t>
      </w:r>
    </w:p>
    <w:p>
      <w:pPr>
        <w:numPr>
          <w:ilvl w:val="0"/>
          <w:numId w:val="1004"/>
        </w:numPr>
      </w:pPr>
      <w:r>
        <w:rPr>
          <w:bCs/>
          <w:b/>
        </w:rPr>
        <w:t xml:space="preserve">Values</w:t>
      </w:r>
      <w:r>
        <w:t xml:space="preserve"> </w:t>
      </w:r>
      <w:r>
        <w:t xml:space="preserve">- The actual measurement data, supporting multiple numeric types, strings, booleans, and explicit representation of missing data</w:t>
      </w:r>
    </w:p>
    <w:p>
      <w:pPr>
        <w:pStyle w:val="FirstParagraph"/>
      </w:pPr>
      <w:r>
        <w:t xml:space="preserve">Each</w:t>
      </w:r>
      <w:r>
        <w:t xml:space="preserve"> </w:t>
      </w:r>
      <w:r>
        <w:rPr>
          <w:rStyle w:val="VerbatimChar"/>
        </w:rPr>
        <w:t xml:space="preserve">Observation</w:t>
      </w:r>
      <w:r>
        <w:t xml:space="preserve"> </w:t>
      </w:r>
      <w:r>
        <w:t xml:space="preserve">references a</w:t>
      </w:r>
      <w:r>
        <w:t xml:space="preserve"> </w:t>
      </w:r>
      <w:r>
        <w:rPr>
          <w:rStyle w:val="VerbatimChar"/>
        </w:rPr>
        <w:t xml:space="preserve">ParameterDefinition</w:t>
      </w:r>
      <w:r>
        <w:t xml:space="preserve"> </w:t>
      </w:r>
      <w:r>
        <w:t xml:space="preserve">by identifier. Each</w:t>
      </w:r>
      <w:r>
        <w:t xml:space="preserve"> </w:t>
      </w:r>
      <w:r>
        <w:rPr>
          <w:rStyle w:val="VerbatimChar"/>
        </w:rPr>
        <w:t xml:space="preserve">ParameterDefinition</w:t>
      </w:r>
      <w:r>
        <w:t xml:space="preserve"> </w:t>
      </w:r>
      <w:r>
        <w:t xml:space="preserve">contains one or more</w:t>
      </w:r>
      <w:r>
        <w:t xml:space="preserve"> </w:t>
      </w:r>
      <w:r>
        <w:rPr>
          <w:rStyle w:val="VerbatimChar"/>
        </w:rPr>
        <w:t xml:space="preserve">Parameter</w:t>
      </w:r>
      <w:r>
        <w:t xml:space="preserve"> </w:t>
      </w:r>
      <w:r>
        <w:t xml:space="preserve">specifications that describe the measured variable, its unit, temporal aggregation method, and which device performs the measurement.</w:t>
      </w:r>
    </w:p>
    <w:bookmarkEnd w:id="56"/>
    <w:bookmarkStart w:id="57" w:name="Xd1407eb2acab85faf209ebb838d94cf5606e93f"/>
    <w:p>
      <w:pPr>
        <w:pStyle w:val="Heading3"/>
      </w:pPr>
      <w:r>
        <w:t xml:space="preserve">Design principles</w:t>
      </w:r>
    </w:p>
    <w:p>
      <w:pPr>
        <w:pStyle w:val="FirstParagraph"/>
      </w:pPr>
      <w:r>
        <w:t xml:space="preserve">The data model is designed according to the following principles:</w:t>
      </w:r>
    </w:p>
    <w:p>
      <w:pPr>
        <w:numPr>
          <w:ilvl w:val="0"/>
          <w:numId w:val="1005"/>
        </w:numPr>
      </w:pPr>
      <w:r>
        <w:rPr>
          <w:bCs/>
          <w:b/>
        </w:rPr>
        <w:t xml:space="preserve">Efficiency</w:t>
      </w:r>
      <w:r>
        <w:t xml:space="preserve"> </w:t>
      </w:r>
      <w:r>
        <w:t xml:space="preserve">- Optimized for bandwidth-constrained environments but focusing on IP communication rather than extremely low-level binary formats</w:t>
      </w:r>
    </w:p>
    <w:p>
      <w:pPr>
        <w:numPr>
          <w:ilvl w:val="0"/>
          <w:numId w:val="1005"/>
        </w:numPr>
      </w:pPr>
      <w:r>
        <w:rPr>
          <w:bCs/>
          <w:b/>
        </w:rPr>
        <w:t xml:space="preserve">Extensibility</w:t>
      </w:r>
      <w:r>
        <w:t xml:space="preserve"> </w:t>
      </w:r>
      <w:r>
        <w:t xml:space="preserve">- Support for multiple value types and flexible parameter definitions</w:t>
      </w:r>
    </w:p>
    <w:p>
      <w:pPr>
        <w:numPr>
          <w:ilvl w:val="0"/>
          <w:numId w:val="1005"/>
        </w:numPr>
      </w:pPr>
      <w:r>
        <w:rPr>
          <w:bCs/>
          <w:b/>
        </w:rPr>
        <w:t xml:space="preserve">Self-description</w:t>
      </w:r>
      <w:r>
        <w:t xml:space="preserve"> </w:t>
      </w:r>
      <w:r>
        <w:t xml:space="preserve">- Metadata provides complete context for interpreting observations</w:t>
      </w:r>
    </w:p>
    <w:p>
      <w:pPr>
        <w:numPr>
          <w:ilvl w:val="0"/>
          <w:numId w:val="1005"/>
        </w:numPr>
      </w:pPr>
      <w:r>
        <w:rPr>
          <w:bCs/>
          <w:b/>
        </w:rPr>
        <w:t xml:space="preserve">Explicit missing values</w:t>
      </w:r>
      <w:r>
        <w:t xml:space="preserve"> </w:t>
      </w:r>
      <w:r>
        <w:t xml:space="preserve">- Clear distinction between unavailable data and zero/false measurements</w:t>
      </w:r>
    </w:p>
    <w:p>
      <w:pPr>
        <w:numPr>
          <w:ilvl w:val="0"/>
          <w:numId w:val="1005"/>
        </w:numPr>
      </w:pPr>
      <w:r>
        <w:rPr>
          <w:bCs/>
          <w:b/>
        </w:rPr>
        <w:t xml:space="preserve">Batch transmission</w:t>
      </w:r>
      <w:r>
        <w:t xml:space="preserve"> </w:t>
      </w:r>
      <w:r>
        <w:t xml:space="preserve">- Multiple observations may be included in a single</w:t>
      </w:r>
      <w:r>
        <w:t xml:space="preserve"> </w:t>
      </w:r>
      <w:r>
        <w:rPr>
          <w:rStyle w:val="VerbatimChar"/>
        </w:rPr>
        <w:t xml:space="preserve">Data</w:t>
      </w:r>
      <w:r>
        <w:t xml:space="preserve"> </w:t>
      </w:r>
      <w:r>
        <w:t xml:space="preserve">message</w:t>
      </w:r>
    </w:p>
    <w:p>
      <w:pPr>
        <w:numPr>
          <w:ilvl w:val="0"/>
          <w:numId w:val="1005"/>
        </w:numPr>
      </w:pPr>
      <w:r>
        <w:rPr>
          <w:bCs/>
          <w:b/>
        </w:rPr>
        <w:t xml:space="preserve">Standard name interoperability</w:t>
      </w:r>
      <w:r>
        <w:t xml:space="preserve"> </w:t>
      </w:r>
      <w:r>
        <w:t xml:space="preserve">- Mapping to external naming conventions through namespace definitions</w:t>
      </w:r>
    </w:p>
    <w:bookmarkEnd w:id="57"/>
    <w:bookmarkEnd w:id="58"/>
    <w:bookmarkStart w:id="61" w:name="X420eafb99047cba937d0193d2433ab87194b2c1"/>
    <w:p>
      <w:pPr>
        <w:pStyle w:val="Heading2"/>
      </w:pPr>
      <w:r>
        <w:t xml:space="preserve">Messages</w:t>
      </w:r>
    </w:p>
    <w:bookmarkStart w:id="59" w:name="Xfc8cf4c3e1864f20c9bd5ac1430955c8f69814c"/>
    <w:p>
      <w:pPr>
        <w:pStyle w:val="Heading3"/>
      </w:pPr>
      <w:r>
        <w:t xml:space="preserve">Metadata message</w:t>
      </w:r>
    </w:p>
    <w:p>
      <w:pPr>
        <w:pStyle w:val="FirstParagraph"/>
      </w:pPr>
      <w:r>
        <w:t xml:space="preserve">The</w:t>
      </w:r>
      <w:r>
        <w:t xml:space="preserve"> </w:t>
      </w:r>
      <w:r>
        <w:rPr>
          <w:rStyle w:val="VerbatimChar"/>
        </w:rPr>
        <w:t xml:space="preserve">Metadata</w:t>
      </w:r>
      <w:r>
        <w:t xml:space="preserve"> </w:t>
      </w:r>
      <w:r>
        <w:t xml:space="preserve">message provides configuration and contextual information about the Node, including descriptions of devices and the parameters they measure. This message shall be transmitted at least once after Node initialization and whenever the configuration changes.</w:t>
      </w:r>
    </w:p>
    <w:p>
      <w:pPr>
        <w:pStyle w:val="BodyText"/>
      </w:pPr>
      <w:r>
        <w:t xml:space="preserve">The</w:t>
      </w:r>
      <w:r>
        <w:t xml:space="preserve"> </w:t>
      </w:r>
      <w:r>
        <w:rPr>
          <w:rStyle w:val="VerbatimChar"/>
        </w:rPr>
        <w:t xml:space="preserve">Metadata</w:t>
      </w:r>
      <w:r>
        <w:t xml:space="preserve"> </w:t>
      </w:r>
      <w:r>
        <w:t xml:space="preserve">message contains the following fields:</w:t>
      </w:r>
    </w:p>
    <w:tbl>
      <w:tblPr>
        <w:tblStyle w:val="Table"/>
        <w:tblW w:type="pct" w:w="5000"/>
        <w:tblLook w:firstRow="1" w:lastRow="0" w:firstColumn="0" w:lastColumn="0" w:noHBand="0" w:noVBand="0" w:val="0020"/>
        <w:jc w:val="start"/>
      </w:tblPr>
      <w:tblGrid>
        <w:gridCol w:w="1584"/>
        <w:gridCol w:w="1584"/>
        <w:gridCol w:w="792"/>
        <w:gridCol w:w="396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Cardinality</w:t>
            </w:r>
          </w:p>
        </w:tc>
        <w:tc>
          <w:tcPr/>
          <w:p>
            <w:pPr>
              <w:pStyle w:val="Compact"/>
              <w:jc w:val="left"/>
            </w:pPr>
            <w:r>
              <w:t xml:space="preserve">Description</w:t>
            </w:r>
          </w:p>
        </w:tc>
      </w:tr>
      <w:tr>
        <w:tc>
          <w:tcPr/>
          <w:p>
            <w:pPr>
              <w:jc w:val="left"/>
            </w:pPr>
            <w:r>
              <w:t xml:space="preserve">node</w:t>
            </w:r>
          </w:p>
        </w:tc>
        <w:tc>
          <w:tcPr/>
          <w:p>
            <w:pPr>
              <w:jc w:val="left"/>
            </w:pPr>
            <w:r>
              <w:t xml:space="preserve">Node</w:t>
            </w:r>
          </w:p>
        </w:tc>
        <w:tc>
          <w:tcPr/>
          <w:p>
            <w:pPr>
              <w:jc w:val="left"/>
            </w:pPr>
            <w:r>
              <w:t xml:space="preserve">required</w:t>
            </w:r>
          </w:p>
        </w:tc>
        <w:tc>
          <w:tcPr/>
          <w:p>
            <w:pPr>
              <w:jc w:val="left"/>
            </w:pPr>
            <w:r>
              <w:t xml:space="preserve">Description of the Node device (datalogger or station)</w:t>
            </w:r>
          </w:p>
        </w:tc>
      </w:tr>
      <w:tr>
        <w:tc>
          <w:tcPr/>
          <w:p>
            <w:pPr>
              <w:jc w:val="left"/>
            </w:pPr>
            <w:r>
              <w:t xml:space="preserve">observers</w:t>
            </w:r>
          </w:p>
        </w:tc>
        <w:tc>
          <w:tcPr/>
          <w:p>
            <w:pPr>
              <w:jc w:val="left"/>
            </w:pPr>
            <w:r>
              <w:t xml:space="preserve">ObserverDevice</w:t>
            </w:r>
          </w:p>
        </w:tc>
        <w:tc>
          <w:tcPr/>
          <w:p>
            <w:pPr>
              <w:jc w:val="left"/>
            </w:pPr>
            <w:r>
              <w:t xml:space="preserve">repeated</w:t>
            </w:r>
          </w:p>
        </w:tc>
        <w:tc>
          <w:tcPr/>
          <w:p>
            <w:pPr>
              <w:jc w:val="left"/>
            </w:pPr>
            <w:r>
              <w:t xml:space="preserve">Descriptions of individual sensor devices connected to the node</w:t>
            </w:r>
          </w:p>
        </w:tc>
      </w:tr>
      <w:tr>
        <w:tc>
          <w:tcPr/>
          <w:p>
            <w:pPr>
              <w:jc w:val="left"/>
            </w:pPr>
            <w:r>
              <w:t xml:space="preserve">parameterDefinitions</w:t>
            </w:r>
          </w:p>
        </w:tc>
        <w:tc>
          <w:tcPr/>
          <w:p>
            <w:pPr>
              <w:jc w:val="left"/>
            </w:pPr>
            <w:r>
              <w:t xml:space="preserve">ParameterDefinition</w:t>
            </w:r>
          </w:p>
        </w:tc>
        <w:tc>
          <w:tcPr/>
          <w:p>
            <w:pPr>
              <w:jc w:val="left"/>
            </w:pPr>
            <w:r>
              <w:t xml:space="preserve">repeated</w:t>
            </w:r>
          </w:p>
        </w:tc>
        <w:tc>
          <w:tcPr/>
          <w:p>
            <w:pPr>
              <w:jc w:val="left"/>
            </w:pPr>
            <w:r>
              <w:t xml:space="preserve">Definitions of the parameters used in observations</w:t>
            </w:r>
          </w:p>
        </w:tc>
      </w:tr>
      <w:tr>
        <w:tc>
          <w:tcPr/>
          <w:p>
            <w:pPr>
              <w:jc w:val="left"/>
            </w:pPr>
            <w:r>
              <w:t xml:space="preserve">namespaces</w:t>
            </w:r>
          </w:p>
        </w:tc>
        <w:tc>
          <w:tcPr/>
          <w:p>
            <w:pPr>
              <w:jc w:val="left"/>
            </w:pPr>
            <w:r>
              <w:t xml:space="preserve">map&lt;string, string&gt;</w:t>
            </w:r>
          </w:p>
        </w:tc>
        <w:tc>
          <w:tcPr/>
          <w:p>
            <w:pPr>
              <w:jc w:val="left"/>
            </w:pPr>
            <w:r>
              <w:t xml:space="preserve">optional</w:t>
            </w:r>
          </w:p>
        </w:tc>
        <w:tc>
          <w:tcPr/>
          <w:p>
            <w:pPr>
              <w:jc w:val="left"/>
            </w:pPr>
            <w:r>
              <w:t xml:space="preserve">Mapping of namespace prefixes to their corresponding URIs for standard name resolution</w:t>
            </w:r>
          </w:p>
        </w:tc>
      </w:tr>
    </w:tbl>
    <w:p>
      <w:pPr>
        <w:pStyle w:val="BodyText"/>
      </w:pPr>
      <w:r>
        <w:t xml:space="preserve">The</w:t>
      </w:r>
      <w:r>
        <w:t xml:space="preserve"> </w:t>
      </w:r>
      <w:r>
        <w:rPr>
          <w:rStyle w:val="VerbatimChar"/>
        </w:rPr>
        <w:t xml:space="preserve">namespaces</w:t>
      </w:r>
      <w:r>
        <w:t xml:space="preserve"> </w:t>
      </w:r>
      <w:r>
        <w:t xml:space="preserve">field provides the mapping between namespace keys used in</w:t>
      </w:r>
      <w:r>
        <w:t xml:space="preserve"> </w:t>
      </w:r>
      <w:r>
        <w:rPr>
          <w:rStyle w:val="VerbatimChar"/>
        </w:rPr>
        <w:t xml:space="preserve">Parameter.standardNames</w:t>
      </w:r>
      <w:r>
        <w:t xml:space="preserve"> </w:t>
      </w:r>
      <w:r>
        <w:t xml:space="preserve">and their full URIs or identifiers. For example, mapping the key</w:t>
      </w:r>
      <w:r>
        <w:t xml:space="preserve"> </w:t>
      </w:r>
      <w:r>
        <w:rPr>
          <w:rStyle w:val="VerbatimChar"/>
        </w:rPr>
        <w:t xml:space="preserve">"cf"</w:t>
      </w:r>
      <w:r>
        <w:t xml:space="preserve"> </w:t>
      </w:r>
      <w:r>
        <w:t xml:space="preserve">to the URI</w:t>
      </w:r>
      <w:r>
        <w:t xml:space="preserve"> </w:t>
      </w:r>
      <w:r>
        <w:rPr>
          <w:rStyle w:val="VerbatimChar"/>
        </w:rPr>
        <w:t xml:space="preserve">"https://vocab.nerc.ac.uk/collection/P07/current/"</w:t>
      </w:r>
      <w:r>
        <w:t xml:space="preserve"> </w:t>
      </w:r>
      <w:r>
        <w:t xml:space="preserve">enables the use of Climate and Forecast (CF) convention standard names.</w:t>
      </w:r>
    </w:p>
    <w:bookmarkEnd w:id="59"/>
    <w:bookmarkStart w:id="60" w:name="X0590ef715debb49e39b2605ddcdd646ea9b2157"/>
    <w:p>
      <w:pPr>
        <w:pStyle w:val="Heading3"/>
      </w:pPr>
      <w:r>
        <w:t xml:space="preserve">Data message</w:t>
      </w:r>
    </w:p>
    <w:p>
      <w:pPr>
        <w:pStyle w:val="FirstParagraph"/>
      </w:pPr>
      <w:r>
        <w:t xml:space="preserve">The</w:t>
      </w:r>
      <w:r>
        <w:t xml:space="preserve"> </w:t>
      </w:r>
      <w:r>
        <w:rPr>
          <w:rStyle w:val="VerbatimChar"/>
        </w:rPr>
        <w:t xml:space="preserve">Data</w:t>
      </w:r>
      <w:r>
        <w:t xml:space="preserve"> </w:t>
      </w:r>
      <w:r>
        <w:t xml:space="preserve">message is the primary container for transmitting observation data from the Node to the Host. This message may be transmitted as frequently as needed to deliver current or batched observations.</w:t>
      </w:r>
    </w:p>
    <w:p>
      <w:pPr>
        <w:pStyle w:val="BodyText"/>
      </w:pPr>
      <w:r>
        <w:t xml:space="preserve">The</w:t>
      </w:r>
      <w:r>
        <w:t xml:space="preserve"> </w:t>
      </w:r>
      <w:r>
        <w:rPr>
          <w:rStyle w:val="VerbatimChar"/>
        </w:rPr>
        <w:t xml:space="preserve">Data</w:t>
      </w:r>
      <w:r>
        <w:t xml:space="preserve"> </w:t>
      </w:r>
      <w:r>
        <w:t xml:space="preserve">message contains the following fields:</w:t>
      </w:r>
    </w:p>
    <w:tbl>
      <w:tblPr>
        <w:tblStyle w:val="Table"/>
        <w:tblW w:type="pct" w:w="5000"/>
        <w:tblLook w:firstRow="1" w:lastRow="0" w:firstColumn="0" w:lastColumn="0" w:noHBand="0" w:noVBand="0" w:val="0020"/>
        <w:jc w:val="start"/>
      </w:tblPr>
      <w:tblGrid>
        <w:gridCol w:w="1584"/>
        <w:gridCol w:w="1584"/>
        <w:gridCol w:w="792"/>
        <w:gridCol w:w="396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Cardinality</w:t>
            </w:r>
          </w:p>
        </w:tc>
        <w:tc>
          <w:tcPr/>
          <w:p>
            <w:pPr>
              <w:pStyle w:val="Compact"/>
              <w:jc w:val="left"/>
            </w:pPr>
            <w:r>
              <w:t xml:space="preserve">Description</w:t>
            </w:r>
          </w:p>
        </w:tc>
      </w:tr>
      <w:tr>
        <w:tc>
          <w:tcPr/>
          <w:p>
            <w:pPr>
              <w:jc w:val="left"/>
            </w:pPr>
            <w:r>
              <w:t xml:space="preserve">observations</w:t>
            </w:r>
          </w:p>
        </w:tc>
        <w:tc>
          <w:tcPr/>
          <w:p>
            <w:pPr>
              <w:jc w:val="left"/>
            </w:pPr>
            <w:r>
              <w:t xml:space="preserve">Observation</w:t>
            </w:r>
          </w:p>
        </w:tc>
        <w:tc>
          <w:tcPr/>
          <w:p>
            <w:pPr>
              <w:jc w:val="left"/>
            </w:pPr>
            <w:r>
              <w:t xml:space="preserve">repeated</w:t>
            </w:r>
          </w:p>
        </w:tc>
        <w:tc>
          <w:tcPr/>
          <w:p>
            <w:pPr>
              <w:jc w:val="left"/>
            </w:pPr>
            <w:r>
              <w:t xml:space="preserve">Zero or more observation measurements</w:t>
            </w:r>
          </w:p>
        </w:tc>
      </w:tr>
    </w:tbl>
    <w:p>
      <w:pPr>
        <w:pStyle w:val="BodyText"/>
      </w:pPr>
      <w:r>
        <w:t xml:space="preserve">A</w:t>
      </w:r>
      <w:r>
        <w:t xml:space="preserve"> </w:t>
      </w:r>
      <w:r>
        <w:rPr>
          <w:rStyle w:val="VerbatimChar"/>
        </w:rPr>
        <w:t xml:space="preserve">Data</w:t>
      </w:r>
      <w:r>
        <w:t xml:space="preserve"> </w:t>
      </w:r>
      <w:r>
        <w:t xml:space="preserve">message may contain multiple</w:t>
      </w:r>
      <w:r>
        <w:t xml:space="preserve"> </w:t>
      </w:r>
      <w:r>
        <w:rPr>
          <w:rStyle w:val="VerbatimChar"/>
        </w:rPr>
        <w:t xml:space="preserve">Observation</w:t>
      </w:r>
      <w:r>
        <w:t xml:space="preserve"> </w:t>
      </w:r>
      <w:r>
        <w:t xml:space="preserve">messages, enabling efficient batch transmission of measurement data. Each observation is independent and contains its own timestamp and parameter reference.</w:t>
      </w:r>
    </w:p>
    <w:p>
      <w:pPr>
        <w:pStyle w:val="BodyText"/>
      </w:pPr>
      <w:r>
        <w:t xml:space="preserve">The Node may transmit</w:t>
      </w:r>
      <w:r>
        <w:t xml:space="preserve"> </w:t>
      </w:r>
      <w:r>
        <w:rPr>
          <w:rStyle w:val="VerbatimChar"/>
        </w:rPr>
        <w:t xml:space="preserve">Data</w:t>
      </w:r>
      <w:r>
        <w:t xml:space="preserve"> </w:t>
      </w:r>
      <w:r>
        <w:t xml:space="preserve">messages containing observations that reference parameter definitions not yet received by the Host. In this case, the Host shall buffer or queue such observations until the corresponding</w:t>
      </w:r>
      <w:r>
        <w:t xml:space="preserve"> </w:t>
      </w:r>
      <w:r>
        <w:rPr>
          <w:rStyle w:val="VerbatimChar"/>
        </w:rPr>
        <w:t xml:space="preserve">Metadata</w:t>
      </w:r>
      <w:r>
        <w:t xml:space="preserve"> </w:t>
      </w:r>
      <w:r>
        <w:t xml:space="preserve">message is received.</w:t>
      </w:r>
    </w:p>
    <w:bookmarkEnd w:id="60"/>
    <w:bookmarkEnd w:id="61"/>
    <w:bookmarkStart w:id="65" w:name="Xbd912a1b208cf7978018667c41315c818d4ee90"/>
    <w:p>
      <w:pPr>
        <w:pStyle w:val="Heading2"/>
      </w:pPr>
      <w:r>
        <w:t xml:space="preserve">Devices</w:t>
      </w:r>
    </w:p>
    <w:bookmarkStart w:id="62" w:name="Xc48dece0a9cb544d69404c0a07854fc317512bc"/>
    <w:p>
      <w:pPr>
        <w:pStyle w:val="Heading3"/>
      </w:pPr>
      <w:r>
        <w:t xml:space="preserve">Node device</w:t>
      </w:r>
    </w:p>
    <w:p>
      <w:pPr>
        <w:pStyle w:val="FirstParagraph"/>
      </w:pPr>
      <w:r>
        <w:t xml:space="preserve">The</w:t>
      </w:r>
      <w:r>
        <w:t xml:space="preserve"> </w:t>
      </w:r>
      <w:r>
        <w:rPr>
          <w:rStyle w:val="VerbatimChar"/>
        </w:rPr>
        <w:t xml:space="preserve">Node</w:t>
      </w:r>
      <w:r>
        <w:t xml:space="preserve"> </w:t>
      </w:r>
      <w:r>
        <w:t xml:space="preserve">message describes the Node device itself, typically a datalogger or observation station.</w:t>
      </w:r>
    </w:p>
    <w:p>
      <w:pPr>
        <w:pStyle w:val="BodyText"/>
      </w:pPr>
      <w:r>
        <w:t xml:space="preserve">The</w:t>
      </w:r>
      <w:r>
        <w:t xml:space="preserve"> </w:t>
      </w:r>
      <w:r>
        <w:rPr>
          <w:rStyle w:val="VerbatimChar"/>
        </w:rPr>
        <w:t xml:space="preserve">Node</w:t>
      </w:r>
      <w:r>
        <w:t xml:space="preserve"> </w:t>
      </w:r>
      <w:r>
        <w:t xml:space="preserve">message contains the following fields:</w:t>
      </w:r>
    </w:p>
    <w:tbl>
      <w:tblPr>
        <w:tblStyle w:val="Table"/>
        <w:tblW w:type="pct" w:w="5000"/>
        <w:tblLook w:firstRow="1" w:lastRow="0" w:firstColumn="0" w:lastColumn="0" w:noHBand="0" w:noVBand="0" w:val="0020"/>
        <w:jc w:val="start"/>
      </w:tblPr>
      <w:tblGrid>
        <w:gridCol w:w="1584"/>
        <w:gridCol w:w="1584"/>
        <w:gridCol w:w="792"/>
        <w:gridCol w:w="396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Cardinality</w:t>
            </w:r>
          </w:p>
        </w:tc>
        <w:tc>
          <w:tcPr/>
          <w:p>
            <w:pPr>
              <w:pStyle w:val="Compact"/>
              <w:jc w:val="left"/>
            </w:pPr>
            <w:r>
              <w:t xml:space="preserve">Description</w:t>
            </w:r>
          </w:p>
        </w:tc>
      </w:tr>
      <w:tr>
        <w:tc>
          <w:tcPr/>
          <w:p>
            <w:pPr>
              <w:jc w:val="left"/>
            </w:pPr>
            <w:r>
              <w:t xml:space="preserve">name</w:t>
            </w:r>
          </w:p>
        </w:tc>
        <w:tc>
          <w:tcPr/>
          <w:p>
            <w:pPr>
              <w:jc w:val="left"/>
            </w:pPr>
            <w:r>
              <w:t xml:space="preserve">string</w:t>
            </w:r>
          </w:p>
        </w:tc>
        <w:tc>
          <w:tcPr/>
          <w:p>
            <w:pPr>
              <w:jc w:val="left"/>
            </w:pPr>
            <w:r>
              <w:t xml:space="preserve">required</w:t>
            </w:r>
          </w:p>
        </w:tc>
        <w:tc>
          <w:tcPr/>
          <w:p>
            <w:pPr>
              <w:jc w:val="left"/>
            </w:pPr>
            <w:r>
              <w:t xml:space="preserve">Name or model designation of the node device</w:t>
            </w:r>
          </w:p>
        </w:tc>
      </w:tr>
      <w:tr>
        <w:tc>
          <w:tcPr/>
          <w:p>
            <w:pPr>
              <w:jc w:val="left"/>
            </w:pPr>
            <w:r>
              <w:t xml:space="preserve">location</w:t>
            </w:r>
          </w:p>
        </w:tc>
        <w:tc>
          <w:tcPr/>
          <w:p>
            <w:pPr>
              <w:jc w:val="left"/>
            </w:pPr>
            <w:r>
              <w:t xml:space="preserve">Location</w:t>
            </w:r>
          </w:p>
        </w:tc>
        <w:tc>
          <w:tcPr/>
          <w:p>
            <w:pPr>
              <w:jc w:val="left"/>
            </w:pPr>
            <w:r>
              <w:t xml:space="preserve">optional</w:t>
            </w:r>
          </w:p>
        </w:tc>
        <w:tc>
          <w:tcPr/>
          <w:p>
            <w:pPr>
              <w:jc w:val="left"/>
            </w:pPr>
            <w:r>
              <w:t xml:space="preserve">Geographic location of the node device</w:t>
            </w:r>
          </w:p>
        </w:tc>
      </w:tr>
      <w:tr>
        <w:tc>
          <w:tcPr/>
          <w:p>
            <w:pPr>
              <w:jc w:val="left"/>
            </w:pPr>
            <w:r>
              <w:t xml:space="preserve">url</w:t>
            </w:r>
          </w:p>
        </w:tc>
        <w:tc>
          <w:tcPr/>
          <w:p>
            <w:pPr>
              <w:jc w:val="left"/>
            </w:pPr>
            <w:r>
              <w:t xml:space="preserve">string</w:t>
            </w:r>
          </w:p>
        </w:tc>
        <w:tc>
          <w:tcPr/>
          <w:p>
            <w:pPr>
              <w:jc w:val="left"/>
            </w:pPr>
            <w:r>
              <w:t xml:space="preserve">optional</w:t>
            </w:r>
          </w:p>
        </w:tc>
        <w:tc>
          <w:tcPr/>
          <w:p>
            <w:pPr>
              <w:jc w:val="left"/>
            </w:pPr>
            <w:r>
              <w:t xml:space="preserve">URI reference to additional metadata about the device</w:t>
            </w:r>
          </w:p>
        </w:tc>
      </w:tr>
      <w:tr>
        <w:tc>
          <w:tcPr/>
          <w:p>
            <w:pPr>
              <w:jc w:val="left"/>
            </w:pPr>
            <w:r>
              <w:t xml:space="preserve">serialNumber</w:t>
            </w:r>
          </w:p>
        </w:tc>
        <w:tc>
          <w:tcPr/>
          <w:p>
            <w:pPr>
              <w:jc w:val="left"/>
            </w:pPr>
            <w:r>
              <w:t xml:space="preserve">string</w:t>
            </w:r>
          </w:p>
        </w:tc>
        <w:tc>
          <w:tcPr/>
          <w:p>
            <w:pPr>
              <w:jc w:val="left"/>
            </w:pPr>
            <w:r>
              <w:t xml:space="preserve">optional</w:t>
            </w:r>
          </w:p>
        </w:tc>
        <w:tc>
          <w:tcPr/>
          <w:p>
            <w:pPr>
              <w:jc w:val="left"/>
            </w:pPr>
            <w:r>
              <w:t xml:space="preserve">Manufacturer’s serial number of the device</w:t>
            </w:r>
          </w:p>
        </w:tc>
      </w:tr>
      <w:tr>
        <w:tc>
          <w:tcPr/>
          <w:p>
            <w:pPr>
              <w:jc w:val="left"/>
            </w:pPr>
            <w:r>
              <w:t xml:space="preserve">firmwareVersion</w:t>
            </w:r>
          </w:p>
        </w:tc>
        <w:tc>
          <w:tcPr/>
          <w:p>
            <w:pPr>
              <w:jc w:val="left"/>
            </w:pPr>
            <w:r>
              <w:t xml:space="preserve">string</w:t>
            </w:r>
          </w:p>
        </w:tc>
        <w:tc>
          <w:tcPr/>
          <w:p>
            <w:pPr>
              <w:jc w:val="left"/>
            </w:pPr>
            <w:r>
              <w:t xml:space="preserve">optional</w:t>
            </w:r>
          </w:p>
        </w:tc>
        <w:tc>
          <w:tcPr/>
          <w:p>
            <w:pPr>
              <w:jc w:val="left"/>
            </w:pPr>
            <w:r>
              <w:t xml:space="preserve">Firmware version of the device, typically in format such as "5.1" or "2.7.1-alpha"</w:t>
            </w:r>
          </w:p>
        </w:tc>
      </w:tr>
    </w:tbl>
    <w:p>
      <w:pPr>
        <w:pStyle w:val="BodyText"/>
      </w:pPr>
      <w:r>
        <w:t xml:space="preserve">The</w:t>
      </w:r>
      <w:r>
        <w:t xml:space="preserve"> </w:t>
      </w:r>
      <w:r>
        <w:rPr>
          <w:rStyle w:val="VerbatimChar"/>
        </w:rPr>
        <w:t xml:space="preserve">name</w:t>
      </w:r>
      <w:r>
        <w:t xml:space="preserve"> </w:t>
      </w:r>
      <w:r>
        <w:t xml:space="preserve">field should contain a human-readable identification of the device, such as its model name or type designation.</w:t>
      </w:r>
    </w:p>
    <w:bookmarkEnd w:id="62"/>
    <w:bookmarkStart w:id="63" w:name="Xce9718d361137631e3f58eeec0d854504e24d6c"/>
    <w:p>
      <w:pPr>
        <w:pStyle w:val="Heading3"/>
      </w:pPr>
      <w:r>
        <w:t xml:space="preserve">Observer device</w:t>
      </w:r>
    </w:p>
    <w:p>
      <w:pPr>
        <w:pStyle w:val="FirstParagraph"/>
      </w:pPr>
      <w:r>
        <w:t xml:space="preserve">The</w:t>
      </w:r>
      <w:r>
        <w:t xml:space="preserve"> </w:t>
      </w:r>
      <w:r>
        <w:rPr>
          <w:rStyle w:val="VerbatimChar"/>
        </w:rPr>
        <w:t xml:space="preserve">ObserverDevice</w:t>
      </w:r>
      <w:r>
        <w:t xml:space="preserve"> </w:t>
      </w:r>
      <w:r>
        <w:t xml:space="preserve">message describes an individual sensor or measurement device connected to the Node Device.</w:t>
      </w:r>
    </w:p>
    <w:p>
      <w:pPr>
        <w:pStyle w:val="BodyText"/>
      </w:pPr>
      <w:r>
        <w:t xml:space="preserve">The</w:t>
      </w:r>
      <w:r>
        <w:t xml:space="preserve"> </w:t>
      </w:r>
      <w:r>
        <w:rPr>
          <w:rStyle w:val="VerbatimChar"/>
        </w:rPr>
        <w:t xml:space="preserve">ObserverDevice</w:t>
      </w:r>
      <w:r>
        <w:t xml:space="preserve"> </w:t>
      </w:r>
      <w:r>
        <w:t xml:space="preserve">message contains the following fields:</w:t>
      </w:r>
    </w:p>
    <w:tbl>
      <w:tblPr>
        <w:tblStyle w:val="Table"/>
        <w:tblW w:type="pct" w:w="5000"/>
        <w:tblLook w:firstRow="1" w:lastRow="0" w:firstColumn="0" w:lastColumn="0" w:noHBand="0" w:noVBand="0" w:val="0020"/>
        <w:jc w:val="start"/>
      </w:tblPr>
      <w:tblGrid>
        <w:gridCol w:w="1584"/>
        <w:gridCol w:w="1584"/>
        <w:gridCol w:w="792"/>
        <w:gridCol w:w="396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Cardinality</w:t>
            </w:r>
          </w:p>
        </w:tc>
        <w:tc>
          <w:tcPr/>
          <w:p>
            <w:pPr>
              <w:pStyle w:val="Compact"/>
              <w:jc w:val="left"/>
            </w:pPr>
            <w:r>
              <w:t xml:space="preserve">Description</w:t>
            </w:r>
          </w:p>
        </w:tc>
      </w:tr>
      <w:tr>
        <w:tc>
          <w:tcPr/>
          <w:p>
            <w:pPr>
              <w:jc w:val="left"/>
            </w:pPr>
            <w:r>
              <w:t xml:space="preserve">id</w:t>
            </w:r>
          </w:p>
        </w:tc>
        <w:tc>
          <w:tcPr/>
          <w:p>
            <w:pPr>
              <w:jc w:val="left"/>
            </w:pPr>
            <w:r>
              <w:t xml:space="preserve">uint32</w:t>
            </w:r>
          </w:p>
        </w:tc>
        <w:tc>
          <w:tcPr/>
          <w:p>
            <w:pPr>
              <w:jc w:val="left"/>
            </w:pPr>
            <w:r>
              <w:t xml:space="preserve">required</w:t>
            </w:r>
          </w:p>
        </w:tc>
        <w:tc>
          <w:tcPr/>
          <w:p>
            <w:pPr>
              <w:jc w:val="left"/>
            </w:pPr>
            <w:r>
              <w:t xml:space="preserve">Unique identifier for this observer within the context of this node</w:t>
            </w:r>
          </w:p>
        </w:tc>
      </w:tr>
      <w:tr>
        <w:tc>
          <w:tcPr/>
          <w:p>
            <w:pPr>
              <w:jc w:val="left"/>
            </w:pPr>
            <w:r>
              <w:t xml:space="preserve">name</w:t>
            </w:r>
          </w:p>
        </w:tc>
        <w:tc>
          <w:tcPr/>
          <w:p>
            <w:pPr>
              <w:jc w:val="left"/>
            </w:pPr>
            <w:r>
              <w:t xml:space="preserve">string</w:t>
            </w:r>
          </w:p>
        </w:tc>
        <w:tc>
          <w:tcPr/>
          <w:p>
            <w:pPr>
              <w:jc w:val="left"/>
            </w:pPr>
            <w:r>
              <w:t xml:space="preserve">required</w:t>
            </w:r>
          </w:p>
        </w:tc>
        <w:tc>
          <w:tcPr/>
          <w:p>
            <w:pPr>
              <w:jc w:val="left"/>
            </w:pPr>
            <w:r>
              <w:t xml:space="preserve">Name or model designation of the observer device</w:t>
            </w:r>
          </w:p>
        </w:tc>
      </w:tr>
      <w:tr>
        <w:tc>
          <w:tcPr/>
          <w:p>
            <w:pPr>
              <w:jc w:val="left"/>
            </w:pPr>
            <w:r>
              <w:t xml:space="preserve">location</w:t>
            </w:r>
          </w:p>
        </w:tc>
        <w:tc>
          <w:tcPr/>
          <w:p>
            <w:pPr>
              <w:jc w:val="left"/>
            </w:pPr>
            <w:r>
              <w:t xml:space="preserve">Location</w:t>
            </w:r>
          </w:p>
        </w:tc>
        <w:tc>
          <w:tcPr/>
          <w:p>
            <w:pPr>
              <w:jc w:val="left"/>
            </w:pPr>
            <w:r>
              <w:t xml:space="preserve">optional</w:t>
            </w:r>
          </w:p>
        </w:tc>
        <w:tc>
          <w:tcPr/>
          <w:p>
            <w:pPr>
              <w:jc w:val="left"/>
            </w:pPr>
            <w:r>
              <w:t xml:space="preserve">Geographic location of the observer device</w:t>
            </w:r>
          </w:p>
        </w:tc>
      </w:tr>
      <w:tr>
        <w:tc>
          <w:tcPr/>
          <w:p>
            <w:pPr>
              <w:jc w:val="left"/>
            </w:pPr>
            <w:r>
              <w:t xml:space="preserve">url</w:t>
            </w:r>
          </w:p>
        </w:tc>
        <w:tc>
          <w:tcPr/>
          <w:p>
            <w:pPr>
              <w:jc w:val="left"/>
            </w:pPr>
            <w:r>
              <w:t xml:space="preserve">string</w:t>
            </w:r>
          </w:p>
        </w:tc>
        <w:tc>
          <w:tcPr/>
          <w:p>
            <w:pPr>
              <w:jc w:val="left"/>
            </w:pPr>
            <w:r>
              <w:t xml:space="preserve">optional</w:t>
            </w:r>
          </w:p>
        </w:tc>
        <w:tc>
          <w:tcPr/>
          <w:p>
            <w:pPr>
              <w:jc w:val="left"/>
            </w:pPr>
            <w:r>
              <w:t xml:space="preserve">URI reference to additional metadata about the device</w:t>
            </w:r>
          </w:p>
        </w:tc>
      </w:tr>
      <w:tr>
        <w:tc>
          <w:tcPr/>
          <w:p>
            <w:pPr>
              <w:jc w:val="left"/>
            </w:pPr>
            <w:r>
              <w:t xml:space="preserve">serialNumber</w:t>
            </w:r>
          </w:p>
        </w:tc>
        <w:tc>
          <w:tcPr/>
          <w:p>
            <w:pPr>
              <w:jc w:val="left"/>
            </w:pPr>
            <w:r>
              <w:t xml:space="preserve">string</w:t>
            </w:r>
          </w:p>
        </w:tc>
        <w:tc>
          <w:tcPr/>
          <w:p>
            <w:pPr>
              <w:jc w:val="left"/>
            </w:pPr>
            <w:r>
              <w:t xml:space="preserve">optional</w:t>
            </w:r>
          </w:p>
        </w:tc>
        <w:tc>
          <w:tcPr/>
          <w:p>
            <w:pPr>
              <w:jc w:val="left"/>
            </w:pPr>
            <w:r>
              <w:t xml:space="preserve">Manufacturer’s serial number of the device</w:t>
            </w:r>
          </w:p>
        </w:tc>
      </w:tr>
      <w:tr>
        <w:tc>
          <w:tcPr/>
          <w:p>
            <w:pPr>
              <w:jc w:val="left"/>
            </w:pPr>
            <w:r>
              <w:t xml:space="preserve">firmwareVersion</w:t>
            </w:r>
          </w:p>
        </w:tc>
        <w:tc>
          <w:tcPr/>
          <w:p>
            <w:pPr>
              <w:jc w:val="left"/>
            </w:pPr>
            <w:r>
              <w:t xml:space="preserve">string</w:t>
            </w:r>
          </w:p>
        </w:tc>
        <w:tc>
          <w:tcPr/>
          <w:p>
            <w:pPr>
              <w:jc w:val="left"/>
            </w:pPr>
            <w:r>
              <w:t xml:space="preserve">optional</w:t>
            </w:r>
          </w:p>
        </w:tc>
        <w:tc>
          <w:tcPr/>
          <w:p>
            <w:pPr>
              <w:jc w:val="left"/>
            </w:pPr>
            <w:r>
              <w:t xml:space="preserve">Firmware version of the device</w:t>
            </w:r>
          </w:p>
        </w:tc>
      </w:tr>
    </w:tbl>
    <w:p>
      <w:pPr>
        <w:pStyle w:val="BodyText"/>
      </w:pPr>
      <w:r>
        <w:t xml:space="preserve">The</w:t>
      </w:r>
      <w:r>
        <w:t xml:space="preserve"> </w:t>
      </w:r>
      <w:r>
        <w:rPr>
          <w:rStyle w:val="VerbatimChar"/>
        </w:rPr>
        <w:t xml:space="preserve">id</w:t>
      </w:r>
      <w:r>
        <w:t xml:space="preserve"> </w:t>
      </w:r>
      <w:r>
        <w:t xml:space="preserve">field shall be unique among all observers associated with a single node device. This identifier is used by the</w:t>
      </w:r>
      <w:r>
        <w:t xml:space="preserve"> </w:t>
      </w:r>
      <w:r>
        <w:rPr>
          <w:rStyle w:val="VerbatimChar"/>
        </w:rPr>
        <w:t xml:space="preserve">DeviceRef</w:t>
      </w:r>
      <w:r>
        <w:t xml:space="preserve"> </w:t>
      </w:r>
      <w:r>
        <w:t xml:space="preserve">message to associate parameters with specific observer devices.</w:t>
      </w:r>
    </w:p>
    <w:p>
      <w:pPr>
        <w:pStyle w:val="BodyText"/>
      </w:pPr>
      <w:r>
        <w:t xml:space="preserve">Observer device identifiers shall remain stable across Node restarts and metadata updates to ensure consistent parameter-to-device associations.</w:t>
      </w:r>
    </w:p>
    <w:bookmarkEnd w:id="63"/>
    <w:bookmarkStart w:id="64" w:name="Xbc89f1e7f4a1b1902862b44ea14775bb2c7d8eb"/>
    <w:p>
      <w:pPr>
        <w:pStyle w:val="Heading3"/>
      </w:pPr>
      <w:r>
        <w:t xml:space="preserve">Location and reference surfaces</w:t>
      </w:r>
    </w:p>
    <w:p>
      <w:pPr>
        <w:pStyle w:val="FirstParagraph"/>
      </w:pPr>
      <w:r>
        <w:t xml:space="preserve">The</w:t>
      </w:r>
      <w:r>
        <w:t xml:space="preserve"> </w:t>
      </w:r>
      <w:r>
        <w:rPr>
          <w:rStyle w:val="VerbatimChar"/>
        </w:rPr>
        <w:t xml:space="preserve">Location</w:t>
      </w:r>
      <w:r>
        <w:t xml:space="preserve"> </w:t>
      </w:r>
      <w:r>
        <w:t xml:space="preserve">message specifies the geographic position of a device (either node or observer).</w:t>
      </w:r>
    </w:p>
    <w:p>
      <w:pPr>
        <w:pStyle w:val="BodyText"/>
      </w:pPr>
      <w:r>
        <w:t xml:space="preserve">The</w:t>
      </w:r>
      <w:r>
        <w:t xml:space="preserve"> </w:t>
      </w:r>
      <w:r>
        <w:rPr>
          <w:rStyle w:val="VerbatimChar"/>
        </w:rPr>
        <w:t xml:space="preserve">Location</w:t>
      </w:r>
      <w:r>
        <w:t xml:space="preserve"> </w:t>
      </w:r>
      <w:r>
        <w:t xml:space="preserve">message contains the following fields:</w:t>
      </w:r>
    </w:p>
    <w:tbl>
      <w:tblPr>
        <w:tblStyle w:val="Table"/>
        <w:tblW w:type="pct" w:w="5000"/>
        <w:tblLook w:firstRow="1" w:lastRow="0" w:firstColumn="0" w:lastColumn="0" w:noHBand="0" w:noVBand="0" w:val="0020"/>
        <w:jc w:val="start"/>
      </w:tblPr>
      <w:tblGrid>
        <w:gridCol w:w="1584"/>
        <w:gridCol w:w="1584"/>
        <w:gridCol w:w="792"/>
        <w:gridCol w:w="396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Cardinality</w:t>
            </w:r>
          </w:p>
        </w:tc>
        <w:tc>
          <w:tcPr/>
          <w:p>
            <w:pPr>
              <w:pStyle w:val="Compact"/>
              <w:jc w:val="left"/>
            </w:pPr>
            <w:r>
              <w:t xml:space="preserve">Description</w:t>
            </w:r>
          </w:p>
        </w:tc>
      </w:tr>
      <w:tr>
        <w:tc>
          <w:tcPr/>
          <w:p>
            <w:pPr>
              <w:jc w:val="left"/>
            </w:pPr>
            <w:r>
              <w:t xml:space="preserve">latitude</w:t>
            </w:r>
          </w:p>
        </w:tc>
        <w:tc>
          <w:tcPr/>
          <w:p>
            <w:pPr>
              <w:jc w:val="left"/>
            </w:pPr>
            <w:r>
              <w:t xml:space="preserve">double</w:t>
            </w:r>
          </w:p>
        </w:tc>
        <w:tc>
          <w:tcPr/>
          <w:p>
            <w:pPr>
              <w:jc w:val="left"/>
            </w:pPr>
            <w:r>
              <w:t xml:space="preserve">optional</w:t>
            </w:r>
          </w:p>
        </w:tc>
        <w:tc>
          <w:tcPr/>
          <w:p>
            <w:pPr>
              <w:jc w:val="left"/>
            </w:pPr>
            <w:r>
              <w:t xml:space="preserve">Latitude in decimal degrees, range -90 to +90</w:t>
            </w:r>
          </w:p>
        </w:tc>
      </w:tr>
      <w:tr>
        <w:tc>
          <w:tcPr/>
          <w:p>
            <w:pPr>
              <w:jc w:val="left"/>
            </w:pPr>
            <w:r>
              <w:t xml:space="preserve">longitude</w:t>
            </w:r>
          </w:p>
        </w:tc>
        <w:tc>
          <w:tcPr/>
          <w:p>
            <w:pPr>
              <w:jc w:val="left"/>
            </w:pPr>
            <w:r>
              <w:t xml:space="preserve">double</w:t>
            </w:r>
          </w:p>
        </w:tc>
        <w:tc>
          <w:tcPr/>
          <w:p>
            <w:pPr>
              <w:jc w:val="left"/>
            </w:pPr>
            <w:r>
              <w:t xml:space="preserve">optional</w:t>
            </w:r>
          </w:p>
        </w:tc>
        <w:tc>
          <w:tcPr/>
          <w:p>
            <w:pPr>
              <w:jc w:val="left"/>
            </w:pPr>
            <w:r>
              <w:t xml:space="preserve">Longitude in decimal degrees, range -180 to +180</w:t>
            </w:r>
          </w:p>
        </w:tc>
      </w:tr>
      <w:tr>
        <w:tc>
          <w:tcPr/>
          <w:p>
            <w:pPr>
              <w:jc w:val="left"/>
            </w:pPr>
            <w:r>
              <w:t xml:space="preserve">heightMeter</w:t>
            </w:r>
          </w:p>
        </w:tc>
        <w:tc>
          <w:tcPr/>
          <w:p>
            <w:pPr>
              <w:jc w:val="left"/>
            </w:pPr>
            <w:r>
              <w:t xml:space="preserve">double</w:t>
            </w:r>
          </w:p>
        </w:tc>
        <w:tc>
          <w:tcPr/>
          <w:p>
            <w:pPr>
              <w:jc w:val="left"/>
            </w:pPr>
            <w:r>
              <w:t xml:space="preserve">required</w:t>
            </w:r>
          </w:p>
        </w:tc>
        <w:tc>
          <w:tcPr/>
          <w:p>
            <w:pPr>
              <w:jc w:val="left"/>
            </w:pPr>
            <w:r>
              <w:t xml:space="preserve">Height in meters above the reference surface</w:t>
            </w:r>
          </w:p>
        </w:tc>
      </w:tr>
      <w:tr>
        <w:tc>
          <w:tcPr/>
          <w:p>
            <w:pPr>
              <w:jc w:val="left"/>
            </w:pPr>
            <w:r>
              <w:t xml:space="preserve">referenceSurface</w:t>
            </w:r>
          </w:p>
        </w:tc>
        <w:tc>
          <w:tcPr/>
          <w:p>
            <w:pPr>
              <w:jc w:val="left"/>
            </w:pPr>
            <w:r>
              <w:t xml:space="preserve">ReferenceSurface</w:t>
            </w:r>
          </w:p>
        </w:tc>
        <w:tc>
          <w:tcPr/>
          <w:p>
            <w:pPr>
              <w:jc w:val="left"/>
            </w:pPr>
            <w:r>
              <w:t xml:space="preserve">required</w:t>
            </w:r>
          </w:p>
        </w:tc>
        <w:tc>
          <w:tcPr/>
          <w:p>
            <w:pPr>
              <w:jc w:val="left"/>
            </w:pPr>
            <w:r>
              <w:t xml:space="preserve">The reference surface for the height measurement</w:t>
            </w:r>
          </w:p>
        </w:tc>
      </w:tr>
    </w:tbl>
    <w:p>
      <w:pPr>
        <w:pStyle w:val="BodyText"/>
      </w:pPr>
      <w:r>
        <w:t xml:space="preserve">The</w:t>
      </w:r>
      <w:r>
        <w:t xml:space="preserve"> </w:t>
      </w:r>
      <w:r>
        <w:rPr>
          <w:rStyle w:val="VerbatimChar"/>
        </w:rPr>
        <w:t xml:space="preserve">latitude</w:t>
      </w:r>
      <w:r>
        <w:t xml:space="preserve"> </w:t>
      </w:r>
      <w:r>
        <w:t xml:space="preserve">and</w:t>
      </w:r>
      <w:r>
        <w:t xml:space="preserve"> </w:t>
      </w:r>
      <w:r>
        <w:rPr>
          <w:rStyle w:val="VerbatimChar"/>
        </w:rPr>
        <w:t xml:space="preserve">longitude</w:t>
      </w:r>
      <w:r>
        <w:t xml:space="preserve"> </w:t>
      </w:r>
      <w:r>
        <w:t xml:space="preserve">fields may be omitted when only the local height of a device is known or relevant. The</w:t>
      </w:r>
      <w:r>
        <w:t xml:space="preserve"> </w:t>
      </w:r>
      <w:r>
        <w:rPr>
          <w:rStyle w:val="VerbatimChar"/>
        </w:rPr>
        <w:t xml:space="preserve">heightMeter</w:t>
      </w:r>
      <w:r>
        <w:t xml:space="preserve"> </w:t>
      </w:r>
      <w:r>
        <w:t xml:space="preserve">field shall always be provided together with a</w:t>
      </w:r>
      <w:r>
        <w:t xml:space="preserve"> </w:t>
      </w:r>
      <w:r>
        <w:rPr>
          <w:rStyle w:val="VerbatimChar"/>
        </w:rPr>
        <w:t xml:space="preserve">referenceSurface</w:t>
      </w:r>
      <w:r>
        <w:t xml:space="preserve"> </w:t>
      </w:r>
      <w:r>
        <w:t xml:space="preserve">specification.</w:t>
      </w:r>
    </w:p>
    <w:p>
      <w:pPr>
        <w:pStyle w:val="BodyText"/>
      </w:pPr>
      <w:r>
        <w:t xml:space="preserve">The</w:t>
      </w:r>
      <w:r>
        <w:t xml:space="preserve"> </w:t>
      </w:r>
      <w:r>
        <w:rPr>
          <w:rStyle w:val="VerbatimChar"/>
        </w:rPr>
        <w:t xml:space="preserve">ReferenceSurface</w:t>
      </w:r>
      <w:r>
        <w:t xml:space="preserve"> </w:t>
      </w:r>
      <w:r>
        <w:t xml:space="preserve">enumeration defines the following values:</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Value</w:t>
            </w:r>
          </w:p>
        </w:tc>
        <w:tc>
          <w:tcPr/>
          <w:p>
            <w:pPr>
              <w:pStyle w:val="Compact"/>
              <w:jc w:val="left"/>
            </w:pPr>
            <w:r>
              <w:t xml:space="preserve">Description</w:t>
            </w:r>
          </w:p>
        </w:tc>
      </w:tr>
      <w:tr>
        <w:tc>
          <w:tcPr/>
          <w:p>
            <w:pPr>
              <w:jc w:val="left"/>
            </w:pPr>
            <w:r>
              <w:t xml:space="preserve">REFERENCE_SURFACE_UNSPECIFIED</w:t>
            </w:r>
          </w:p>
        </w:tc>
        <w:tc>
          <w:tcPr/>
          <w:p>
            <w:pPr>
              <w:jc w:val="left"/>
            </w:pPr>
            <w:r>
              <w:t xml:space="preserve">Reserved default value. Shall not be explicitly set by Nodes.</w:t>
            </w:r>
          </w:p>
        </w:tc>
      </w:tr>
      <w:tr>
        <w:tc>
          <w:tcPr/>
          <w:p>
            <w:pPr>
              <w:jc w:val="left"/>
            </w:pPr>
            <w:r>
              <w:t xml:space="preserve">MSL</w:t>
            </w:r>
          </w:p>
        </w:tc>
        <w:tc>
          <w:tcPr/>
          <w:p>
            <w:pPr>
              <w:jc w:val="left"/>
            </w:pPr>
            <w:r>
              <w:t xml:space="preserve">Mean Sea Level - the average height of the ocean’s surface</w:t>
            </w:r>
          </w:p>
        </w:tc>
      </w:tr>
      <w:tr>
        <w:tc>
          <w:tcPr/>
          <w:p>
            <w:pPr>
              <w:jc w:val="left"/>
            </w:pPr>
            <w:r>
              <w:t xml:space="preserve">GEOID</w:t>
            </w:r>
          </w:p>
        </w:tc>
        <w:tc>
          <w:tcPr/>
          <w:p>
            <w:pPr>
              <w:jc w:val="left"/>
            </w:pPr>
            <w:r>
              <w:t xml:space="preserve">Geoid - an equipotential surface of the Earth’s gravity field</w:t>
            </w:r>
          </w:p>
        </w:tc>
      </w:tr>
      <w:tr>
        <w:tc>
          <w:tcPr/>
          <w:p>
            <w:pPr>
              <w:jc w:val="left"/>
            </w:pPr>
            <w:r>
              <w:t xml:space="preserve">GL</w:t>
            </w:r>
          </w:p>
        </w:tc>
        <w:tc>
          <w:tcPr/>
          <w:p>
            <w:pPr>
              <w:jc w:val="left"/>
            </w:pPr>
            <w:r>
              <w:t xml:space="preserve">Ground Level - the local ground or surface level at the site</w:t>
            </w:r>
          </w:p>
        </w:tc>
      </w:tr>
      <w:tr>
        <w:tc>
          <w:tcPr/>
          <w:p>
            <w:pPr>
              <w:jc w:val="left"/>
            </w:pPr>
            <w:r>
              <w:t xml:space="preserve">REFERENCE_ELLIPSOID</w:t>
            </w:r>
          </w:p>
        </w:tc>
        <w:tc>
          <w:tcPr/>
          <w:p>
            <w:pPr>
              <w:jc w:val="left"/>
            </w:pPr>
            <w:r>
              <w:t xml:space="preserve">Reference Ellipsoid - a mathematically defined surface approximating the Earth’s shape (e.g., WGS84)</w:t>
            </w:r>
          </w:p>
        </w:tc>
      </w:tr>
      <w:tr>
        <w:tc>
          <w:tcPr/>
          <w:p>
            <w:pPr>
              <w:jc w:val="left"/>
            </w:pPr>
            <w:r>
              <w:t xml:space="preserve">PRESSURE_1000_HPA</w:t>
            </w:r>
          </w:p>
        </w:tc>
        <w:tc>
          <w:tcPr/>
          <w:p>
            <w:pPr>
              <w:jc w:val="left"/>
            </w:pPr>
            <w:r>
              <w:t xml:space="preserve">The 1000 hPa pressure level in the atmosphere</w:t>
            </w:r>
          </w:p>
        </w:tc>
      </w:tr>
    </w:tbl>
    <w:p>
      <w:pPr>
        <w:pStyle w:val="BodyText"/>
      </w:pPr>
      <w:r>
        <w:t xml:space="preserve">The choice of reference surface is determined by the user based on the measurement context and requirements. For example, meteorological observations of air temperature typically use height above ground level (GL), while atmospheric pressure observations may reference mean sea level (MSL).</w:t>
      </w:r>
    </w:p>
    <w:bookmarkEnd w:id="64"/>
    <w:bookmarkEnd w:id="65"/>
    <w:bookmarkStart w:id="69" w:name="Xcc23f6acd800e14e9520bfa042408715e4ce9c0"/>
    <w:p>
      <w:pPr>
        <w:pStyle w:val="Heading2"/>
      </w:pPr>
      <w:r>
        <w:t xml:space="preserve">Observations and values</w:t>
      </w:r>
    </w:p>
    <w:bookmarkStart w:id="66" w:name="X1dbf4a806bce0d3d4fc72a7b692636795af6609"/>
    <w:p>
      <w:pPr>
        <w:pStyle w:val="Heading3"/>
      </w:pPr>
      <w:r>
        <w:t xml:space="preserve">Observation</w:t>
      </w:r>
    </w:p>
    <w:p>
      <w:pPr>
        <w:pStyle w:val="FirstParagraph"/>
      </w:pPr>
      <w:r>
        <w:t xml:space="preserve">The</w:t>
      </w:r>
      <w:r>
        <w:t xml:space="preserve"> </w:t>
      </w:r>
      <w:r>
        <w:rPr>
          <w:rStyle w:val="VerbatimChar"/>
        </w:rPr>
        <w:t xml:space="preserve">Observation</w:t>
      </w:r>
      <w:r>
        <w:t xml:space="preserve"> </w:t>
      </w:r>
      <w:r>
        <w:t xml:space="preserve">message represents a single measurement data point collected at a specific time.</w:t>
      </w:r>
    </w:p>
    <w:p>
      <w:pPr>
        <w:pStyle w:val="BodyText"/>
      </w:pPr>
      <w:r>
        <w:t xml:space="preserve">The</w:t>
      </w:r>
      <w:r>
        <w:t xml:space="preserve"> </w:t>
      </w:r>
      <w:r>
        <w:rPr>
          <w:rStyle w:val="VerbatimChar"/>
        </w:rPr>
        <w:t xml:space="preserve">Observation</w:t>
      </w:r>
      <w:r>
        <w:t xml:space="preserve"> </w:t>
      </w:r>
      <w:r>
        <w:t xml:space="preserve">message contains the following fields:</w:t>
      </w:r>
    </w:p>
    <w:tbl>
      <w:tblPr>
        <w:tblStyle w:val="Table"/>
        <w:tblW w:type="pct" w:w="5000"/>
        <w:tblLook w:firstRow="1" w:lastRow="0" w:firstColumn="0" w:lastColumn="0" w:noHBand="0" w:noVBand="0" w:val="0020"/>
        <w:jc w:val="start"/>
      </w:tblPr>
      <w:tblGrid>
        <w:gridCol w:w="1584"/>
        <w:gridCol w:w="1584"/>
        <w:gridCol w:w="792"/>
        <w:gridCol w:w="396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Cardinality</w:t>
            </w:r>
          </w:p>
        </w:tc>
        <w:tc>
          <w:tcPr/>
          <w:p>
            <w:pPr>
              <w:pStyle w:val="Compact"/>
              <w:jc w:val="left"/>
            </w:pPr>
            <w:r>
              <w:t xml:space="preserve">Description</w:t>
            </w:r>
          </w:p>
        </w:tc>
      </w:tr>
      <w:tr>
        <w:tc>
          <w:tcPr/>
          <w:p>
            <w:pPr>
              <w:jc w:val="left"/>
            </w:pPr>
            <w:r>
              <w:t xml:space="preserve">parameterDefinitionId</w:t>
            </w:r>
          </w:p>
        </w:tc>
        <w:tc>
          <w:tcPr/>
          <w:p>
            <w:pPr>
              <w:jc w:val="left"/>
            </w:pPr>
            <w:r>
              <w:t xml:space="preserve">uint32</w:t>
            </w:r>
          </w:p>
        </w:tc>
        <w:tc>
          <w:tcPr/>
          <w:p>
            <w:pPr>
              <w:jc w:val="left"/>
            </w:pPr>
            <w:r>
              <w:t xml:space="preserve">required</w:t>
            </w:r>
          </w:p>
        </w:tc>
        <w:tc>
          <w:tcPr/>
          <w:p>
            <w:pPr>
              <w:jc w:val="left"/>
            </w:pPr>
            <w:r>
              <w:t xml:space="preserve">Identifier referencing a</w:t>
            </w:r>
            <w:r>
              <w:t xml:space="preserve"> </w:t>
            </w:r>
            <w:r>
              <w:rPr>
                <w:rStyle w:val="VerbatimChar"/>
              </w:rPr>
              <w:t xml:space="preserve">ParameterDefinition</w:t>
            </w:r>
            <w:r>
              <w:t xml:space="preserve"> </w:t>
            </w:r>
            <w:r>
              <w:t xml:space="preserve">in the</w:t>
            </w:r>
            <w:r>
              <w:t xml:space="preserve"> </w:t>
            </w:r>
            <w:r>
              <w:rPr>
                <w:rStyle w:val="VerbatimChar"/>
              </w:rPr>
              <w:t xml:space="preserve">Metadata</w:t>
            </w:r>
            <w:r>
              <w:t xml:space="preserve"> </w:t>
            </w:r>
            <w:r>
              <w:t xml:space="preserve">message</w:t>
            </w:r>
          </w:p>
        </w:tc>
      </w:tr>
      <w:tr>
        <w:tc>
          <w:tcPr/>
          <w:p>
            <w:pPr>
              <w:jc w:val="left"/>
            </w:pPr>
            <w:r>
              <w:t xml:space="preserve">time</w:t>
            </w:r>
          </w:p>
        </w:tc>
        <w:tc>
          <w:tcPr/>
          <w:p>
            <w:pPr>
              <w:jc w:val="left"/>
            </w:pPr>
            <w:r>
              <w:t xml:space="preserve">google.protobuf.Timestamp</w:t>
            </w:r>
          </w:p>
        </w:tc>
        <w:tc>
          <w:tcPr/>
          <w:p>
            <w:pPr>
              <w:jc w:val="left"/>
            </w:pPr>
            <w:r>
              <w:t xml:space="preserve">required</w:t>
            </w:r>
          </w:p>
        </w:tc>
        <w:tc>
          <w:tcPr/>
          <w:p>
            <w:pPr>
              <w:jc w:val="left"/>
            </w:pPr>
            <w:r>
              <w:t xml:space="preserve">The timestamp when the observation was made, in UTC</w:t>
            </w:r>
          </w:p>
        </w:tc>
      </w:tr>
      <w:tr>
        <w:tc>
          <w:tcPr/>
          <w:p>
            <w:pPr>
              <w:jc w:val="left"/>
            </w:pPr>
            <w:r>
              <w:t xml:space="preserve">values</w:t>
            </w:r>
          </w:p>
        </w:tc>
        <w:tc>
          <w:tcPr/>
          <w:p>
            <w:pPr>
              <w:jc w:val="left"/>
            </w:pPr>
            <w:r>
              <w:t xml:space="preserve">Value</w:t>
            </w:r>
          </w:p>
        </w:tc>
        <w:tc>
          <w:tcPr/>
          <w:p>
            <w:pPr>
              <w:jc w:val="left"/>
            </w:pPr>
            <w:r>
              <w:t xml:space="preserve">repeated</w:t>
            </w:r>
          </w:p>
        </w:tc>
        <w:tc>
          <w:tcPr/>
          <w:p>
            <w:pPr>
              <w:jc w:val="left"/>
            </w:pPr>
            <w:r>
              <w:t xml:space="preserve">One or more measurement values</w:t>
            </w:r>
          </w:p>
        </w:tc>
      </w:tr>
    </w:tbl>
    <w:p>
      <w:pPr>
        <w:pStyle w:val="BodyText"/>
      </w:pPr>
      <w:r>
        <w:t xml:space="preserve">The</w:t>
      </w:r>
      <w:r>
        <w:t xml:space="preserve"> </w:t>
      </w:r>
      <w:r>
        <w:rPr>
          <w:rStyle w:val="VerbatimChar"/>
        </w:rPr>
        <w:t xml:space="preserve">parameterDefinitionId</w:t>
      </w:r>
      <w:r>
        <w:t xml:space="preserve"> </w:t>
      </w:r>
      <w:r>
        <w:t xml:space="preserve">field shall reference a</w:t>
      </w:r>
      <w:r>
        <w:t xml:space="preserve"> </w:t>
      </w:r>
      <w:r>
        <w:rPr>
          <w:rStyle w:val="VerbatimChar"/>
        </w:rPr>
        <w:t xml:space="preserve">ParameterDefinition.id</w:t>
      </w:r>
      <w:r>
        <w:t xml:space="preserve"> </w:t>
      </w:r>
      <w:r>
        <w:t xml:space="preserve">from the</w:t>
      </w:r>
      <w:r>
        <w:t xml:space="preserve"> </w:t>
      </w:r>
      <w:r>
        <w:rPr>
          <w:rStyle w:val="VerbatimChar"/>
        </w:rPr>
        <w:t xml:space="preserve">Metadata</w:t>
      </w:r>
      <w:r>
        <w:t xml:space="preserve"> </w:t>
      </w:r>
      <w:r>
        <w:t xml:space="preserve">message. The number and type of values in the</w:t>
      </w:r>
      <w:r>
        <w:t xml:space="preserve"> </w:t>
      </w:r>
      <w:r>
        <w:rPr>
          <w:rStyle w:val="VerbatimChar"/>
        </w:rPr>
        <w:t xml:space="preserve">values</w:t>
      </w:r>
      <w:r>
        <w:t xml:space="preserve"> </w:t>
      </w:r>
      <w:r>
        <w:t xml:space="preserve">field shall correspond to the number of parameters defined in the referenced</w:t>
      </w:r>
      <w:r>
        <w:t xml:space="preserve"> </w:t>
      </w:r>
      <w:r>
        <w:rPr>
          <w:rStyle w:val="VerbatimChar"/>
        </w:rPr>
        <w:t xml:space="preserve">ParameterDefinition</w:t>
      </w:r>
      <w:r>
        <w:t xml:space="preserve">.</w:t>
      </w:r>
    </w:p>
    <w:p>
      <w:pPr>
        <w:pStyle w:val="BodyText"/>
      </w:pPr>
      <w:r>
        <w:t xml:space="preserve">The</w:t>
      </w:r>
      <w:r>
        <w:t xml:space="preserve"> </w:t>
      </w:r>
      <w:r>
        <w:rPr>
          <w:rStyle w:val="VerbatimChar"/>
        </w:rPr>
        <w:t xml:space="preserve">time</w:t>
      </w:r>
      <w:r>
        <w:t xml:space="preserve"> </w:t>
      </w:r>
      <w:r>
        <w:t xml:space="preserve">field uses the standard</w:t>
      </w:r>
      <w:r>
        <w:t xml:space="preserve"> </w:t>
      </w:r>
      <w:r>
        <w:rPr>
          <w:rStyle w:val="VerbatimChar"/>
        </w:rPr>
        <w:t xml:space="preserve">google.protobuf.Timestamp</w:t>
      </w:r>
      <w:r>
        <w:t xml:space="preserve"> </w:t>
      </w:r>
      <w:r>
        <w:t xml:space="preserve">format, representing time as seconds and nanoseconds since the Unix epoch (1970-01-01T00:00:00Z).</w:t>
      </w:r>
    </w:p>
    <w:p>
      <w:pPr>
        <w:pStyle w:val="BodyText"/>
      </w:pPr>
      <w:r>
        <w:t xml:space="preserve">An observation may contain multiple values when the referenced</w:t>
      </w:r>
      <w:r>
        <w:t xml:space="preserve"> </w:t>
      </w:r>
      <w:r>
        <w:rPr>
          <w:rStyle w:val="VerbatimChar"/>
        </w:rPr>
        <w:t xml:space="preserve">ParameterDefinition</w:t>
      </w:r>
      <w:r>
        <w:t xml:space="preserve"> </w:t>
      </w:r>
      <w:r>
        <w:t xml:space="preserve">contains multiple parameters. This approach enables grouping values that are measured at the same timestamp, requiring the timestamp to be transmitted only once for multiple values. This reduces payload size, which is particularly beneficial in bandwidth-constrained environments.</w:t>
      </w:r>
    </w:p>
    <w:p>
      <w:pPr>
        <w:pStyle w:val="BodyText"/>
      </w:pPr>
      <w:r>
        <w:t xml:space="preserve">For example, a parameter definition for "Internal Parameters" might include both supply voltage and internal temperature, requiring two values per observation but sharing a single timestamp.</w:t>
      </w:r>
    </w:p>
    <w:bookmarkEnd w:id="66"/>
    <w:bookmarkStart w:id="67" w:name="Xa1a156b94e1c41bbe3f68fc142b1250ef777bf0"/>
    <w:p>
      <w:pPr>
        <w:pStyle w:val="Heading3"/>
      </w:pPr>
      <w:r>
        <w:t xml:space="preserve">Value types</w:t>
      </w:r>
    </w:p>
    <w:p>
      <w:pPr>
        <w:pStyle w:val="FirstParagraph"/>
      </w:pPr>
      <w:r>
        <w:t xml:space="preserve">The</w:t>
      </w:r>
      <w:r>
        <w:t xml:space="preserve"> </w:t>
      </w:r>
      <w:r>
        <w:rPr>
          <w:rStyle w:val="VerbatimChar"/>
        </w:rPr>
        <w:t xml:space="preserve">Value</w:t>
      </w:r>
      <w:r>
        <w:t xml:space="preserve"> </w:t>
      </w:r>
      <w:r>
        <w:t xml:space="preserve">message is a polymorphic container that can represent measurement data of different types. The message uses a</w:t>
      </w:r>
      <w:r>
        <w:t xml:space="preserve"> </w:t>
      </w:r>
      <w:r>
        <w:rPr>
          <w:rStyle w:val="VerbatimChar"/>
        </w:rPr>
        <w:t xml:space="preserve">oneof</w:t>
      </w:r>
      <w:r>
        <w:t xml:space="preserve"> </w:t>
      </w:r>
      <w:r>
        <w:t xml:space="preserve">field, meaning exactly one of the following value types shall be set:</w:t>
      </w:r>
    </w:p>
    <w:tbl>
      <w:tblPr>
        <w:tblStyle w:val="Table"/>
        <w:tblW w:type="pct" w:w="5000"/>
        <w:tblLook w:firstRow="1" w:lastRow="0" w:firstColumn="0" w:lastColumn="0" w:noHBand="0" w:noVBand="0" w:val="0020"/>
        <w:jc w:val="start"/>
      </w:tblPr>
      <w:tblGrid>
        <w:gridCol w:w="1759"/>
        <w:gridCol w:w="1759"/>
        <w:gridCol w:w="440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jc w:val="left"/>
            </w:pPr>
            <w:r>
              <w:t xml:space="preserve">floatValue</w:t>
            </w:r>
          </w:p>
        </w:tc>
        <w:tc>
          <w:tcPr/>
          <w:p>
            <w:pPr>
              <w:jc w:val="left"/>
            </w:pPr>
            <w:r>
              <w:t xml:space="preserve">float</w:t>
            </w:r>
          </w:p>
        </w:tc>
        <w:tc>
          <w:tcPr/>
          <w:p>
            <w:pPr>
              <w:jc w:val="left"/>
            </w:pPr>
            <w:r>
              <w:t xml:space="preserve">32-bit floating point number</w:t>
            </w:r>
          </w:p>
        </w:tc>
      </w:tr>
      <w:tr>
        <w:tc>
          <w:tcPr/>
          <w:p>
            <w:pPr>
              <w:jc w:val="left"/>
            </w:pPr>
            <w:r>
              <w:t xml:space="preserve">doubleValue</w:t>
            </w:r>
          </w:p>
        </w:tc>
        <w:tc>
          <w:tcPr/>
          <w:p>
            <w:pPr>
              <w:jc w:val="left"/>
            </w:pPr>
            <w:r>
              <w:t xml:space="preserve">double</w:t>
            </w:r>
          </w:p>
        </w:tc>
        <w:tc>
          <w:tcPr/>
          <w:p>
            <w:pPr>
              <w:jc w:val="left"/>
            </w:pPr>
            <w:r>
              <w:t xml:space="preserve">64-bit floating point number</w:t>
            </w:r>
          </w:p>
        </w:tc>
      </w:tr>
      <w:tr>
        <w:tc>
          <w:tcPr/>
          <w:p>
            <w:pPr>
              <w:jc w:val="left"/>
            </w:pPr>
            <w:r>
              <w:t xml:space="preserve">intValue</w:t>
            </w:r>
          </w:p>
        </w:tc>
        <w:tc>
          <w:tcPr/>
          <w:p>
            <w:pPr>
              <w:jc w:val="left"/>
            </w:pPr>
            <w:r>
              <w:t xml:space="preserve">int32</w:t>
            </w:r>
          </w:p>
        </w:tc>
        <w:tc>
          <w:tcPr/>
          <w:p>
            <w:pPr>
              <w:jc w:val="left"/>
            </w:pPr>
            <w:r>
              <w:t xml:space="preserve">32-bit signed integer</w:t>
            </w:r>
          </w:p>
        </w:tc>
      </w:tr>
      <w:tr>
        <w:tc>
          <w:tcPr/>
          <w:p>
            <w:pPr>
              <w:jc w:val="left"/>
            </w:pPr>
            <w:r>
              <w:t xml:space="preserve">unsignedIntValue</w:t>
            </w:r>
          </w:p>
        </w:tc>
        <w:tc>
          <w:tcPr/>
          <w:p>
            <w:pPr>
              <w:jc w:val="left"/>
            </w:pPr>
            <w:r>
              <w:t xml:space="preserve">uint32</w:t>
            </w:r>
          </w:p>
        </w:tc>
        <w:tc>
          <w:tcPr/>
          <w:p>
            <w:pPr>
              <w:jc w:val="left"/>
            </w:pPr>
            <w:r>
              <w:t xml:space="preserve">32-bit unsigned integer</w:t>
            </w:r>
          </w:p>
        </w:tc>
      </w:tr>
      <w:tr>
        <w:tc>
          <w:tcPr/>
          <w:p>
            <w:pPr>
              <w:jc w:val="left"/>
            </w:pPr>
            <w:r>
              <w:t xml:space="preserve">int64Value</w:t>
            </w:r>
          </w:p>
        </w:tc>
        <w:tc>
          <w:tcPr/>
          <w:p>
            <w:pPr>
              <w:jc w:val="left"/>
            </w:pPr>
            <w:r>
              <w:t xml:space="preserve">int64</w:t>
            </w:r>
          </w:p>
        </w:tc>
        <w:tc>
          <w:tcPr/>
          <w:p>
            <w:pPr>
              <w:jc w:val="left"/>
            </w:pPr>
            <w:r>
              <w:t xml:space="preserve">64-bit signed integer</w:t>
            </w:r>
          </w:p>
        </w:tc>
      </w:tr>
      <w:tr>
        <w:tc>
          <w:tcPr/>
          <w:p>
            <w:pPr>
              <w:jc w:val="left"/>
            </w:pPr>
            <w:r>
              <w:t xml:space="preserve">unsignedInt64Value</w:t>
            </w:r>
          </w:p>
        </w:tc>
        <w:tc>
          <w:tcPr/>
          <w:p>
            <w:pPr>
              <w:jc w:val="left"/>
            </w:pPr>
            <w:r>
              <w:t xml:space="preserve">uint64</w:t>
            </w:r>
          </w:p>
        </w:tc>
        <w:tc>
          <w:tcPr/>
          <w:p>
            <w:pPr>
              <w:jc w:val="left"/>
            </w:pPr>
            <w:r>
              <w:t xml:space="preserve">64-bit unsigned integer</w:t>
            </w:r>
          </w:p>
        </w:tc>
      </w:tr>
      <w:tr>
        <w:tc>
          <w:tcPr/>
          <w:p>
            <w:pPr>
              <w:jc w:val="left"/>
            </w:pPr>
            <w:r>
              <w:t xml:space="preserve">stringValue</w:t>
            </w:r>
          </w:p>
        </w:tc>
        <w:tc>
          <w:tcPr/>
          <w:p>
            <w:pPr>
              <w:jc w:val="left"/>
            </w:pPr>
            <w:r>
              <w:t xml:space="preserve">string</w:t>
            </w:r>
          </w:p>
        </w:tc>
        <w:tc>
          <w:tcPr/>
          <w:p>
            <w:pPr>
              <w:jc w:val="left"/>
            </w:pPr>
            <w:r>
              <w:t xml:space="preserve">Text string value</w:t>
            </w:r>
          </w:p>
        </w:tc>
      </w:tr>
      <w:tr>
        <w:tc>
          <w:tcPr/>
          <w:p>
            <w:pPr>
              <w:jc w:val="left"/>
            </w:pPr>
            <w:r>
              <w:t xml:space="preserve">boolValue</w:t>
            </w:r>
          </w:p>
        </w:tc>
        <w:tc>
          <w:tcPr/>
          <w:p>
            <w:pPr>
              <w:jc w:val="left"/>
            </w:pPr>
            <w:r>
              <w:t xml:space="preserve">bool</w:t>
            </w:r>
          </w:p>
        </w:tc>
        <w:tc>
          <w:tcPr/>
          <w:p>
            <w:pPr>
              <w:jc w:val="left"/>
            </w:pPr>
            <w:r>
              <w:t xml:space="preserve">Boolean true/false value</w:t>
            </w:r>
          </w:p>
        </w:tc>
      </w:tr>
      <w:tr>
        <w:tc>
          <w:tcPr/>
          <w:p>
            <w:pPr>
              <w:jc w:val="left"/>
            </w:pPr>
            <w:r>
              <w:t xml:space="preserve">emptyValue</w:t>
            </w:r>
          </w:p>
        </w:tc>
        <w:tc>
          <w:tcPr/>
          <w:p>
            <w:pPr>
              <w:jc w:val="left"/>
            </w:pPr>
            <w:r>
              <w:t xml:space="preserve">google.protobuf.Empty</w:t>
            </w:r>
          </w:p>
        </w:tc>
        <w:tc>
          <w:tcPr/>
          <w:p>
            <w:pPr>
              <w:jc w:val="left"/>
            </w:pPr>
            <w:r>
              <w:t xml:space="preserve">Indicates missing or unavailable data</w:t>
            </w:r>
          </w:p>
        </w:tc>
      </w:tr>
    </w:tbl>
    <w:p>
      <w:pPr>
        <w:pStyle w:val="BodyText"/>
      </w:pPr>
      <w:r>
        <w:t xml:space="preserve">The choice of value type should be appropriate for the parameter being measured. Numeric measurements typically use</w:t>
      </w:r>
      <w:r>
        <w:t xml:space="preserve"> </w:t>
      </w:r>
      <w:r>
        <w:rPr>
          <w:rStyle w:val="VerbatimChar"/>
        </w:rPr>
        <w:t xml:space="preserve">doubleValue</w:t>
      </w:r>
      <w:r>
        <w:t xml:space="preserve"> </w:t>
      </w:r>
      <w:r>
        <w:t xml:space="preserve">or</w:t>
      </w:r>
      <w:r>
        <w:t xml:space="preserve"> </w:t>
      </w:r>
      <w:r>
        <w:rPr>
          <w:rStyle w:val="VerbatimChar"/>
        </w:rPr>
        <w:t xml:space="preserve">floatValue</w:t>
      </w:r>
      <w:r>
        <w:t xml:space="preserve">, while categorical observations may use</w:t>
      </w:r>
      <w:r>
        <w:t xml:space="preserve"> </w:t>
      </w:r>
      <w:r>
        <w:rPr>
          <w:rStyle w:val="VerbatimChar"/>
        </w:rPr>
        <w:t xml:space="preserve">stringValue</w:t>
      </w:r>
      <w:r>
        <w:t xml:space="preserve">. Boolean parameters (such as alarm states) use</w:t>
      </w:r>
      <w:r>
        <w:t xml:space="preserve"> </w:t>
      </w:r>
      <w:r>
        <w:rPr>
          <w:rStyle w:val="VerbatimChar"/>
        </w:rPr>
        <w:t xml:space="preserve">boolValue</w:t>
      </w:r>
      <w:r>
        <w:t xml:space="preserve">.</w:t>
      </w:r>
    </w:p>
    <w:p>
      <w:pPr>
        <w:pStyle w:val="BodyText"/>
      </w:pPr>
      <w:r>
        <w:t xml:space="preserve">The</w:t>
      </w:r>
      <w:r>
        <w:t xml:space="preserve"> </w:t>
      </w:r>
      <w:r>
        <w:rPr>
          <w:rStyle w:val="VerbatimChar"/>
        </w:rPr>
        <w:t xml:space="preserve">stringValue</w:t>
      </w:r>
      <w:r>
        <w:t xml:space="preserve"> </w:t>
      </w:r>
      <w:r>
        <w:t xml:space="preserve">field is intended for text data only and shall NOT be used to transmit:</w:t>
      </w:r>
    </w:p>
    <w:p>
      <w:pPr>
        <w:numPr>
          <w:ilvl w:val="0"/>
          <w:numId w:val="1006"/>
        </w:numPr>
      </w:pPr>
      <w:r>
        <w:t xml:space="preserve">Binary data, including base64-encoded binary blobs</w:t>
      </w:r>
    </w:p>
    <w:p>
      <w:pPr>
        <w:numPr>
          <w:ilvl w:val="0"/>
          <w:numId w:val="1006"/>
        </w:numPr>
      </w:pPr>
      <w:r>
        <w:t xml:space="preserve">Serialized objects or data structures</w:t>
      </w:r>
    </w:p>
    <w:p>
      <w:pPr>
        <w:numPr>
          <w:ilvl w:val="0"/>
          <w:numId w:val="1006"/>
        </w:numPr>
      </w:pPr>
      <w:r>
        <w:t xml:space="preserve">Structured data formats such as JSON, XML, or similar encodings</w:t>
      </w:r>
    </w:p>
    <w:p>
      <w:pPr>
        <w:pStyle w:val="FirstParagraph"/>
      </w:pPr>
      <w:r>
        <w:t xml:space="preserve">Binary data transmission and complex structured data are outside the scope of this standard.</w:t>
      </w:r>
    </w:p>
    <w:bookmarkEnd w:id="67"/>
    <w:bookmarkStart w:id="68" w:name="Xdace5bd116673738863a70d136ac45a1f0008af"/>
    <w:p>
      <w:pPr>
        <w:pStyle w:val="Heading3"/>
      </w:pPr>
      <w:r>
        <w:t xml:space="preserve">Missing and error values</w:t>
      </w:r>
    </w:p>
    <w:p>
      <w:pPr>
        <w:pStyle w:val="FirstParagraph"/>
      </w:pPr>
      <w:r>
        <w:t xml:space="preserve">When a measurement value is unavailable due to sensor malfunction, communication error, or other causes, the value shall be represented using the</w:t>
      </w:r>
      <w:r>
        <w:t xml:space="preserve"> </w:t>
      </w:r>
      <w:r>
        <w:rPr>
          <w:rStyle w:val="VerbatimChar"/>
        </w:rPr>
        <w:t xml:space="preserve">emptyValue</w:t>
      </w:r>
      <w:r>
        <w:t xml:space="preserve"> </w:t>
      </w:r>
      <w:r>
        <w:t xml:space="preserve">field of type</w:t>
      </w:r>
      <w:r>
        <w:t xml:space="preserve"> </w:t>
      </w:r>
      <w:r>
        <w:rPr>
          <w:rStyle w:val="VerbatimChar"/>
        </w:rPr>
        <w:t xml:space="preserve">google.protobuf.Empty</w:t>
      </w:r>
      <w:r>
        <w:t xml:space="preserve">.</w:t>
      </w:r>
    </w:p>
    <w:p>
      <w:pPr>
        <w:pStyle w:val="BodyText"/>
      </w:pPr>
      <w:r>
        <w:t xml:space="preserve">Missing or unavailable measurement values shall NOT be represented as:</w:t>
      </w:r>
    </w:p>
    <w:p>
      <w:pPr>
        <w:numPr>
          <w:ilvl w:val="0"/>
          <w:numId w:val="1007"/>
        </w:numPr>
      </w:pPr>
      <w:r>
        <w:t xml:space="preserve">Numeric zero (0)</w:t>
      </w:r>
    </w:p>
    <w:p>
      <w:pPr>
        <w:numPr>
          <w:ilvl w:val="0"/>
          <w:numId w:val="1007"/>
        </w:numPr>
      </w:pPr>
      <w:r>
        <w:t xml:space="preserve">NaN (Not a Number)</w:t>
      </w:r>
    </w:p>
    <w:p>
      <w:pPr>
        <w:numPr>
          <w:ilvl w:val="0"/>
          <w:numId w:val="1007"/>
        </w:numPr>
      </w:pPr>
      <w:r>
        <w:t xml:space="preserve">Omission from the</w:t>
      </w:r>
      <w:r>
        <w:t xml:space="preserve"> </w:t>
      </w:r>
      <w:r>
        <w:rPr>
          <w:rStyle w:val="VerbatimChar"/>
        </w:rPr>
        <w:t xml:space="preserve">values</w:t>
      </w:r>
      <w:r>
        <w:t xml:space="preserve"> </w:t>
      </w:r>
      <w:r>
        <w:t xml:space="preserve">array</w:t>
      </w:r>
    </w:p>
    <w:p>
      <w:pPr>
        <w:numPr>
          <w:ilvl w:val="0"/>
          <w:numId w:val="1007"/>
        </w:numPr>
      </w:pPr>
      <w:r>
        <w:t xml:space="preserve">Any other numeric sentinel value</w:t>
      </w:r>
    </w:p>
    <w:p>
      <w:pPr>
        <w:pStyle w:val="FirstParagraph"/>
      </w:pPr>
      <w:r>
        <w:t xml:space="preserve">The</w:t>
      </w:r>
      <w:r>
        <w:t xml:space="preserve"> </w:t>
      </w:r>
      <w:r>
        <w:rPr>
          <w:rStyle w:val="VerbatimChar"/>
        </w:rPr>
        <w:t xml:space="preserve">emptyValue</w:t>
      </w:r>
      <w:r>
        <w:t xml:space="preserve"> </w:t>
      </w:r>
      <w:r>
        <w:t xml:space="preserve">field shall be used to explicitly and unambiguously indicate missing data.</w:t>
      </w:r>
    </w:p>
    <w:p>
      <w:pPr>
        <w:pStyle w:val="BodyText"/>
      </w:pPr>
      <w:r>
        <w:t xml:space="preserve">This approach ensures clear distinction between actual measurements of zero and missing measurements, which is critical for correct data interpretation.</w:t>
      </w:r>
    </w:p>
    <w:p>
      <w:pPr>
        <w:pStyle w:val="BodyText"/>
      </w:pPr>
      <w:r>
        <w:t xml:space="preserve">When an</w:t>
      </w:r>
      <w:r>
        <w:t xml:space="preserve"> </w:t>
      </w:r>
      <w:r>
        <w:rPr>
          <w:rStyle w:val="VerbatimChar"/>
        </w:rPr>
        <w:t xml:space="preserve">Observation</w:t>
      </w:r>
      <w:r>
        <w:t xml:space="preserve"> </w:t>
      </w:r>
      <w:r>
        <w:t xml:space="preserve">references a</w:t>
      </w:r>
      <w:r>
        <w:t xml:space="preserve"> </w:t>
      </w:r>
      <w:r>
        <w:rPr>
          <w:rStyle w:val="VerbatimChar"/>
        </w:rPr>
        <w:t xml:space="preserve">ParameterDefinition</w:t>
      </w:r>
      <w:r>
        <w:t xml:space="preserve"> </w:t>
      </w:r>
      <w:r>
        <w:t xml:space="preserve">containing multiple parameters, the values in the</w:t>
      </w:r>
      <w:r>
        <w:t xml:space="preserve"> </w:t>
      </w:r>
      <w:r>
        <w:rPr>
          <w:rStyle w:val="VerbatimChar"/>
        </w:rPr>
        <w:t xml:space="preserve">values</w:t>
      </w:r>
      <w:r>
        <w:t xml:space="preserve"> </w:t>
      </w:r>
      <w:r>
        <w:t xml:space="preserve">array shall be provided in the same order as the parameters are defined in the</w:t>
      </w:r>
      <w:r>
        <w:t xml:space="preserve"> </w:t>
      </w:r>
      <w:r>
        <w:rPr>
          <w:rStyle w:val="VerbatimChar"/>
        </w:rPr>
        <w:t xml:space="preserve">ParameterDefinition.parameters</w:t>
      </w:r>
      <w:r>
        <w:t xml:space="preserve"> </w:t>
      </w:r>
      <w:r>
        <w:t xml:space="preserve">field. It is not permitted to omit a value from the middle of the array, as this would cause misalignment with the parameter definitions. If a value is unavailable, the</w:t>
      </w:r>
      <w:r>
        <w:t xml:space="preserve"> </w:t>
      </w:r>
      <w:r>
        <w:rPr>
          <w:rStyle w:val="VerbatimChar"/>
        </w:rPr>
        <w:t xml:space="preserve">emptyValue</w:t>
      </w:r>
      <w:r>
        <w:t xml:space="preserve"> </w:t>
      </w:r>
      <w:r>
        <w:t xml:space="preserve">field shall be used at that position to maintain correct alignment.</w:t>
      </w:r>
    </w:p>
    <w:bookmarkEnd w:id="68"/>
    <w:bookmarkEnd w:id="69"/>
    <w:bookmarkStart w:id="74" w:name="X8fe870ba40f1cbce50a7ed76ed4ee9a508ae528"/>
    <w:p>
      <w:pPr>
        <w:pStyle w:val="Heading2"/>
      </w:pPr>
      <w:r>
        <w:t xml:space="preserve">Parameter definitions</w:t>
      </w:r>
    </w:p>
    <w:p>
      <w:pPr>
        <w:pStyle w:val="FirstParagraph"/>
      </w:pPr>
      <w:r>
        <w:t xml:space="preserve">A</w:t>
      </w:r>
      <w:r>
        <w:t xml:space="preserve"> </w:t>
      </w:r>
      <w:r>
        <w:rPr>
          <w:rStyle w:val="VerbatimChar"/>
        </w:rPr>
        <w:t xml:space="preserve">ParameterDefinition</w:t>
      </w:r>
      <w:r>
        <w:t xml:space="preserve"> </w:t>
      </w:r>
      <w:r>
        <w:t xml:space="preserve">groups one or more related measurement parameters that share common context. Each parameter definition has a unique identifier that is referenced by observations. Parameters are typically grouped when they are measured at the same timestamp, allowing multiple values to share a single timestamp in observations and thus reducing payload size.</w:t>
      </w:r>
    </w:p>
    <w:p>
      <w:pPr>
        <w:pStyle w:val="BodyText"/>
      </w:pPr>
      <w:r>
        <w:t xml:space="preserve">The</w:t>
      </w:r>
      <w:r>
        <w:t xml:space="preserve"> </w:t>
      </w:r>
      <w:r>
        <w:rPr>
          <w:rStyle w:val="VerbatimChar"/>
        </w:rPr>
        <w:t xml:space="preserve">ParameterDefinition</w:t>
      </w:r>
      <w:r>
        <w:t xml:space="preserve"> </w:t>
      </w:r>
      <w:r>
        <w:t xml:space="preserve">message contains the following fields:</w:t>
      </w:r>
    </w:p>
    <w:tbl>
      <w:tblPr>
        <w:tblStyle w:val="Table"/>
        <w:tblW w:type="pct" w:w="5000"/>
        <w:tblLook w:firstRow="1" w:lastRow="0" w:firstColumn="0" w:lastColumn="0" w:noHBand="0" w:noVBand="0" w:val="0020"/>
        <w:jc w:val="start"/>
      </w:tblPr>
      <w:tblGrid>
        <w:gridCol w:w="1584"/>
        <w:gridCol w:w="1584"/>
        <w:gridCol w:w="792"/>
        <w:gridCol w:w="396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Cardinality</w:t>
            </w:r>
          </w:p>
        </w:tc>
        <w:tc>
          <w:tcPr/>
          <w:p>
            <w:pPr>
              <w:pStyle w:val="Compact"/>
              <w:jc w:val="left"/>
            </w:pPr>
            <w:r>
              <w:t xml:space="preserve">Description</w:t>
            </w:r>
          </w:p>
        </w:tc>
      </w:tr>
      <w:tr>
        <w:tc>
          <w:tcPr/>
          <w:p>
            <w:pPr>
              <w:jc w:val="left"/>
            </w:pPr>
            <w:r>
              <w:t xml:space="preserve">id</w:t>
            </w:r>
          </w:p>
        </w:tc>
        <w:tc>
          <w:tcPr/>
          <w:p>
            <w:pPr>
              <w:jc w:val="left"/>
            </w:pPr>
            <w:r>
              <w:t xml:space="preserve">uint32</w:t>
            </w:r>
          </w:p>
        </w:tc>
        <w:tc>
          <w:tcPr/>
          <w:p>
            <w:pPr>
              <w:jc w:val="left"/>
            </w:pPr>
            <w:r>
              <w:t xml:space="preserve">required</w:t>
            </w:r>
          </w:p>
        </w:tc>
        <w:tc>
          <w:tcPr/>
          <w:p>
            <w:pPr>
              <w:jc w:val="left"/>
            </w:pPr>
            <w:r>
              <w:t xml:space="preserve">Unique identifier for this parameter definition</w:t>
            </w:r>
          </w:p>
        </w:tc>
      </w:tr>
      <w:tr>
        <w:tc>
          <w:tcPr/>
          <w:p>
            <w:pPr>
              <w:jc w:val="left"/>
            </w:pPr>
            <w:r>
              <w:t xml:space="preserve">description</w:t>
            </w:r>
          </w:p>
        </w:tc>
        <w:tc>
          <w:tcPr/>
          <w:p>
            <w:pPr>
              <w:jc w:val="left"/>
            </w:pPr>
            <w:r>
              <w:t xml:space="preserve">string</w:t>
            </w:r>
          </w:p>
        </w:tc>
        <w:tc>
          <w:tcPr/>
          <w:p>
            <w:pPr>
              <w:jc w:val="left"/>
            </w:pPr>
            <w:r>
              <w:t xml:space="preserve">required</w:t>
            </w:r>
          </w:p>
        </w:tc>
        <w:tc>
          <w:tcPr/>
          <w:p>
            <w:pPr>
              <w:jc w:val="left"/>
            </w:pPr>
            <w:r>
              <w:t xml:space="preserve">Human-readable description of this parameter definition</w:t>
            </w:r>
          </w:p>
        </w:tc>
      </w:tr>
      <w:tr>
        <w:tc>
          <w:tcPr/>
          <w:p>
            <w:pPr>
              <w:jc w:val="left"/>
            </w:pPr>
            <w:r>
              <w:t xml:space="preserve">parameters</w:t>
            </w:r>
          </w:p>
        </w:tc>
        <w:tc>
          <w:tcPr/>
          <w:p>
            <w:pPr>
              <w:jc w:val="left"/>
            </w:pPr>
            <w:r>
              <w:t xml:space="preserve">Parameter</w:t>
            </w:r>
          </w:p>
        </w:tc>
        <w:tc>
          <w:tcPr/>
          <w:p>
            <w:pPr>
              <w:jc w:val="left"/>
            </w:pPr>
            <w:r>
              <w:t xml:space="preserve">repeated</w:t>
            </w:r>
          </w:p>
        </w:tc>
        <w:tc>
          <w:tcPr/>
          <w:p>
            <w:pPr>
              <w:jc w:val="left"/>
            </w:pPr>
            <w:r>
              <w:t xml:space="preserve">One or more parameter specifications</w:t>
            </w:r>
          </w:p>
        </w:tc>
      </w:tr>
    </w:tbl>
    <w:p>
      <w:pPr>
        <w:pStyle w:val="BodyText"/>
      </w:pPr>
      <w:r>
        <w:t xml:space="preserve">The</w:t>
      </w:r>
      <w:r>
        <w:t xml:space="preserve"> </w:t>
      </w:r>
      <w:r>
        <w:rPr>
          <w:rStyle w:val="VerbatimChar"/>
        </w:rPr>
        <w:t xml:space="preserve">id</w:t>
      </w:r>
      <w:r>
        <w:t xml:space="preserve"> </w:t>
      </w:r>
      <w:r>
        <w:t xml:space="preserve">field shall be unique within the scope of a single</w:t>
      </w:r>
      <w:r>
        <w:t xml:space="preserve"> </w:t>
      </w:r>
      <w:r>
        <w:rPr>
          <w:rStyle w:val="VerbatimChar"/>
        </w:rPr>
        <w:t xml:space="preserve">Metadata</w:t>
      </w:r>
      <w:r>
        <w:t xml:space="preserve"> </w:t>
      </w:r>
      <w:r>
        <w:t xml:space="preserve">message. This identifier is used by the</w:t>
      </w:r>
      <w:r>
        <w:t xml:space="preserve"> </w:t>
      </w:r>
      <w:r>
        <w:rPr>
          <w:rStyle w:val="VerbatimChar"/>
        </w:rPr>
        <w:t xml:space="preserve">Observation.parameterDefinitionId</w:t>
      </w:r>
      <w:r>
        <w:t xml:space="preserve"> </w:t>
      </w:r>
      <w:r>
        <w:t xml:space="preserve">field to associate observations with their parameter specifications.</w:t>
      </w:r>
    </w:p>
    <w:p>
      <w:pPr>
        <w:pStyle w:val="BodyText"/>
      </w:pPr>
      <w:r>
        <w:t xml:space="preserve">The</w:t>
      </w:r>
      <w:r>
        <w:t xml:space="preserve"> </w:t>
      </w:r>
      <w:r>
        <w:rPr>
          <w:rStyle w:val="VerbatimChar"/>
        </w:rPr>
        <w:t xml:space="preserve">parameters</w:t>
      </w:r>
      <w:r>
        <w:t xml:space="preserve"> </w:t>
      </w:r>
      <w:r>
        <w:t xml:space="preserve">field contains one or more</w:t>
      </w:r>
      <w:r>
        <w:t xml:space="preserve"> </w:t>
      </w:r>
      <w:r>
        <w:rPr>
          <w:rStyle w:val="VerbatimChar"/>
        </w:rPr>
        <w:t xml:space="preserve">Parameter</w:t>
      </w:r>
      <w:r>
        <w:t xml:space="preserve"> </w:t>
      </w:r>
      <w:r>
        <w:t xml:space="preserve">messages describing individual measurable variables. When multiple parameters are grouped in a single definition, each observation referencing this definition shall provide values in the same order as the parameters are defined.</w:t>
      </w:r>
    </w:p>
    <w:bookmarkStart w:id="70" w:name="X4cc94a085ba3568c058fdd8c53467d413de5dbf"/>
    <w:p>
      <w:pPr>
        <w:pStyle w:val="Heading3"/>
      </w:pPr>
      <w:r>
        <w:t xml:space="preserve">Parameter</w:t>
      </w:r>
    </w:p>
    <w:p>
      <w:pPr>
        <w:pStyle w:val="FirstParagraph"/>
      </w:pPr>
      <w:r>
        <w:t xml:space="preserve">The</w:t>
      </w:r>
      <w:r>
        <w:t xml:space="preserve"> </w:t>
      </w:r>
      <w:r>
        <w:rPr>
          <w:rStyle w:val="VerbatimChar"/>
        </w:rPr>
        <w:t xml:space="preserve">Parameter</w:t>
      </w:r>
      <w:r>
        <w:t xml:space="preserve"> </w:t>
      </w:r>
      <w:r>
        <w:t xml:space="preserve">message specifies a single measurable variable, including its name, unit of measurement, aggregation method, and associated device.</w:t>
      </w:r>
    </w:p>
    <w:p>
      <w:pPr>
        <w:pStyle w:val="BodyText"/>
      </w:pPr>
      <w:r>
        <w:t xml:space="preserve">The</w:t>
      </w:r>
      <w:r>
        <w:t xml:space="preserve"> </w:t>
      </w:r>
      <w:r>
        <w:rPr>
          <w:rStyle w:val="VerbatimChar"/>
        </w:rPr>
        <w:t xml:space="preserve">Parameter</w:t>
      </w:r>
      <w:r>
        <w:t xml:space="preserve"> </w:t>
      </w:r>
      <w:r>
        <w:t xml:space="preserve">message contains the following fields:</w:t>
      </w:r>
    </w:p>
    <w:tbl>
      <w:tblPr>
        <w:tblStyle w:val="Table"/>
        <w:tblW w:type="pct" w:w="5000"/>
        <w:tblLook w:firstRow="1" w:lastRow="0" w:firstColumn="0" w:lastColumn="0" w:noHBand="0" w:noVBand="0" w:val="0020"/>
        <w:jc w:val="start"/>
      </w:tblPr>
      <w:tblGrid>
        <w:gridCol w:w="1584"/>
        <w:gridCol w:w="1584"/>
        <w:gridCol w:w="792"/>
        <w:gridCol w:w="396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Cardinality</w:t>
            </w:r>
          </w:p>
        </w:tc>
        <w:tc>
          <w:tcPr/>
          <w:p>
            <w:pPr>
              <w:pStyle w:val="Compact"/>
              <w:jc w:val="left"/>
            </w:pPr>
            <w:r>
              <w:t xml:space="preserve">Description</w:t>
            </w:r>
          </w:p>
        </w:tc>
      </w:tr>
      <w:tr>
        <w:tc>
          <w:tcPr/>
          <w:p>
            <w:pPr>
              <w:jc w:val="left"/>
            </w:pPr>
            <w:r>
              <w:t xml:space="preserve">longName</w:t>
            </w:r>
          </w:p>
        </w:tc>
        <w:tc>
          <w:tcPr/>
          <w:p>
            <w:pPr>
              <w:jc w:val="left"/>
            </w:pPr>
            <w:r>
              <w:t xml:space="preserve">string</w:t>
            </w:r>
          </w:p>
        </w:tc>
        <w:tc>
          <w:tcPr/>
          <w:p>
            <w:pPr>
              <w:jc w:val="left"/>
            </w:pPr>
            <w:r>
              <w:t xml:space="preserve">required</w:t>
            </w:r>
          </w:p>
        </w:tc>
        <w:tc>
          <w:tcPr/>
          <w:p>
            <w:pPr>
              <w:jc w:val="left"/>
            </w:pPr>
            <w:r>
              <w:t xml:space="preserve">Descriptive name of the parameter (e.g., "Air Temperature", "Wind Speed")</w:t>
            </w:r>
          </w:p>
        </w:tc>
      </w:tr>
      <w:tr>
        <w:tc>
          <w:tcPr/>
          <w:p>
            <w:pPr>
              <w:jc w:val="left"/>
            </w:pPr>
            <w:r>
              <w:t xml:space="preserve">unit</w:t>
            </w:r>
          </w:p>
        </w:tc>
        <w:tc>
          <w:tcPr/>
          <w:p>
            <w:pPr>
              <w:jc w:val="left"/>
            </w:pPr>
            <w:r>
              <w:t xml:space="preserve">string</w:t>
            </w:r>
          </w:p>
        </w:tc>
        <w:tc>
          <w:tcPr/>
          <w:p>
            <w:pPr>
              <w:jc w:val="left"/>
            </w:pPr>
            <w:r>
              <w:t xml:space="preserve">required</w:t>
            </w:r>
          </w:p>
        </w:tc>
        <w:tc>
          <w:tcPr/>
          <w:p>
            <w:pPr>
              <w:jc w:val="left"/>
            </w:pPr>
            <w:r>
              <w:t xml:space="preserve">Unit of measurement (e.g., "°C", "m/s", "hPa")</w:t>
            </w:r>
          </w:p>
        </w:tc>
      </w:tr>
      <w:tr>
        <w:tc>
          <w:tcPr/>
          <w:p>
            <w:pPr>
              <w:jc w:val="left"/>
            </w:pPr>
            <w:r>
              <w:t xml:space="preserve">standardNames</w:t>
            </w:r>
          </w:p>
        </w:tc>
        <w:tc>
          <w:tcPr/>
          <w:p>
            <w:pPr>
              <w:jc w:val="left"/>
            </w:pPr>
            <w:r>
              <w:t xml:space="preserve">map&lt;string, string&gt;</w:t>
            </w:r>
          </w:p>
        </w:tc>
        <w:tc>
          <w:tcPr/>
          <w:p>
            <w:pPr>
              <w:jc w:val="left"/>
            </w:pPr>
            <w:r>
              <w:t xml:space="preserve">optional</w:t>
            </w:r>
          </w:p>
        </w:tc>
        <w:tc>
          <w:tcPr/>
          <w:p>
            <w:pPr>
              <w:jc w:val="left"/>
            </w:pPr>
            <w:r>
              <w:t xml:space="preserve">Mapping of namespace prefixes to standard names in external naming conventions</w:t>
            </w:r>
          </w:p>
        </w:tc>
      </w:tr>
      <w:tr>
        <w:tc>
          <w:tcPr/>
          <w:p>
            <w:pPr>
              <w:jc w:val="left"/>
            </w:pPr>
            <w:r>
              <w:t xml:space="preserve">device</w:t>
            </w:r>
          </w:p>
        </w:tc>
        <w:tc>
          <w:tcPr/>
          <w:p>
            <w:pPr>
              <w:jc w:val="left"/>
            </w:pPr>
            <w:r>
              <w:t xml:space="preserve">DeviceRef</w:t>
            </w:r>
          </w:p>
        </w:tc>
        <w:tc>
          <w:tcPr/>
          <w:p>
            <w:pPr>
              <w:jc w:val="left"/>
            </w:pPr>
            <w:r>
              <w:t xml:space="preserve">required</w:t>
            </w:r>
          </w:p>
        </w:tc>
        <w:tc>
          <w:tcPr/>
          <w:p>
            <w:pPr>
              <w:jc w:val="left"/>
            </w:pPr>
            <w:r>
              <w:t xml:space="preserve">Reference to the device (node or observer) that measures this parameter</w:t>
            </w:r>
          </w:p>
        </w:tc>
      </w:tr>
      <w:tr>
        <w:tc>
          <w:tcPr/>
          <w:p>
            <w:pPr>
              <w:jc w:val="left"/>
            </w:pPr>
            <w:r>
              <w:t xml:space="preserve">cellMethod</w:t>
            </w:r>
          </w:p>
        </w:tc>
        <w:tc>
          <w:tcPr/>
          <w:p>
            <w:pPr>
              <w:jc w:val="left"/>
            </w:pPr>
            <w:r>
              <w:t xml:space="preserve">CellMethod</w:t>
            </w:r>
          </w:p>
        </w:tc>
        <w:tc>
          <w:tcPr/>
          <w:p>
            <w:pPr>
              <w:jc w:val="left"/>
            </w:pPr>
            <w:r>
              <w:t xml:space="preserve">required</w:t>
            </w:r>
          </w:p>
        </w:tc>
        <w:tc>
          <w:tcPr/>
          <w:p>
            <w:pPr>
              <w:jc w:val="left"/>
            </w:pPr>
            <w:r>
              <w:t xml:space="preserve">Statistical or aggregation method applied to the measurement</w:t>
            </w:r>
          </w:p>
        </w:tc>
      </w:tr>
      <w:tr>
        <w:tc>
          <w:tcPr/>
          <w:p>
            <w:pPr>
              <w:jc w:val="left"/>
            </w:pPr>
            <w:r>
              <w:t xml:space="preserve">cellPeriodSeconds</w:t>
            </w:r>
          </w:p>
        </w:tc>
        <w:tc>
          <w:tcPr/>
          <w:p>
            <w:pPr>
              <w:jc w:val="left"/>
            </w:pPr>
            <w:r>
              <w:t xml:space="preserve">uint32</w:t>
            </w:r>
          </w:p>
        </w:tc>
        <w:tc>
          <w:tcPr/>
          <w:p>
            <w:pPr>
              <w:jc w:val="left"/>
            </w:pPr>
            <w:r>
              <w:t xml:space="preserve">required</w:t>
            </w:r>
          </w:p>
        </w:tc>
        <w:tc>
          <w:tcPr/>
          <w:p>
            <w:pPr>
              <w:jc w:val="left"/>
            </w:pPr>
            <w:r>
              <w:t xml:space="preserve">Period of aggregation in seconds (0 for instantaneous point measurements)</w:t>
            </w:r>
          </w:p>
        </w:tc>
      </w:tr>
    </w:tbl>
    <w:p>
      <w:pPr>
        <w:pStyle w:val="BodyText"/>
      </w:pPr>
      <w:r>
        <w:t xml:space="preserve">The</w:t>
      </w:r>
      <w:r>
        <w:t xml:space="preserve"> </w:t>
      </w:r>
      <w:r>
        <w:rPr>
          <w:rStyle w:val="VerbatimChar"/>
        </w:rPr>
        <w:t xml:space="preserve">standardNames</w:t>
      </w:r>
      <w:r>
        <w:t xml:space="preserve"> </w:t>
      </w:r>
      <w:r>
        <w:t xml:space="preserve">field enables mapping to external naming conventions such as Climate and Forecast (CF) standard names. This allows parameters to be referenced by different standard parameter types according to the target application of the device using the protocol. The Node is not bound to a specific standard but may include mappings to multiple standards as appropriate for the intended use case. The keys in this map shall correspond to namespace prefixes defined in</w:t>
      </w:r>
      <w:r>
        <w:t xml:space="preserve"> </w:t>
      </w:r>
      <w:r>
        <w:rPr>
          <w:rStyle w:val="VerbatimChar"/>
        </w:rPr>
        <w:t xml:space="preserve">Metadata.namespaces</w:t>
      </w:r>
      <w:r>
        <w:t xml:space="preserve">.</w:t>
      </w:r>
    </w:p>
    <w:p>
      <w:pPr>
        <w:pStyle w:val="BodyText"/>
      </w:pPr>
      <w:r>
        <w:t xml:space="preserve">The</w:t>
      </w:r>
      <w:r>
        <w:t xml:space="preserve"> </w:t>
      </w:r>
      <w:r>
        <w:rPr>
          <w:rStyle w:val="VerbatimChar"/>
        </w:rPr>
        <w:t xml:space="preserve">device</w:t>
      </w:r>
      <w:r>
        <w:t xml:space="preserve"> </w:t>
      </w:r>
      <w:r>
        <w:t xml:space="preserve">field specifies which device (either the node or a specific observer) performs this measurement.</w:t>
      </w:r>
    </w:p>
    <w:bookmarkEnd w:id="70"/>
    <w:bookmarkStart w:id="71" w:name="X250bba3ad6128daef583cd3d3f9bc17f1a926a1"/>
    <w:p>
      <w:pPr>
        <w:pStyle w:val="Heading3"/>
      </w:pPr>
      <w:r>
        <w:t xml:space="preserve">Cell method</w:t>
      </w:r>
    </w:p>
    <w:p>
      <w:pPr>
        <w:pStyle w:val="FirstParagraph"/>
      </w:pPr>
      <w:r>
        <w:t xml:space="preserve">The</w:t>
      </w:r>
      <w:r>
        <w:t xml:space="preserve"> </w:t>
      </w:r>
      <w:r>
        <w:rPr>
          <w:rStyle w:val="VerbatimChar"/>
        </w:rPr>
        <w:t xml:space="preserve">cellMethod</w:t>
      </w:r>
      <w:r>
        <w:t xml:space="preserve"> </w:t>
      </w:r>
      <w:r>
        <w:t xml:space="preserve">field specifies how measurement data is aggregated or processed over the cell period. The</w:t>
      </w:r>
      <w:r>
        <w:t xml:space="preserve"> </w:t>
      </w:r>
      <w:r>
        <w:rPr>
          <w:rStyle w:val="VerbatimChar"/>
        </w:rPr>
        <w:t xml:space="preserve">CellMethod</w:t>
      </w:r>
      <w:r>
        <w:t xml:space="preserve"> </w:t>
      </w:r>
      <w:r>
        <w:t xml:space="preserve">enumeration defines the following values:</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Value</w:t>
            </w:r>
          </w:p>
        </w:tc>
        <w:tc>
          <w:tcPr/>
          <w:p>
            <w:pPr>
              <w:pStyle w:val="Compact"/>
              <w:jc w:val="left"/>
            </w:pPr>
            <w:r>
              <w:t xml:space="preserve">Description</w:t>
            </w:r>
          </w:p>
        </w:tc>
      </w:tr>
      <w:tr>
        <w:tc>
          <w:tcPr/>
          <w:p>
            <w:pPr>
              <w:jc w:val="left"/>
            </w:pPr>
            <w:r>
              <w:t xml:space="preserve">CELL_METHOD_UNSPECIFIED</w:t>
            </w:r>
          </w:p>
        </w:tc>
        <w:tc>
          <w:tcPr/>
          <w:p>
            <w:pPr>
              <w:jc w:val="left"/>
            </w:pPr>
            <w:r>
              <w:t xml:space="preserve">Reserved default value. Shall not be explicitly set by Nodes.</w:t>
            </w:r>
          </w:p>
        </w:tc>
      </w:tr>
      <w:tr>
        <w:tc>
          <w:tcPr/>
          <w:p>
            <w:pPr>
              <w:jc w:val="left"/>
            </w:pPr>
            <w:r>
              <w:t xml:space="preserve">POINT</w:t>
            </w:r>
          </w:p>
        </w:tc>
        <w:tc>
          <w:tcPr/>
          <w:p>
            <w:pPr>
              <w:jc w:val="left"/>
            </w:pPr>
            <w:r>
              <w:t xml:space="preserve">Instantaneous value at a specific point in time (no aggregation)</w:t>
            </w:r>
          </w:p>
        </w:tc>
      </w:tr>
      <w:tr>
        <w:tc>
          <w:tcPr/>
          <w:p>
            <w:pPr>
              <w:jc w:val="left"/>
            </w:pPr>
            <w:r>
              <w:t xml:space="preserve">SUM</w:t>
            </w:r>
          </w:p>
        </w:tc>
        <w:tc>
          <w:tcPr/>
          <w:p>
            <w:pPr>
              <w:jc w:val="left"/>
            </w:pPr>
            <w:r>
              <w:t xml:space="preserve">Sum of values over the cell period</w:t>
            </w:r>
          </w:p>
        </w:tc>
      </w:tr>
      <w:tr>
        <w:tc>
          <w:tcPr/>
          <w:p>
            <w:pPr>
              <w:jc w:val="left"/>
            </w:pPr>
            <w:r>
              <w:t xml:space="preserve">MAXIMUM</w:t>
            </w:r>
          </w:p>
        </w:tc>
        <w:tc>
          <w:tcPr/>
          <w:p>
            <w:pPr>
              <w:jc w:val="left"/>
            </w:pPr>
            <w:r>
              <w:t xml:space="preserve">Maximum value observed during the cell period</w:t>
            </w:r>
          </w:p>
        </w:tc>
      </w:tr>
      <w:tr>
        <w:tc>
          <w:tcPr/>
          <w:p>
            <w:pPr>
              <w:jc w:val="left"/>
            </w:pPr>
            <w:r>
              <w:t xml:space="preserve">MINIMUM</w:t>
            </w:r>
          </w:p>
        </w:tc>
        <w:tc>
          <w:tcPr/>
          <w:p>
            <w:pPr>
              <w:jc w:val="left"/>
            </w:pPr>
            <w:r>
              <w:t xml:space="preserve">Minimum value observed during the cell period</w:t>
            </w:r>
          </w:p>
        </w:tc>
      </w:tr>
      <w:tr>
        <w:tc>
          <w:tcPr/>
          <w:p>
            <w:pPr>
              <w:jc w:val="left"/>
            </w:pPr>
            <w:r>
              <w:t xml:space="preserve">MEAN</w:t>
            </w:r>
          </w:p>
        </w:tc>
        <w:tc>
          <w:tcPr/>
          <w:p>
            <w:pPr>
              <w:jc w:val="left"/>
            </w:pPr>
            <w:r>
              <w:t xml:space="preserve">Mean (average) value over the cell period</w:t>
            </w:r>
          </w:p>
        </w:tc>
      </w:tr>
      <w:tr>
        <w:tc>
          <w:tcPr/>
          <w:p>
            <w:pPr>
              <w:jc w:val="left"/>
            </w:pPr>
            <w:r>
              <w:t xml:space="preserve">MEDIAN</w:t>
            </w:r>
          </w:p>
        </w:tc>
        <w:tc>
          <w:tcPr/>
          <w:p>
            <w:pPr>
              <w:jc w:val="left"/>
            </w:pPr>
            <w:r>
              <w:t xml:space="preserve">Median value over the cell period</w:t>
            </w:r>
          </w:p>
        </w:tc>
      </w:tr>
      <w:tr>
        <w:tc>
          <w:tcPr/>
          <w:p>
            <w:pPr>
              <w:jc w:val="left"/>
            </w:pPr>
            <w:r>
              <w:t xml:space="preserve">MODE</w:t>
            </w:r>
          </w:p>
        </w:tc>
        <w:tc>
          <w:tcPr/>
          <w:p>
            <w:pPr>
              <w:jc w:val="left"/>
            </w:pPr>
            <w:r>
              <w:t xml:space="preserve">Most frequently occurring value</w:t>
            </w:r>
          </w:p>
        </w:tc>
      </w:tr>
      <w:tr>
        <w:tc>
          <w:tcPr/>
          <w:p>
            <w:pPr>
              <w:jc w:val="left"/>
            </w:pPr>
            <w:r>
              <w:t xml:space="preserve">VARIANCE</w:t>
            </w:r>
          </w:p>
        </w:tc>
        <w:tc>
          <w:tcPr/>
          <w:p>
            <w:pPr>
              <w:jc w:val="left"/>
            </w:pPr>
            <w:r>
              <w:t xml:space="preserve">Statistical variance within the cell period</w:t>
            </w:r>
          </w:p>
        </w:tc>
      </w:tr>
      <w:tr>
        <w:tc>
          <w:tcPr/>
          <w:p>
            <w:pPr>
              <w:jc w:val="left"/>
            </w:pPr>
            <w:r>
              <w:t xml:space="preserve">STANDARD_DEVIATION</w:t>
            </w:r>
          </w:p>
        </w:tc>
        <w:tc>
          <w:tcPr/>
          <w:p>
            <w:pPr>
              <w:jc w:val="left"/>
            </w:pPr>
            <w:r>
              <w:t xml:space="preserve">Standard deviation within the cell period</w:t>
            </w:r>
          </w:p>
        </w:tc>
      </w:tr>
      <w:tr>
        <w:tc>
          <w:tcPr/>
          <w:p>
            <w:pPr>
              <w:jc w:val="left"/>
            </w:pPr>
            <w:r>
              <w:t xml:space="preserve">MAXIMUM_ABSOLUTE_VALUE</w:t>
            </w:r>
          </w:p>
        </w:tc>
        <w:tc>
          <w:tcPr/>
          <w:p>
            <w:pPr>
              <w:jc w:val="left"/>
            </w:pPr>
            <w:r>
              <w:t xml:space="preserve">Maximum of absolute values</w:t>
            </w:r>
          </w:p>
        </w:tc>
      </w:tr>
      <w:tr>
        <w:tc>
          <w:tcPr/>
          <w:p>
            <w:pPr>
              <w:jc w:val="left"/>
            </w:pPr>
            <w:r>
              <w:t xml:space="preserve">MINIMUM_ABSOLUTE_VALUE</w:t>
            </w:r>
          </w:p>
        </w:tc>
        <w:tc>
          <w:tcPr/>
          <w:p>
            <w:pPr>
              <w:jc w:val="left"/>
            </w:pPr>
            <w:r>
              <w:t xml:space="preserve">Minimum of absolute values</w:t>
            </w:r>
          </w:p>
        </w:tc>
      </w:tr>
      <w:tr>
        <w:tc>
          <w:tcPr/>
          <w:p>
            <w:pPr>
              <w:jc w:val="left"/>
            </w:pPr>
            <w:r>
              <w:t xml:space="preserve">MEAN_ABSOLUTE_VALUE</w:t>
            </w:r>
          </w:p>
        </w:tc>
        <w:tc>
          <w:tcPr/>
          <w:p>
            <w:pPr>
              <w:jc w:val="left"/>
            </w:pPr>
            <w:r>
              <w:t xml:space="preserve">Mean of absolute values</w:t>
            </w:r>
          </w:p>
        </w:tc>
      </w:tr>
      <w:tr>
        <w:tc>
          <w:tcPr/>
          <w:p>
            <w:pPr>
              <w:jc w:val="left"/>
            </w:pPr>
            <w:r>
              <w:t xml:space="preserve">MEAN_OF_UPPER_DECILE</w:t>
            </w:r>
          </w:p>
        </w:tc>
        <w:tc>
          <w:tcPr/>
          <w:p>
            <w:pPr>
              <w:jc w:val="left"/>
            </w:pPr>
            <w:r>
              <w:t xml:space="preserve">Mean of the upper tenth of the value distribution</w:t>
            </w:r>
          </w:p>
        </w:tc>
      </w:tr>
      <w:tr>
        <w:tc>
          <w:tcPr/>
          <w:p>
            <w:pPr>
              <w:jc w:val="left"/>
            </w:pPr>
            <w:r>
              <w:t xml:space="preserve">MID_RANGE</w:t>
            </w:r>
          </w:p>
        </w:tc>
        <w:tc>
          <w:tcPr/>
          <w:p>
            <w:pPr>
              <w:jc w:val="left"/>
            </w:pPr>
            <w:r>
              <w:t xml:space="preserve">Average of maximum and minimum values</w:t>
            </w:r>
          </w:p>
        </w:tc>
      </w:tr>
      <w:tr>
        <w:tc>
          <w:tcPr/>
          <w:p>
            <w:pPr>
              <w:jc w:val="left"/>
            </w:pPr>
            <w:r>
              <w:t xml:space="preserve">RANGE</w:t>
            </w:r>
          </w:p>
        </w:tc>
        <w:tc>
          <w:tcPr/>
          <w:p>
            <w:pPr>
              <w:jc w:val="left"/>
            </w:pPr>
            <w:r>
              <w:t xml:space="preserve">Absolute difference between maximum and minimum values</w:t>
            </w:r>
          </w:p>
        </w:tc>
      </w:tr>
      <w:tr>
        <w:tc>
          <w:tcPr/>
          <w:p>
            <w:pPr>
              <w:jc w:val="left"/>
            </w:pPr>
            <w:r>
              <w:t xml:space="preserve">ROOT_MEAN_SQUARE</w:t>
            </w:r>
          </w:p>
        </w:tc>
        <w:tc>
          <w:tcPr/>
          <w:p>
            <w:pPr>
              <w:jc w:val="left"/>
            </w:pPr>
            <w:r>
              <w:t xml:space="preserve">Root mean square (RMS) value</w:t>
            </w:r>
          </w:p>
        </w:tc>
      </w:tr>
      <w:tr>
        <w:tc>
          <w:tcPr/>
          <w:p>
            <w:pPr>
              <w:jc w:val="left"/>
            </w:pPr>
            <w:r>
              <w:t xml:space="preserve">SUM_OF_SQUARES</w:t>
            </w:r>
          </w:p>
        </w:tc>
        <w:tc>
          <w:tcPr/>
          <w:p>
            <w:pPr>
              <w:jc w:val="left"/>
            </w:pPr>
            <w:r>
              <w:t xml:space="preserve">Sum of squared values</w:t>
            </w:r>
          </w:p>
        </w:tc>
      </w:tr>
    </w:tbl>
    <w:p>
      <w:pPr>
        <w:pStyle w:val="BodyText"/>
      </w:pPr>
      <w:r>
        <w:t xml:space="preserve">When</w:t>
      </w:r>
      <w:r>
        <w:t xml:space="preserve"> </w:t>
      </w:r>
      <w:r>
        <w:rPr>
          <w:rStyle w:val="VerbatimChar"/>
        </w:rPr>
        <w:t xml:space="preserve">cellMethod</w:t>
      </w:r>
      <w:r>
        <w:t xml:space="preserve"> </w:t>
      </w:r>
      <w:r>
        <w:t xml:space="preserve">is set to</w:t>
      </w:r>
      <w:r>
        <w:t xml:space="preserve"> </w:t>
      </w:r>
      <w:r>
        <w:rPr>
          <w:rStyle w:val="VerbatimChar"/>
        </w:rPr>
        <w:t xml:space="preserve">POINT</w:t>
      </w:r>
      <w:r>
        <w:t xml:space="preserve">, the measurement represents an instantaneous value and</w:t>
      </w:r>
      <w:r>
        <w:t xml:space="preserve"> </w:t>
      </w:r>
      <w:r>
        <w:rPr>
          <w:rStyle w:val="VerbatimChar"/>
        </w:rPr>
        <w:t xml:space="preserve">cellPeriodSeconds</w:t>
      </w:r>
      <w:r>
        <w:t xml:space="preserve"> </w:t>
      </w:r>
      <w:r>
        <w:t xml:space="preserve">shall be 0. For all other cell methods,</w:t>
      </w:r>
      <w:r>
        <w:t xml:space="preserve"> </w:t>
      </w:r>
      <w:r>
        <w:rPr>
          <w:rStyle w:val="VerbatimChar"/>
        </w:rPr>
        <w:t xml:space="preserve">cellPeriodSeconds</w:t>
      </w:r>
      <w:r>
        <w:t xml:space="preserve"> </w:t>
      </w:r>
      <w:r>
        <w:t xml:space="preserve">shall specify the duration over which the aggregation is performed.</w:t>
      </w:r>
    </w:p>
    <w:bookmarkEnd w:id="71"/>
    <w:bookmarkStart w:id="72" w:name="Xb7de51b3da708336552a4e1b020231bf3fa1856"/>
    <w:p>
      <w:pPr>
        <w:pStyle w:val="Heading3"/>
      </w:pPr>
      <w:r>
        <w:t xml:space="preserve">Cell period</w:t>
      </w:r>
    </w:p>
    <w:p>
      <w:pPr>
        <w:pStyle w:val="FirstParagraph"/>
      </w:pPr>
      <w:r>
        <w:t xml:space="preserve">The</w:t>
      </w:r>
      <w:r>
        <w:t xml:space="preserve"> </w:t>
      </w:r>
      <w:r>
        <w:rPr>
          <w:rStyle w:val="VerbatimChar"/>
        </w:rPr>
        <w:t xml:space="preserve">cellPeriodSeconds</w:t>
      </w:r>
      <w:r>
        <w:t xml:space="preserve"> </w:t>
      </w:r>
      <w:r>
        <w:t xml:space="preserve">field specifies the time period in seconds over which the cell method is applied.</w:t>
      </w:r>
    </w:p>
    <w:p>
      <w:pPr>
        <w:numPr>
          <w:ilvl w:val="0"/>
          <w:numId w:val="1008"/>
        </w:numPr>
      </w:pPr>
      <w:r>
        <w:t xml:space="preserve">When</w:t>
      </w:r>
      <w:r>
        <w:t xml:space="preserve"> </w:t>
      </w:r>
      <w:r>
        <w:rPr>
          <w:rStyle w:val="VerbatimChar"/>
        </w:rPr>
        <w:t xml:space="preserve">cellMethod</w:t>
      </w:r>
      <w:r>
        <w:t xml:space="preserve"> </w:t>
      </w:r>
      <w:r>
        <w:t xml:space="preserve">is</w:t>
      </w:r>
      <w:r>
        <w:t xml:space="preserve"> </w:t>
      </w:r>
      <w:r>
        <w:rPr>
          <w:rStyle w:val="VerbatimChar"/>
        </w:rPr>
        <w:t xml:space="preserve">POINT</w:t>
      </w:r>
      <w:r>
        <w:t xml:space="preserve">, the value shall be 0, indicating an instantaneous measurement.</w:t>
      </w:r>
    </w:p>
    <w:p>
      <w:pPr>
        <w:numPr>
          <w:ilvl w:val="0"/>
          <w:numId w:val="1008"/>
        </w:numPr>
      </w:pPr>
      <w:r>
        <w:t xml:space="preserve">For all other cell methods, the value shall be greater than 0, indicating the duration of the aggregation period.</w:t>
      </w:r>
    </w:p>
    <w:p>
      <w:pPr>
        <w:pStyle w:val="FirstParagraph"/>
      </w:pPr>
      <w:r>
        <w:t xml:space="preserve">For example:</w:t>
      </w:r>
      <w:r>
        <w:t xml:space="preserve"> </w:t>
      </w:r>
      <w:r>
        <w:t xml:space="preserve">* A 30-second mean temperature would have</w:t>
      </w:r>
      <w:r>
        <w:t xml:space="preserve"> </w:t>
      </w:r>
      <w:r>
        <w:rPr>
          <w:rStyle w:val="VerbatimChar"/>
        </w:rPr>
        <w:t xml:space="preserve">cellMethod</w:t>
      </w:r>
      <w:r>
        <w:t xml:space="preserve"> </w:t>
      </w:r>
      <w:r>
        <w:t xml:space="preserve">=</w:t>
      </w:r>
      <w:r>
        <w:t xml:space="preserve"> </w:t>
      </w:r>
      <w:r>
        <w:rPr>
          <w:rStyle w:val="VerbatimChar"/>
        </w:rPr>
        <w:t xml:space="preserve">MEAN</w:t>
      </w:r>
      <w:r>
        <w:t xml:space="preserve"> </w:t>
      </w:r>
      <w:r>
        <w:t xml:space="preserve">and</w:t>
      </w:r>
      <w:r>
        <w:t xml:space="preserve"> </w:t>
      </w:r>
      <w:r>
        <w:rPr>
          <w:rStyle w:val="VerbatimChar"/>
        </w:rPr>
        <w:t xml:space="preserve">cellPeriodSeconds</w:t>
      </w:r>
      <w:r>
        <w:t xml:space="preserve"> </w:t>
      </w:r>
      <w:r>
        <w:t xml:space="preserve">= 30</w:t>
      </w:r>
      <w:r>
        <w:t xml:space="preserve"> </w:t>
      </w:r>
      <w:r>
        <w:t xml:space="preserve">* An instantaneous wind direction would have</w:t>
      </w:r>
      <w:r>
        <w:t xml:space="preserve"> </w:t>
      </w:r>
      <w:r>
        <w:rPr>
          <w:rStyle w:val="VerbatimChar"/>
        </w:rPr>
        <w:t xml:space="preserve">cellMethod</w:t>
      </w:r>
      <w:r>
        <w:t xml:space="preserve"> </w:t>
      </w:r>
      <w:r>
        <w:t xml:space="preserve">=</w:t>
      </w:r>
      <w:r>
        <w:t xml:space="preserve"> </w:t>
      </w:r>
      <w:r>
        <w:rPr>
          <w:rStyle w:val="VerbatimChar"/>
        </w:rPr>
        <w:t xml:space="preserve">POINT</w:t>
      </w:r>
      <w:r>
        <w:t xml:space="preserve"> </w:t>
      </w:r>
      <w:r>
        <w:t xml:space="preserve">and</w:t>
      </w:r>
      <w:r>
        <w:t xml:space="preserve"> </w:t>
      </w:r>
      <w:r>
        <w:rPr>
          <w:rStyle w:val="VerbatimChar"/>
        </w:rPr>
        <w:t xml:space="preserve">cellPeriodSeconds</w:t>
      </w:r>
      <w:r>
        <w:t xml:space="preserve"> </w:t>
      </w:r>
      <w:r>
        <w:t xml:space="preserve">= 0</w:t>
      </w:r>
      <w:r>
        <w:t xml:space="preserve"> </w:t>
      </w:r>
      <w:r>
        <w:t xml:space="preserve">* A 5-minute maximum wind gust would have</w:t>
      </w:r>
      <w:r>
        <w:t xml:space="preserve"> </w:t>
      </w:r>
      <w:r>
        <w:rPr>
          <w:rStyle w:val="VerbatimChar"/>
        </w:rPr>
        <w:t xml:space="preserve">cellMethod</w:t>
      </w:r>
      <w:r>
        <w:t xml:space="preserve"> </w:t>
      </w:r>
      <w:r>
        <w:t xml:space="preserve">=</w:t>
      </w:r>
      <w:r>
        <w:t xml:space="preserve"> </w:t>
      </w:r>
      <w:r>
        <w:rPr>
          <w:rStyle w:val="VerbatimChar"/>
        </w:rPr>
        <w:t xml:space="preserve">MAXIMUM</w:t>
      </w:r>
      <w:r>
        <w:t xml:space="preserve"> </w:t>
      </w:r>
      <w:r>
        <w:t xml:space="preserve">and</w:t>
      </w:r>
      <w:r>
        <w:t xml:space="preserve"> </w:t>
      </w:r>
      <w:r>
        <w:rPr>
          <w:rStyle w:val="VerbatimChar"/>
        </w:rPr>
        <w:t xml:space="preserve">cellPeriodSeconds</w:t>
      </w:r>
      <w:r>
        <w:t xml:space="preserve"> </w:t>
      </w:r>
      <w:r>
        <w:t xml:space="preserve">= 300</w:t>
      </w:r>
    </w:p>
    <w:bookmarkEnd w:id="72"/>
    <w:bookmarkStart w:id="73" w:name="X7201f3c19528d29b377a44b93e144237b09ec5f"/>
    <w:p>
      <w:pPr>
        <w:pStyle w:val="Heading3"/>
      </w:pPr>
      <w:r>
        <w:t xml:space="preserve">Device reference</w:t>
      </w:r>
    </w:p>
    <w:p>
      <w:pPr>
        <w:pStyle w:val="FirstParagraph"/>
      </w:pPr>
      <w:r>
        <w:t xml:space="preserve">The</w:t>
      </w:r>
      <w:r>
        <w:t xml:space="preserve"> </w:t>
      </w:r>
      <w:r>
        <w:rPr>
          <w:rStyle w:val="VerbatimChar"/>
        </w:rPr>
        <w:t xml:space="preserve">DeviceRef</w:t>
      </w:r>
      <w:r>
        <w:t xml:space="preserve"> </w:t>
      </w:r>
      <w:r>
        <w:t xml:space="preserve">message associates a parameter with the device that measures it. This message uses a</w:t>
      </w:r>
      <w:r>
        <w:t xml:space="preserve"> </w:t>
      </w:r>
      <w:r>
        <w:rPr>
          <w:rStyle w:val="VerbatimChar"/>
        </w:rPr>
        <w:t xml:space="preserve">oneof</w:t>
      </w:r>
      <w:r>
        <w:t xml:space="preserve"> </w:t>
      </w:r>
      <w:r>
        <w:t xml:space="preserve">field to reference either the node device or a specific observer device.</w:t>
      </w:r>
    </w:p>
    <w:p>
      <w:pPr>
        <w:pStyle w:val="BodyText"/>
      </w:pPr>
      <w:r>
        <w:t xml:space="preserve">The</w:t>
      </w:r>
      <w:r>
        <w:t xml:space="preserve"> </w:t>
      </w:r>
      <w:r>
        <w:rPr>
          <w:rStyle w:val="VerbatimChar"/>
        </w:rPr>
        <w:t xml:space="preserve">DeviceRef</w:t>
      </w:r>
      <w:r>
        <w:t xml:space="preserve"> </w:t>
      </w:r>
      <w:r>
        <w:t xml:space="preserve">message contains exactly one of the following fields:</w:t>
      </w:r>
    </w:p>
    <w:tbl>
      <w:tblPr>
        <w:tblStyle w:val="Table"/>
        <w:tblW w:type="pct" w:w="5000"/>
        <w:tblLook w:firstRow="1" w:lastRow="0" w:firstColumn="0" w:lastColumn="0" w:noHBand="0" w:noVBand="0" w:val="0020"/>
        <w:jc w:val="start"/>
      </w:tblPr>
      <w:tblGrid>
        <w:gridCol w:w="1759"/>
        <w:gridCol w:w="1759"/>
        <w:gridCol w:w="440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jc w:val="left"/>
            </w:pPr>
            <w:r>
              <w:t xml:space="preserve">node</w:t>
            </w:r>
          </w:p>
        </w:tc>
        <w:tc>
          <w:tcPr/>
          <w:p>
            <w:pPr>
              <w:jc w:val="left"/>
            </w:pPr>
            <w:r>
              <w:t xml:space="preserve">google.protobuf.Empty</w:t>
            </w:r>
          </w:p>
        </w:tc>
        <w:tc>
          <w:tcPr/>
          <w:p>
            <w:pPr>
              <w:jc w:val="left"/>
            </w:pPr>
            <w:r>
              <w:t xml:space="preserve">References the node device; the presence of this field (even though empty) indicates the parameter is measured by the node</w:t>
            </w:r>
          </w:p>
        </w:tc>
      </w:tr>
      <w:tr>
        <w:tc>
          <w:tcPr/>
          <w:p>
            <w:pPr>
              <w:jc w:val="left"/>
            </w:pPr>
            <w:r>
              <w:t xml:space="preserve">observerId</w:t>
            </w:r>
          </w:p>
        </w:tc>
        <w:tc>
          <w:tcPr/>
          <w:p>
            <w:pPr>
              <w:jc w:val="left"/>
            </w:pPr>
            <w:r>
              <w:t xml:space="preserve">uint32</w:t>
            </w:r>
          </w:p>
        </w:tc>
        <w:tc>
          <w:tcPr/>
          <w:p>
            <w:pPr>
              <w:jc w:val="left"/>
            </w:pPr>
            <w:r>
              <w:t xml:space="preserve">References an observer device by its</w:t>
            </w:r>
            <w:r>
              <w:t xml:space="preserve"> </w:t>
            </w:r>
            <w:r>
              <w:rPr>
                <w:rStyle w:val="VerbatimChar"/>
              </w:rPr>
              <w:t xml:space="preserve">ObserverDevice.id</w:t>
            </w:r>
            <w:r>
              <w:t xml:space="preserve"> </w:t>
            </w:r>
            <w:r>
              <w:t xml:space="preserve">value</w:t>
            </w:r>
          </w:p>
        </w:tc>
      </w:tr>
    </w:tbl>
    <w:p>
      <w:pPr>
        <w:pStyle w:val="BodyText"/>
      </w:pPr>
      <w:r>
        <w:t xml:space="preserve">The</w:t>
      </w:r>
      <w:r>
        <w:t xml:space="preserve"> </w:t>
      </w:r>
      <w:r>
        <w:rPr>
          <w:rStyle w:val="VerbatimChar"/>
        </w:rPr>
        <w:t xml:space="preserve">oneof</w:t>
      </w:r>
      <w:r>
        <w:t xml:space="preserve"> </w:t>
      </w:r>
      <w:r>
        <w:t xml:space="preserve">constraint ensures that exactly one of these fields is set, unambiguously identifying which device performs the measurement.</w:t>
      </w:r>
    </w:p>
    <w:p>
      <w:pPr>
        <w:pStyle w:val="BodyText"/>
      </w:pPr>
      <w:r>
        <w:t xml:space="preserve">When the</w:t>
      </w:r>
      <w:r>
        <w:t xml:space="preserve"> </w:t>
      </w:r>
      <w:r>
        <w:rPr>
          <w:rStyle w:val="VerbatimChar"/>
        </w:rPr>
        <w:t xml:space="preserve">node</w:t>
      </w:r>
      <w:r>
        <w:t xml:space="preserve"> </w:t>
      </w:r>
      <w:r>
        <w:t xml:space="preserve">field is present, the parameter is measured by the Node Device itself (such as internal voltage or temperature of a datalogger). When the</w:t>
      </w:r>
      <w:r>
        <w:t xml:space="preserve"> </w:t>
      </w:r>
      <w:r>
        <w:rPr>
          <w:rStyle w:val="VerbatimChar"/>
        </w:rPr>
        <w:t xml:space="preserve">observerId</w:t>
      </w:r>
      <w:r>
        <w:t xml:space="preserve"> </w:t>
      </w:r>
      <w:r>
        <w:t xml:space="preserve">field is set, it shall match the</w:t>
      </w:r>
      <w:r>
        <w:t xml:space="preserve"> </w:t>
      </w:r>
      <w:r>
        <w:rPr>
          <w:rStyle w:val="VerbatimChar"/>
        </w:rPr>
        <w:t xml:space="preserve">id</w:t>
      </w:r>
      <w:r>
        <w:t xml:space="preserve"> </w:t>
      </w:r>
      <w:r>
        <w:t xml:space="preserve">of an</w:t>
      </w:r>
      <w:r>
        <w:t xml:space="preserve"> </w:t>
      </w:r>
      <w:r>
        <w:rPr>
          <w:rStyle w:val="VerbatimChar"/>
        </w:rPr>
        <w:t xml:space="preserve">ObserverDevice</w:t>
      </w:r>
      <w:r>
        <w:t xml:space="preserve"> </w:t>
      </w:r>
      <w:r>
        <w:t xml:space="preserve">defined in the</w:t>
      </w:r>
      <w:r>
        <w:t xml:space="preserve"> </w:t>
      </w:r>
      <w:r>
        <w:rPr>
          <w:rStyle w:val="VerbatimChar"/>
        </w:rPr>
        <w:t xml:space="preserve">Metadata</w:t>
      </w:r>
      <w:r>
        <w:t xml:space="preserve"> </w:t>
      </w:r>
      <w:r>
        <w:t xml:space="preserve">message.</w:t>
      </w:r>
    </w:p>
    <w:bookmarkEnd w:id="73"/>
    <w:bookmarkEnd w:id="74"/>
    <w:bookmarkEnd w:id="75"/>
    <w:bookmarkStart w:id="79" w:name="Xdd7eb3629e434f7b7e0591ed0ba3c4fbe841976"/>
    <w:p>
      <w:pPr>
        <w:pStyle w:val="Heading1"/>
      </w:pPr>
      <w:r>
        <w:t xml:space="preserve">Standard name binding</w:t>
      </w:r>
    </w:p>
    <w:bookmarkStart w:id="76" w:name="X57ee570b2ca57c2f3cc7ed08a75d7506e62098e"/>
    <w:p>
      <w:pPr>
        <w:pStyle w:val="Heading2"/>
      </w:pPr>
      <w:r>
        <w:t xml:space="preserve">Namespace declaration</w:t>
      </w:r>
    </w:p>
    <w:bookmarkEnd w:id="76"/>
    <w:bookmarkStart w:id="77" w:name="Xd1c302b8a82dd955e6c97d940af707ea0542cd4"/>
    <w:p>
      <w:pPr>
        <w:pStyle w:val="Heading2"/>
      </w:pPr>
      <w:r>
        <w:t xml:space="preserve">Standard name assignment</w:t>
      </w:r>
    </w:p>
    <w:bookmarkEnd w:id="77"/>
    <w:bookmarkStart w:id="78" w:name="Xa9be577073435e3c70102b49402444bbf1b9dbe"/>
    <w:p>
      <w:pPr>
        <w:pStyle w:val="Heading2"/>
      </w:pPr>
      <w:r>
        <w:t xml:space="preserve">Recommended: CF Conventions binding</w:t>
      </w:r>
    </w:p>
    <w:bookmarkEnd w:id="78"/>
    <w:bookmarkEnd w:id="79"/>
    <w:bookmarkStart w:id="88" w:name="Xada6c7dac768733be52cb0d6a068e1fee1abfc7"/>
    <w:p>
      <w:pPr>
        <w:pStyle w:val="Heading1"/>
      </w:pPr>
      <w:r>
        <w:t xml:space="preserve">Protocol binding</w:t>
      </w:r>
    </w:p>
    <w:bookmarkStart w:id="80" w:name="X322101054fd636c32d6869f7cfec83424c5280c"/>
    <w:p>
      <w:pPr>
        <w:pStyle w:val="Heading2"/>
      </w:pPr>
      <w:r>
        <w:t xml:space="preserve">Overview</w:t>
      </w:r>
    </w:p>
    <w:bookmarkEnd w:id="80"/>
    <w:bookmarkStart w:id="81" w:name="Xbc70952558536d95467b743ffb3c32263f27a0c"/>
    <w:p>
      <w:pPr>
        <w:pStyle w:val="Heading2"/>
      </w:pPr>
      <w:r>
        <w:t xml:space="preserve">MQTT version requirements</w:t>
      </w:r>
    </w:p>
    <w:bookmarkEnd w:id="81"/>
    <w:bookmarkStart w:id="84" w:name="Xf67ac0e21d813604a0ad8d5ee7433b863ecda37"/>
    <w:p>
      <w:pPr>
        <w:pStyle w:val="Heading2"/>
      </w:pPr>
      <w:r>
        <w:t xml:space="preserve">Topic structure</w:t>
      </w:r>
    </w:p>
    <w:bookmarkStart w:id="82" w:name="X1ebaac39602a0920fd1eeef5bf8f59f06e2cdc1"/>
    <w:p>
      <w:pPr>
        <w:pStyle w:val="Heading3"/>
      </w:pPr>
      <w:r>
        <w:t xml:space="preserve">Topic pattern</w:t>
      </w:r>
    </w:p>
    <w:bookmarkEnd w:id="82"/>
    <w:bookmarkStart w:id="83" w:name="X7faf01397d8ce93a55fbc2f8b1b1595228b5dc5"/>
    <w:p>
      <w:pPr>
        <w:pStyle w:val="Heading3"/>
      </w:pPr>
      <w:r>
        <w:t xml:space="preserve">Level definitions and allowed values</w:t>
      </w:r>
    </w:p>
    <w:bookmarkEnd w:id="83"/>
    <w:bookmarkEnd w:id="84"/>
    <w:bookmarkStart w:id="87" w:name="Xf197fc8fce37bef5c2310702576b8c8da542d6f"/>
    <w:p>
      <w:pPr>
        <w:pStyle w:val="Heading2"/>
      </w:pPr>
      <w:r>
        <w:t xml:space="preserve">Quality of service</w:t>
      </w:r>
    </w:p>
    <w:bookmarkStart w:id="85" w:name="X90c2196e95cddca2e2775025e961f1650e41363"/>
    <w:p>
      <w:pPr>
        <w:pStyle w:val="Heading3"/>
      </w:pPr>
      <w:r>
        <w:t xml:space="preserve">Metadata messages</w:t>
      </w:r>
    </w:p>
    <w:bookmarkEnd w:id="85"/>
    <w:bookmarkStart w:id="86" w:name="Xd6c757e32fed425b3a7adf6ea311ffaa6b43755"/>
    <w:p>
      <w:pPr>
        <w:pStyle w:val="Heading3"/>
      </w:pPr>
      <w:r>
        <w:t xml:space="preserve">Data messages</w:t>
      </w:r>
    </w:p>
    <w:bookmarkEnd w:id="86"/>
    <w:bookmarkEnd w:id="87"/>
    <w:bookmarkEnd w:id="88"/>
    <w:bookmarkStart w:id="94" w:name="X3d9fbe32488adb44e92c19e07af663f6426d741"/>
    <w:p>
      <w:pPr>
        <w:pStyle w:val="Heading1"/>
      </w:pPr>
      <w:r>
        <w:t xml:space="preserve">Data sender</w:t>
      </w:r>
    </w:p>
    <w:bookmarkStart w:id="93" w:name="Xfe9d8bc29604d61eb0b0c2aa97197afd523e1ad"/>
    <w:p>
      <w:pPr>
        <w:pStyle w:val="Heading2"/>
      </w:pPr>
      <w:r>
        <w:t xml:space="preserve">Metadata publication</w:t>
      </w:r>
    </w:p>
    <w:p>
      <w:pPr>
        <w:pStyle w:val="FirstParagraph"/>
      </w:pPr>
      <w:r>
        <w:t xml:space="preserve">A key feature of the First Mile Format, is the structured inclusion of metadata. This enables</w:t>
      </w:r>
    </w:p>
    <w:tbl>
      <w:tblPr>
        <w:tblStyle w:val="Table"/>
        <w:tblW w:type="pct" w:w="5000"/>
        <w:tblLook w:firstRow="0" w:lastRow="0" w:firstColumn="0" w:lastColumn="0" w:noHBand="0" w:noVBand="0" w:val="0000"/>
        <w:jc w:val="start"/>
      </w:tblPr>
      <w:tblGrid>
        <w:gridCol w:w="2639"/>
        <w:gridCol w:w="2639"/>
        <w:gridCol w:w="2640"/>
      </w:tblGrid>
      <w:tr>
        <w:tc>
          <w:tcPr/>
          <w:p>
            <w:pPr>
              <w:jc w:val="left"/>
            </w:pPr>
            <w:r>
              <w:t xml:space="preserve">Benefit</w:t>
            </w:r>
          </w:p>
        </w:tc>
        <w:tc>
          <w:tcPr/>
          <w:p>
            <w:pPr>
              <w:jc w:val="left"/>
            </w:pPr>
            <w:r>
              <w:t xml:space="preserve">Definition</w:t>
            </w:r>
          </w:p>
        </w:tc>
        <w:tc>
          <w:tcPr/>
          <w:p>
            <w:pPr>
              <w:jc w:val="left"/>
            </w:pPr>
            <w:r>
              <w:t xml:space="preserve">Required in implementation</w:t>
            </w:r>
          </w:p>
        </w:tc>
      </w:tr>
      <w:tr>
        <w:tc>
          <w:tcPr/>
          <w:p>
            <w:pPr>
              <w:jc w:val="left"/>
            </w:pPr>
            <w:r>
              <w:t xml:space="preserve">Machine Translation</w:t>
            </w:r>
          </w:p>
        </w:tc>
        <w:tc>
          <w:tcPr/>
          <w:p>
            <w:pPr>
              <w:jc w:val="left"/>
            </w:pPr>
            <w:r>
              <w:t xml:space="preserve">Received data can be correctly assigned to observations in database without human interpretation/intervention</w:t>
            </w:r>
          </w:p>
        </w:tc>
        <w:tc>
          <w:tcPr/>
          <w:p>
            <w:pPr>
              <w:jc w:val="left"/>
            </w:pPr>
            <w:r>
              <w:t xml:space="preserve">Standard Names</w:t>
            </w:r>
          </w:p>
        </w:tc>
      </w:tr>
      <w:tr>
        <w:tc>
          <w:tcPr/>
          <w:p>
            <w:pPr>
              <w:jc w:val="left"/>
            </w:pPr>
            <w:r>
              <w:t xml:space="preserve">Stranger Interpretation</w:t>
            </w:r>
          </w:p>
        </w:tc>
        <w:tc>
          <w:tcPr/>
          <w:p>
            <w:pPr>
              <w:jc w:val="left"/>
            </w:pPr>
            <w:r>
              <w:t xml:space="preserve">Siting (particularly location and height of observations) and equipment can be deduced from data, enabling assessment of observation quality without access to other information</w:t>
            </w:r>
          </w:p>
        </w:tc>
        <w:tc>
          <w:tcPr/>
          <w:p>
            <w:pPr>
              <w:jc w:val="left"/>
            </w:pPr>
            <w:r>
              <w:t xml:space="preserve">Location, URL (for additional information)</w:t>
            </w:r>
          </w:p>
        </w:tc>
      </w:tr>
      <w:tr>
        <w:tc>
          <w:tcPr/>
          <w:p>
            <w:pPr>
              <w:jc w:val="left"/>
            </w:pPr>
            <w:r>
              <w:t xml:space="preserve">Efficient Communication</w:t>
            </w:r>
          </w:p>
        </w:tc>
        <w:tc>
          <w:tcPr/>
          <w:p>
            <w:pPr>
              <w:jc w:val="left"/>
            </w:pPr>
            <w:r>
              <w:t xml:space="preserve">Metadata is not included in every message (reducing bandwidth requirements), only to ensure efficient processing by the Receiver</w:t>
            </w:r>
          </w:p>
        </w:tc>
        <w:tc>
          <w:tcPr/>
          <w:p>
            <w:pPr>
              <w:jc w:val="left"/>
            </w:pPr>
            <w:r>
              <w:t xml:space="preserve">Transmission Triggers</w:t>
            </w:r>
          </w:p>
        </w:tc>
      </w:tr>
    </w:tbl>
    <w:bookmarkStart w:id="89" w:name="Xa1cc973d00deb16b989bfc71644be982f61edeb"/>
    <w:p>
      <w:pPr>
        <w:pStyle w:val="Heading3"/>
      </w:pPr>
      <w:r>
        <w:t xml:space="preserve">Mandatory fields</w:t>
      </w:r>
    </w:p>
    <w:p>
      <w:pPr>
        <w:pStyle w:val="FirstParagraph"/>
      </w:pPr>
      <w:r>
        <w:t xml:space="preserve">To enable evolution of the First Mile Standard, while maximising backward compatability, the Protobuf</w:t>
      </w:r>
      <w:r>
        <w:t xml:space="preserve"> </w:t>
      </w:r>
      <w:r>
        <w:rPr>
          <w:bCs/>
          <w:b/>
        </w:rPr>
        <w:t xml:space="preserve">REQUIRED</w:t>
      </w:r>
      <w:r>
        <w:t xml:space="preserve"> </w:t>
      </w:r>
      <w:r>
        <w:t xml:space="preserve">keyword is not used. However, omission of key values can render the other included information unusable as it is ambiguous as to how it is related to the other content.</w:t>
      </w:r>
    </w:p>
    <w:tbl>
      <w:tblPr>
        <w:tblStyle w:val="Table"/>
        <w:tblW w:type="pct" w:w="5000"/>
        <w:tblLook w:firstRow="0" w:lastRow="0" w:firstColumn="0" w:lastColumn="0" w:noHBand="0" w:noVBand="0" w:val="0000"/>
        <w:jc w:val="start"/>
      </w:tblPr>
      <w:tblGrid>
        <w:gridCol w:w="2639"/>
        <w:gridCol w:w="2639"/>
        <w:gridCol w:w="2640"/>
      </w:tblGrid>
      <w:tr>
        <w:tc>
          <w:tcPr/>
          <w:p>
            <w:pPr>
              <w:jc w:val="left"/>
            </w:pPr>
            <w:r>
              <w:t xml:space="preserve">Message</w:t>
            </w:r>
          </w:p>
        </w:tc>
        <w:tc>
          <w:tcPr/>
          <w:p>
            <w:pPr>
              <w:jc w:val="left"/>
            </w:pPr>
            <w:r>
              <w:t xml:space="preserve">Field</w:t>
            </w:r>
          </w:p>
        </w:tc>
        <w:tc>
          <w:tcPr/>
          <w:p>
            <w:pPr>
              <w:jc w:val="left"/>
            </w:pPr>
            <w:r>
              <w:t xml:space="preserve">Justification</w:t>
            </w:r>
          </w:p>
        </w:tc>
      </w:tr>
      <w:tr>
        <w:tc>
          <w:tcPr/>
          <w:p>
            <w:pPr>
              <w:jc w:val="left"/>
            </w:pPr>
            <w:r>
              <w:t xml:space="preserve">Node</w:t>
            </w:r>
          </w:p>
        </w:tc>
        <w:tc>
          <w:tcPr/>
          <w:p>
            <w:pPr>
              <w:jc w:val="left"/>
            </w:pPr>
            <w:r>
              <w:t xml:space="preserve">name</w:t>
            </w:r>
          </w:p>
        </w:tc>
        <w:tc>
          <w:tcPr/>
          <w:p>
            <w:pPr>
              <w:jc w:val="left"/>
            </w:pPr>
            <w:r>
              <w:t xml:space="preserve">Enables the identification of the end node</w:t>
            </w:r>
          </w:p>
        </w:tc>
      </w:tr>
      <w:tr>
        <w:tc>
          <w:tcPr/>
          <w:p>
            <w:pPr>
              <w:jc w:val="left"/>
            </w:pPr>
            <w:r>
              <w:t xml:space="preserve">ObserverDevice</w:t>
            </w:r>
          </w:p>
        </w:tc>
        <w:tc>
          <w:tcPr/>
          <w:p>
            <w:pPr>
              <w:jc w:val="left"/>
            </w:pPr>
            <w:r>
              <w:t xml:space="preserve">id</w:t>
            </w:r>
          </w:p>
        </w:tc>
        <w:tc>
          <w:tcPr/>
          <w:p>
            <w:pPr>
              <w:jc w:val="left"/>
            </w:pPr>
            <w:r>
              <w:t xml:space="preserve">Enables parameters (observation data) to be matched to the sensing/observing/measuring device</w:t>
            </w:r>
          </w:p>
        </w:tc>
      </w:tr>
      <w:tr>
        <w:tc>
          <w:tcPr/>
          <w:p>
            <w:pPr>
              <w:jc w:val="left"/>
            </w:pPr>
            <w:r>
              <w:t xml:space="preserve">ParameterDefinition</w:t>
            </w:r>
          </w:p>
        </w:tc>
        <w:tc>
          <w:tcPr/>
          <w:p>
            <w:pPr>
              <w:jc w:val="left"/>
            </w:pPr>
            <w:r>
              <w:t xml:space="preserve">id</w:t>
            </w:r>
          </w:p>
        </w:tc>
        <w:tc>
          <w:tcPr/>
          <w:p>
            <w:pPr>
              <w:jc w:val="left"/>
            </w:pPr>
            <w:r>
              <w:t xml:space="preserve">Enables content from Data messages to be interpreted</w:t>
            </w:r>
          </w:p>
        </w:tc>
      </w:tr>
      <w:tr>
        <w:tc>
          <w:tcPr/>
          <w:p>
            <w:pPr>
              <w:jc w:val="left"/>
            </w:pPr>
            <w:r>
              <w:t xml:space="preserve">Parameter</w:t>
            </w:r>
          </w:p>
        </w:tc>
        <w:tc>
          <w:tcPr/>
          <w:p>
            <w:pPr>
              <w:jc w:val="left"/>
            </w:pPr>
            <w:r>
              <w:t xml:space="preserve">unit</w:t>
            </w:r>
          </w:p>
        </w:tc>
        <w:tc>
          <w:tcPr/>
          <w:p>
            <w:pPr>
              <w:jc w:val="left"/>
            </w:pPr>
            <w:r>
              <w:t xml:space="preserve">Critical to hub interpretation of received data</w:t>
            </w:r>
          </w:p>
        </w:tc>
      </w:tr>
      <w:tr>
        <w:tc>
          <w:tcPr/>
          <w:p>
            <w:pPr>
              <w:jc w:val="left"/>
            </w:pPr>
            <w:r>
              <w:t xml:space="preserve">Parameter</w:t>
            </w:r>
          </w:p>
        </w:tc>
        <w:tc>
          <w:tcPr/>
          <w:p>
            <w:pPr>
              <w:jc w:val="left"/>
            </w:pPr>
            <w:r>
              <w:t xml:space="preserve">DeviceRef</w:t>
            </w:r>
          </w:p>
        </w:tc>
        <w:tc>
          <w:tcPr/>
          <w:p>
            <w:pPr>
              <w:jc w:val="left"/>
            </w:pPr>
            <w:r>
              <w:t xml:space="preserve">Enables sensors/observers to be matched to their data</w:t>
            </w:r>
          </w:p>
        </w:tc>
      </w:tr>
    </w:tbl>
    <w:p>
      <w:pPr>
        <w:pStyle w:val="BodyText"/>
      </w:pPr>
      <w:r>
        <w:t xml:space="preserve">If machine to machine translation is expected, then the following following additional fields must be included</w:t>
      </w:r>
    </w:p>
    <w:tbl>
      <w:tblPr>
        <w:tblStyle w:val="Table"/>
        <w:tblW w:type="pct" w:w="5000"/>
        <w:tblLook w:firstRow="0" w:lastRow="0" w:firstColumn="0" w:lastColumn="0" w:noHBand="0" w:noVBand="0" w:val="0000"/>
        <w:jc w:val="start"/>
      </w:tblPr>
      <w:tblGrid>
        <w:gridCol w:w="2639"/>
        <w:gridCol w:w="2639"/>
        <w:gridCol w:w="2640"/>
      </w:tblGrid>
      <w:tr>
        <w:tc>
          <w:tcPr/>
          <w:p>
            <w:pPr>
              <w:jc w:val="left"/>
            </w:pPr>
            <w:r>
              <w:t xml:space="preserve">Message</w:t>
            </w:r>
          </w:p>
        </w:tc>
        <w:tc>
          <w:tcPr/>
          <w:p>
            <w:pPr>
              <w:jc w:val="left"/>
            </w:pPr>
            <w:r>
              <w:t xml:space="preserve">Field</w:t>
            </w:r>
          </w:p>
        </w:tc>
        <w:tc>
          <w:tcPr/>
          <w:p>
            <w:pPr>
              <w:jc w:val="left"/>
            </w:pPr>
            <w:r>
              <w:t xml:space="preserve">Justification</w:t>
            </w:r>
          </w:p>
        </w:tc>
      </w:tr>
      <w:tr>
        <w:tc>
          <w:tcPr/>
          <w:p>
            <w:pPr>
              <w:jc w:val="left"/>
            </w:pPr>
            <w:r>
              <w:t xml:space="preserve">Parameter</w:t>
            </w:r>
          </w:p>
        </w:tc>
        <w:tc>
          <w:tcPr/>
          <w:p>
            <w:pPr>
              <w:jc w:val="left"/>
            </w:pPr>
            <w:r>
              <w:t xml:space="preserve">standardNames</w:t>
            </w:r>
          </w:p>
        </w:tc>
        <w:tc>
          <w:tcPr/>
          <w:p>
            <w:pPr>
              <w:jc w:val="left"/>
            </w:pPr>
            <w:r>
              <w:t xml:space="preserve">Enables machine to machine translation of definition, irrespective of parameter name</w:t>
            </w:r>
          </w:p>
        </w:tc>
      </w:tr>
      <w:tr>
        <w:tc>
          <w:tcPr/>
          <w:p>
            <w:pPr>
              <w:jc w:val="left"/>
            </w:pPr>
            <w:r>
              <w:t xml:space="preserve">Parameter</w:t>
            </w:r>
          </w:p>
        </w:tc>
        <w:tc>
          <w:tcPr/>
          <w:p>
            <w:pPr>
              <w:jc w:val="left"/>
            </w:pPr>
            <w:r>
              <w:t xml:space="preserve">CellMethod</w:t>
            </w:r>
          </w:p>
        </w:tc>
        <w:tc>
          <w:tcPr/>
          <w:p>
            <w:pPr>
              <w:jc w:val="left"/>
            </w:pPr>
            <w:r>
              <w:t xml:space="preserve">If any data processing is done at the edge, this enables for example the mean and standard deviation to be differentiated (as they will have the same standardNames, units)</w:t>
            </w:r>
          </w:p>
        </w:tc>
      </w:tr>
    </w:tbl>
    <w:bookmarkEnd w:id="89"/>
    <w:bookmarkStart w:id="90" w:name="X2d24584098e18fb4e4815069e90e0c66f76d4bf"/>
    <w:p>
      <w:pPr>
        <w:pStyle w:val="Heading3"/>
      </w:pPr>
      <w:r>
        <w:t xml:space="preserve">Transmission triggers</w:t>
      </w:r>
    </w:p>
    <w:p>
      <w:pPr>
        <w:pStyle w:val="FirstParagraph"/>
      </w:pPr>
      <w:r>
        <w:t xml:space="preserve">The hub is unable to process any Data Messages without a current Metadata Message.</w:t>
      </w:r>
    </w:p>
    <w:p>
      <w:pPr>
        <w:pStyle w:val="BodyText"/>
      </w:pPr>
      <w:r>
        <w:t xml:space="preserve">As a minimum, a new/updated Metadata Message must be transmitted whenever the Metadata changes. This is particularly important when:</w:t>
      </w:r>
    </w:p>
    <w:p>
      <w:pPr>
        <w:numPr>
          <w:ilvl w:val="0"/>
          <w:numId w:val="1009"/>
        </w:numPr>
      </w:pPr>
      <w:r>
        <w:t xml:space="preserve">Sensors are added or removed</w:t>
      </w:r>
    </w:p>
    <w:p>
      <w:pPr>
        <w:numPr>
          <w:ilvl w:val="0"/>
          <w:numId w:val="1009"/>
        </w:numPr>
      </w:pPr>
      <w:r>
        <w:t xml:space="preserve">New Observations (or statistics on existing observations, for example max/min values) are provided.</w:t>
      </w:r>
    </w:p>
    <w:p>
      <w:pPr>
        <w:pStyle w:val="FirstParagraph"/>
      </w:pPr>
      <w:r>
        <w:t xml:space="preserve">To balance network transmission costs for Metadata Messages with impost of storing Data messages until the relevant Metadata message is received and the Data Messages can be understood, recommended practice is (re)sending of the Metadata Message:</w:t>
      </w:r>
    </w:p>
    <w:p>
      <w:pPr>
        <w:numPr>
          <w:ilvl w:val="0"/>
          <w:numId w:val="1010"/>
        </w:numPr>
      </w:pPr>
      <w:r>
        <w:t xml:space="preserve">on power-on/restart of hub</w:t>
      </w:r>
    </w:p>
    <w:p>
      <w:pPr>
        <w:numPr>
          <w:ilvl w:val="0"/>
          <w:numId w:val="1010"/>
        </w:numPr>
      </w:pPr>
      <w:r>
        <w:t xml:space="preserve">on a "heartbeat" schedule of at least once per day.</w:t>
      </w:r>
    </w:p>
    <w:bookmarkEnd w:id="90"/>
    <w:bookmarkStart w:id="92" w:name="Xc08c3f97358665ad80e052d359aa8e7d740399f"/>
    <w:p>
      <w:pPr>
        <w:pStyle w:val="Heading3"/>
      </w:pPr>
      <w:r>
        <w:t xml:space="preserve">Retained messages</w:t>
      </w:r>
    </w:p>
    <w:p>
      <w:pPr>
        <w:pStyle w:val="FirstParagraph"/>
      </w:pPr>
      <w:r>
        <w:t xml:space="preserve">The Data Messages cannot be understood without their associated Metadata Message. To meet Archiving requirements</w:t>
      </w:r>
      <w:r>
        <w:t xml:space="preserve"> </w:t>
      </w:r>
      <w:r>
        <w:rPr>
          <w:rStyle w:val="FootnoteReference"/>
        </w:rPr>
        <w:footnoteReference w:id="91"/>
      </w:r>
      <w:r>
        <w:t xml:space="preserve"> </w:t>
      </w:r>
      <w:r>
        <w:t xml:space="preserve">in most jurisdictions the Data Messages, and associated Metadata Messages must both be retained. Typically, this can be a one (Metadata Message) to many (Data Messages) relationship</w:t>
      </w:r>
    </w:p>
    <w:bookmarkEnd w:id="92"/>
    <w:bookmarkEnd w:id="93"/>
    <w:bookmarkEnd w:id="94"/>
    <w:bookmarkStart w:id="98" w:name="X94c42d1026bc9cbf875ef27a8ee5aa2115c489b"/>
    <w:p>
      <w:pPr>
        <w:pStyle w:val="Heading1"/>
      </w:pPr>
      <w:r>
        <w:t xml:space="preserve">Data publication</w:t>
      </w:r>
    </w:p>
    <w:p>
      <w:pPr>
        <w:pStyle w:val="FirstParagraph"/>
      </w:pPr>
      <w:r>
        <w:t xml:space="preserve">The First Mile Format enables efficient communication of Data:</w:t>
      </w:r>
    </w:p>
    <w:p>
      <w:pPr>
        <w:numPr>
          <w:ilvl w:val="0"/>
          <w:numId w:val="1011"/>
        </w:numPr>
      </w:pPr>
      <w:r>
        <w:t xml:space="preserve">the message is a compact/efficient binary format.</w:t>
      </w:r>
    </w:p>
    <w:p>
      <w:pPr>
        <w:numPr>
          <w:ilvl w:val="0"/>
          <w:numId w:val="1011"/>
        </w:numPr>
      </w:pPr>
      <w:r>
        <w:t xml:space="preserve">only the Observation/Data values are transmitted [as the less often transmitted Metadata Message carries the information to understand the values]</w:t>
      </w:r>
    </w:p>
    <w:bookmarkStart w:id="95" w:name="Xf012bb4b62f95090cab5ed31e75e9747030e6d6"/>
    <w:p>
      <w:pPr>
        <w:pStyle w:val="Heading2"/>
      </w:pPr>
      <w:r>
        <w:t xml:space="preserve">Mandatory fields</w:t>
      </w:r>
    </w:p>
    <w:p>
      <w:pPr>
        <w:pStyle w:val="FirstParagraph"/>
      </w:pPr>
      <w:r>
        <w:t xml:space="preserve">Every Data message must contain at least:</w:t>
      </w:r>
    </w:p>
    <w:tbl>
      <w:tblPr>
        <w:tblStyle w:val="Table"/>
        <w:tblW w:type="pct" w:w="5000"/>
        <w:tblLook w:firstRow="0" w:lastRow="0" w:firstColumn="0" w:lastColumn="0" w:noHBand="0" w:noVBand="0" w:val="0000"/>
        <w:jc w:val="start"/>
      </w:tblPr>
      <w:tblGrid>
        <w:gridCol w:w="3960"/>
        <w:gridCol w:w="3960"/>
      </w:tblGrid>
      <w:tr>
        <w:tc>
          <w:tcPr/>
          <w:p>
            <w:pPr>
              <w:jc w:val="left"/>
            </w:pPr>
            <w:r>
              <w:t xml:space="preserve">parameterDefinitionId</w:t>
            </w:r>
          </w:p>
        </w:tc>
        <w:tc>
          <w:tcPr/>
          <w:p>
            <w:pPr>
              <w:jc w:val="left"/>
            </w:pPr>
            <w:r>
              <w:t xml:space="preserve">Enables the Data to be matched to the definition from the Metadata Message</w:t>
            </w:r>
          </w:p>
        </w:tc>
      </w:tr>
      <w:tr>
        <w:tc>
          <w:tcPr/>
          <w:p>
            <w:pPr>
              <w:jc w:val="left"/>
            </w:pPr>
            <w:r>
              <w:t xml:space="preserve">time</w:t>
            </w:r>
          </w:p>
        </w:tc>
        <w:tc>
          <w:tcPr/>
          <w:p>
            <w:pPr>
              <w:pStyle w:val="Compact"/>
            </w:pPr>
          </w:p>
        </w:tc>
      </w:tr>
      <w:tr>
        <w:tc>
          <w:tcPr/>
          <w:p>
            <w:pPr>
              <w:jc w:val="left"/>
            </w:pPr>
            <w:r>
              <w:t xml:space="preserve">(at least one) value</w:t>
            </w:r>
          </w:p>
        </w:tc>
        <w:tc>
          <w:tcPr/>
          <w:p>
            <w:pPr>
              <w:pStyle w:val="Compact"/>
            </w:pPr>
          </w:p>
        </w:tc>
      </w:tr>
    </w:tbl>
    <w:bookmarkEnd w:id="95"/>
    <w:bookmarkStart w:id="96" w:name="X6b08de6163defc77c2126fb4126eda12a7d5c5a"/>
    <w:p>
      <w:pPr>
        <w:pStyle w:val="Heading2"/>
      </w:pPr>
      <w:r>
        <w:t xml:space="preserve">Observation timestamps</w:t>
      </w:r>
    </w:p>
    <w:p>
      <w:pPr>
        <w:pStyle w:val="FirstParagraph"/>
      </w:pPr>
      <w:r>
        <w:t xml:space="preserve">The Data (Observation) Timestamp uses the google.protobuf.Timestamp structure for each observation.</w:t>
      </w:r>
    </w:p>
    <w:p>
      <w:pPr>
        <w:pStyle w:val="SourceCode"/>
      </w:pPr>
      <w:r>
        <w:rPr>
          <w:rStyle w:val="VerbatimChar"/>
        </w:rPr>
        <w:t xml:space="preserve">message Timestamp {</w:t>
      </w:r>
      <w:r>
        <w:br/>
      </w:r>
      <w:r>
        <w:rPr>
          <w:rStyle w:val="VerbatimChar"/>
        </w:rPr>
        <w:t xml:space="preserve">    int64 seconds = 1; // Seconds since UTC (Unix) epoch (1/1/1970)</w:t>
      </w:r>
      <w:r>
        <w:br/>
      </w:r>
      <w:r>
        <w:rPr>
          <w:rStyle w:val="VerbatimChar"/>
        </w:rPr>
        <w:t xml:space="preserve">    int32 nanos = 2; // non-negative nanosecond fractions</w:t>
      </w:r>
      <w:r>
        <w:br/>
      </w:r>
      <w:r>
        <w:rPr>
          <w:rStyle w:val="VerbatimChar"/>
        </w:rPr>
        <w:t xml:space="preserve">}</w:t>
      </w:r>
    </w:p>
    <w:p>
      <w:pPr>
        <w:pStyle w:val="FirstParagraph"/>
      </w:pPr>
      <w:r>
        <w:t xml:space="preserve">The structure enables date/time resolutions to nanoseconds for observations.</w:t>
      </w:r>
    </w:p>
    <w:bookmarkEnd w:id="96"/>
    <w:bookmarkStart w:id="97" w:name="Xdd844d57cc79a12bd29f40a093d0e39ad0685da"/>
    <w:p>
      <w:pPr>
        <w:pStyle w:val="Heading2"/>
      </w:pPr>
      <w:r>
        <w:t xml:space="preserve">Device identification</w:t>
      </w:r>
    </w:p>
    <w:p>
      <w:pPr>
        <w:pStyle w:val="FirstParagraph"/>
      </w:pPr>
      <w:r>
        <w:t xml:space="preserve">The Data Message does not contain any Station/Device information in the message. Instead, the MQTT topic hierarchy NodeID (Level 4) would be used for Station/Device Identification and should be archived with the Data Message.</w:t>
      </w:r>
    </w:p>
    <w:bookmarkEnd w:id="97"/>
    <w:bookmarkEnd w:id="98"/>
    <w:bookmarkStart w:id="99" w:name="X87c94a1236b9a0be905993df5d58a43fd469646"/>
    <w:p>
      <w:pPr>
        <w:pStyle w:val="Heading1"/>
      </w:pPr>
      <w:r>
        <w:t xml:space="preserve">Data receiver (structure TBD)</w:t>
      </w:r>
    </w:p>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hyperlink r:id="rId22">
        <w:r>
          <w:rPr>
            <w:rStyle w:val="Hyperlink"/>
          </w:rPr>
          <w:t xml:space="preserve">https://community.wmo.int/governance/commission-membership/commission-observation-infrastructures-and-information-systems-infcom/commission-infrastructure-officers/infcom-management-group/standing-committee-information-management-and-technology-sc-imt</w:t>
        </w:r>
      </w:hyperlink>
    </w:p>
  </w:footnote>
  <w:footnote w:id="23">
    <w:p>
      <w:pPr>
        <w:pStyle w:val="FootnoteText"/>
      </w:pPr>
      <w:r>
        <w:rPr>
          <w:rStyle w:val="FootnoteReference"/>
        </w:rPr>
        <w:footnoteRef/>
      </w:r>
      <w:r>
        <w:t xml:space="preserve"> </w:t>
      </w:r>
      <w:hyperlink r:id="rId24">
        <w:r>
          <w:rPr>
            <w:rStyle w:val="Hyperlink"/>
          </w:rPr>
          <w:t xml:space="preserve">https://community.wmo.int/governance/commission-membership/infcom</w:t>
        </w:r>
      </w:hyperlink>
    </w:p>
  </w:footnote>
  <w:footnote w:id="91">
    <w:p>
      <w:pPr>
        <w:pStyle w:val="FootnoteText"/>
      </w:pPr>
      <w:r>
        <w:rPr>
          <w:rStyle w:val="FootnoteReference"/>
        </w:rPr>
        <w:footnoteRef/>
      </w:r>
      <w:r>
        <w:t xml:space="preserve"> </w:t>
      </w:r>
      <w:r>
        <w:t xml:space="preserve">For Example WMO 1238 (2023) 2.5.5</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4" Target="https://community.wmo.int/governance/commission-membership/infcom" TargetMode="External" /><Relationship Type="http://schemas.openxmlformats.org/officeDocument/2006/relationships/hyperlink" Id="rId20" Target="https://wmo-im.github.io/first-mile-guide/first-mile-guide/first-mile-guide-DRAFT.html" TargetMode="External" /></Relationships>
</file>

<file path=word/_rels/footnotes.xml.rels><?xml version="1.0" encoding="UTF-8"?><Relationships xmlns="http://schemas.openxmlformats.org/package/2006/relationships"><Relationship Type="http://schemas.openxmlformats.org/officeDocument/2006/relationships/hyperlink" Id="rId22"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4" Target="https://community.wmo.int/governance/commission-membership/infcom" TargetMode="External" /><Relationship Type="http://schemas.openxmlformats.org/officeDocument/2006/relationships/hyperlink" Id="rId20" Target="https://wmo-im.github.io/first-mile-guide/first-mile-guide/first-mile-guide-DRAF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WMO First Mile Data Collection Guide</dc:title>
  <dc:creator/>
  <cp:keywords/>
  <dcterms:created xsi:type="dcterms:W3CDTF">2026-06-12T08:32:34Z</dcterms:created>
  <dcterms:modified xsi:type="dcterms:W3CDTF">2026-06-12T08:32:34Z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2025 World Meteorological Organization (WMO)</vt:lpwstr>
  </property>
  <property fmtid="{D5CDD505-2E9C-101B-9397-08002B2CF9AE}" pid="3" name="date">
    <vt:lpwstr>2026-06-12</vt:lpwstr>
  </property>
</Properties>
</file>