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2026-05-07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2026-05-07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c8210088bf4711be4456d26326179eb58b8f5b4"/>
    <w:p>
      <w:pPr>
        <w:pStyle w:val="Heading1"/>
      </w:pPr>
      <w:r>
        <w:t xml:space="preserve">Scope</w:t>
      </w:r>
    </w:p>
    <w:bookmarkEnd w:id="25"/>
    <w:bookmarkStart w:id="32" w:name="X859b073d7e5a95a337a680b453cd9ab10fc927d"/>
    <w:p>
      <w:pPr>
        <w:pStyle w:val="Heading1"/>
      </w:pPr>
      <w:r>
        <w:t xml:space="preserve">Conformance</w:t>
      </w:r>
    </w:p>
    <w:bookmarkStart w:id="31" w:name="X95453ac46235389615ae4c7fa5db07d307ceeeb"/>
    <w:p>
      <w:pPr>
        <w:pStyle w:val="Heading2"/>
      </w:pPr>
      <w:r>
        <w:t xml:space="preserve">Conformance Classes</w:t>
      </w:r>
    </w:p>
    <w:bookmarkStart w:id="26" w:name="X646ab08e6bca8943f243683fcd8f6523f801bd0"/>
    <w:p>
      <w:pPr>
        <w:pStyle w:val="Heading3"/>
      </w:pPr>
      <w:r>
        <w:t xml:space="preserve">Requirements Class: Core Data Model</w:t>
      </w:r>
    </w:p>
    <w:bookmarkEnd w:id="26"/>
    <w:bookmarkStart w:id="27" w:name="X64312687e0dd28141dab4939a855dfe209e77d4"/>
    <w:p>
      <w:pPr>
        <w:pStyle w:val="Heading3"/>
      </w:pPr>
      <w:r>
        <w:t xml:space="preserve">Requirements Class: Standard Name Binding</w:t>
      </w:r>
    </w:p>
    <w:bookmarkEnd w:id="27"/>
    <w:bookmarkStart w:id="28" w:name="X6ab12899376edf358ff4c559472288b7664d758"/>
    <w:p>
      <w:pPr>
        <w:pStyle w:val="Heading3"/>
      </w:pPr>
      <w:r>
        <w:t xml:space="preserve">Requirements Class: MQTT Protocol Binding</w:t>
      </w:r>
    </w:p>
    <w:bookmarkEnd w:id="28"/>
    <w:bookmarkStart w:id="29" w:name="X210e1ddb5a427d34d8ca39d5ea656454ce5451a"/>
    <w:p>
      <w:pPr>
        <w:pStyle w:val="Heading3"/>
      </w:pPr>
      <w:r>
        <w:t xml:space="preserve">Requirements Class: Data Sender</w:t>
      </w:r>
    </w:p>
    <w:bookmarkEnd w:id="29"/>
    <w:bookmarkStart w:id="30" w:name="Xd379c7ab982fb19e45359a39b7e989df040948a"/>
    <w:p>
      <w:pPr>
        <w:pStyle w:val="Heading3"/>
      </w:pPr>
      <w:r>
        <w:t xml:space="preserve">Requirements Class: Data Receiver</w:t>
      </w:r>
    </w:p>
    <w:bookmarkEnd w:id="30"/>
    <w:bookmarkEnd w:id="31"/>
    <w:bookmarkEnd w:id="32"/>
    <w:bookmarkStart w:id="33" w:name="X006c9d3b6667aaf06958882560708ea28cb1739"/>
    <w:p>
      <w:pPr>
        <w:pStyle w:val="Heading1"/>
      </w:pPr>
      <w:r>
        <w:t xml:space="preserve">Normative references</w:t>
      </w:r>
    </w:p>
    <w:bookmarkEnd w:id="33"/>
    <w:bookmarkStart w:id="46" w:name="Xd5582cd57372740036a424fe6cab6ad90ab568a"/>
    <w:p>
      <w:pPr>
        <w:pStyle w:val="Heading1"/>
      </w:pPr>
      <w:r>
        <w:t xml:space="preserve">Terms, definitions and abbreviations</w:t>
      </w:r>
    </w:p>
    <w:bookmarkStart w:id="44" w:name="Xf17c8383fae2ebb7cd7431905910c5a97b905d8"/>
    <w:p>
      <w:pPr>
        <w:pStyle w:val="Heading2"/>
      </w:pPr>
      <w:r>
        <w:t xml:space="preserve">Terms and definitions</w:t>
      </w:r>
    </w:p>
    <w:bookmarkStart w:id="34" w:name="Xcb6c7e9c4822e4385288cb0297183304786108e"/>
    <w:p>
      <w:pPr>
        <w:pStyle w:val="Heading3"/>
      </w:pPr>
      <w:r>
        <w:t xml:space="preserve">First mile</w:t>
      </w:r>
    </w:p>
    <w:bookmarkEnd w:id="34"/>
    <w:bookmarkStart w:id="35" w:name="X7116b729cd7ce925c52e8fb5602491f2a548ddb"/>
    <w:p>
      <w:pPr>
        <w:pStyle w:val="Heading3"/>
      </w:pPr>
      <w:r>
        <w:t xml:space="preserve">Host device</w:t>
      </w:r>
    </w:p>
    <w:bookmarkEnd w:id="35"/>
    <w:bookmarkStart w:id="36" w:name="X839292c1a045f3fc22ae5b812c0062239c6b5da"/>
    <w:p>
      <w:pPr>
        <w:pStyle w:val="Heading3"/>
      </w:pPr>
      <w:r>
        <w:t xml:space="preserve">Observer device</w:t>
      </w:r>
    </w:p>
    <w:bookmarkEnd w:id="36"/>
    <w:bookmarkStart w:id="37" w:name="X3dd5b6348b7c8cabaa06a4e46e02f6125633375"/>
    <w:p>
      <w:pPr>
        <w:pStyle w:val="Heading3"/>
      </w:pPr>
      <w:r>
        <w:t xml:space="preserve">Observation</w:t>
      </w:r>
    </w:p>
    <w:bookmarkEnd w:id="37"/>
    <w:bookmarkStart w:id="38" w:name="X577630d6c26f797218344715e8d87cfeb328b04"/>
    <w:p>
      <w:pPr>
        <w:pStyle w:val="Heading3"/>
      </w:pPr>
      <w:r>
        <w:t xml:space="preserve">Parameter definition</w:t>
      </w:r>
    </w:p>
    <w:bookmarkEnd w:id="38"/>
    <w:bookmarkStart w:id="39" w:name="X8f1fb64e682958358ede0b244e2b111d22d914d"/>
    <w:p>
      <w:pPr>
        <w:pStyle w:val="Heading3"/>
      </w:pPr>
      <w:r>
        <w:t xml:space="preserve">Cell method</w:t>
      </w:r>
    </w:p>
    <w:bookmarkEnd w:id="39"/>
    <w:bookmarkStart w:id="40" w:name="X21d252061e556901263887ad8c73b4bf7e6fcd9"/>
    <w:p>
      <w:pPr>
        <w:pStyle w:val="Heading3"/>
      </w:pPr>
      <w:r>
        <w:t xml:space="preserve">Cell period</w:t>
      </w:r>
    </w:p>
    <w:bookmarkEnd w:id="40"/>
    <w:bookmarkStart w:id="41" w:name="Xb2c6ca581828d3107bbc351d89e0ec5b54d83da"/>
    <w:p>
      <w:pPr>
        <w:pStyle w:val="Heading3"/>
      </w:pPr>
      <w:r>
        <w:t xml:space="preserve">Empty value</w:t>
      </w:r>
    </w:p>
    <w:bookmarkEnd w:id="41"/>
    <w:bookmarkStart w:id="42" w:name="X9a8bf083cb84847f8d5f7064eaf08f0475256cf"/>
    <w:p>
      <w:pPr>
        <w:pStyle w:val="Heading3"/>
      </w:pPr>
      <w:r>
        <w:t xml:space="preserve">Standard name</w:t>
      </w:r>
    </w:p>
    <w:bookmarkEnd w:id="42"/>
    <w:bookmarkStart w:id="43" w:name="Xfc0b80871eb798be7b7c67dc681dffb81a86689"/>
    <w:p>
      <w:pPr>
        <w:pStyle w:val="Heading3"/>
      </w:pPr>
      <w:r>
        <w:t xml:space="preserve">Namespace</w:t>
      </w:r>
    </w:p>
    <w:bookmarkEnd w:id="43"/>
    <w:bookmarkEnd w:id="44"/>
    <w:bookmarkStart w:id="45" w:name="X6b29db19483545f8f9a43ff322b99ed5bd7e3a6"/>
    <w:p>
      <w:pPr>
        <w:pStyle w:val="Heading2"/>
      </w:pPr>
      <w:r>
        <w:t xml:space="preserve">Abbreviations</w:t>
      </w:r>
    </w:p>
    <w:p>
      <w:pPr>
        <w:numPr>
          <w:ilvl w:val="0"/>
          <w:numId w:val="1001"/>
        </w:numPr>
      </w:pPr>
      <w:r>
        <w:t xml:space="preserve">CF</w:t>
      </w:r>
    </w:p>
    <w:p>
      <w:pPr>
        <w:numPr>
          <w:ilvl w:val="0"/>
          <w:numId w:val="1001"/>
        </w:numPr>
      </w:pPr>
      <w:r>
        <w:t xml:space="preserve">HMEI</w:t>
      </w:r>
    </w:p>
    <w:p>
      <w:pPr>
        <w:numPr>
          <w:ilvl w:val="0"/>
          <w:numId w:val="1001"/>
        </w:numPr>
      </w:pPr>
      <w:r>
        <w:t xml:space="preserve">INFCOM</w:t>
      </w:r>
    </w:p>
    <w:p>
      <w:pPr>
        <w:numPr>
          <w:ilvl w:val="0"/>
          <w:numId w:val="1001"/>
        </w:numPr>
      </w:pPr>
      <w:r>
        <w:t xml:space="preserve">MQTT</w:t>
      </w:r>
    </w:p>
    <w:p>
      <w:pPr>
        <w:numPr>
          <w:ilvl w:val="0"/>
          <w:numId w:val="1001"/>
        </w:numPr>
      </w:pPr>
      <w:r>
        <w:t xml:space="preserve">protobuf</w:t>
      </w:r>
    </w:p>
    <w:p>
      <w:pPr>
        <w:numPr>
          <w:ilvl w:val="0"/>
          <w:numId w:val="1001"/>
        </w:numPr>
      </w:pPr>
      <w:r>
        <w:t xml:space="preserve">QoS</w:t>
      </w:r>
    </w:p>
    <w:p>
      <w:pPr>
        <w:numPr>
          <w:ilvl w:val="0"/>
          <w:numId w:val="1001"/>
        </w:numPr>
      </w:pPr>
      <w:r>
        <w:t xml:space="preserve">SC-IMT</w:t>
      </w:r>
    </w:p>
    <w:p>
      <w:pPr>
        <w:numPr>
          <w:ilvl w:val="0"/>
          <w:numId w:val="1001"/>
        </w:numPr>
      </w:pPr>
      <w:r>
        <w:t xml:space="preserve">WMO</w:t>
      </w:r>
    </w:p>
    <w:bookmarkEnd w:id="45"/>
    <w:bookmarkEnd w:id="46"/>
    <w:bookmarkStart w:id="50" w:name="X092135ba5a88783865c456c6e3593fb42502819"/>
    <w:p>
      <w:pPr>
        <w:pStyle w:val="Heading1"/>
      </w:pPr>
      <w:r>
        <w:t xml:space="preserve">Conventions</w:t>
      </w:r>
    </w:p>
    <w:bookmarkStart w:id="47" w:name="X945af8d3d835d9bfa055da55970a8304612c3ef"/>
    <w:p>
      <w:pPr>
        <w:pStyle w:val="Heading2"/>
      </w:pPr>
      <w:r>
        <w:t xml:space="preserve">Schema notation (Protocol Buffers v3)</w:t>
      </w:r>
    </w:p>
    <w:bookmarkEnd w:id="47"/>
    <w:bookmarkStart w:id="48" w:name="Xc477c1b95c4c34f6071d182fb5619d7b7524115"/>
    <w:p>
      <w:pPr>
        <w:pStyle w:val="Heading2"/>
      </w:pPr>
      <w:r>
        <w:t xml:space="preserve">Requirements, recommendations and permissions</w:t>
      </w:r>
    </w:p>
    <w:bookmarkEnd w:id="48"/>
    <w:bookmarkStart w:id="49" w:name="Xfba110af0e2726c334fba24c31d62dd5f8af371"/>
    <w:p>
      <w:pPr>
        <w:pStyle w:val="Heading2"/>
      </w:pPr>
      <w:r>
        <w:t xml:space="preserve">Namespace and identifier conventions</w:t>
      </w:r>
    </w:p>
    <w:bookmarkEnd w:id="49"/>
    <w:bookmarkEnd w:id="50"/>
    <w:bookmarkStart w:id="54" w:name="Xc683cc3eb5f62f1b2665ffbeddec6924032d7d2"/>
    <w:p>
      <w:pPr>
        <w:pStyle w:val="Heading1"/>
      </w:pPr>
      <w:r>
        <w:t xml:space="preserve">Overview (informative)</w:t>
      </w:r>
    </w:p>
    <w:bookmarkStart w:id="51" w:name="X961aebdbdb5906a05af74af8407e8ac6ecf2ffb"/>
    <w:p>
      <w:pPr>
        <w:pStyle w:val="Heading2"/>
      </w:pPr>
      <w:r>
        <w:t xml:space="preserve">System architecture</w:t>
      </w:r>
    </w:p>
    <w:bookmarkEnd w:id="51"/>
    <w:bookmarkStart w:id="52" w:name="X770fa29b64d56b71c44a849f2807d40b1e1388b"/>
    <w:p>
      <w:pPr>
        <w:pStyle w:val="Heading2"/>
      </w:pPr>
      <w:r>
        <w:t xml:space="preserve">Message flow</w:t>
      </w:r>
    </w:p>
    <w:bookmarkEnd w:id="52"/>
    <w:bookmarkStart w:id="53" w:name="Xeb3755b0f5fc801b9ca59eeff88831d7e633675"/>
    <w:p>
      <w:pPr>
        <w:pStyle w:val="Heading2"/>
      </w:pPr>
      <w:r>
        <w:t xml:space="preserve">Conformance class summary</w:t>
      </w:r>
    </w:p>
    <w:bookmarkEnd w:id="53"/>
    <w:bookmarkEnd w:id="54"/>
    <w:bookmarkStart w:id="72" w:name="Xcf8df71770e278956d1af1654bdc7462ec5e71a"/>
    <w:p>
      <w:pPr>
        <w:pStyle w:val="Heading1"/>
      </w:pPr>
      <w:r>
        <w:t xml:space="preserve">Data model</w:t>
      </w:r>
    </w:p>
    <w:bookmarkStart w:id="55" w:name="X43f9398da9c2eb974194c1e60a2fdc80e1bfc87"/>
    <w:p>
      <w:pPr>
        <w:pStyle w:val="Heading2"/>
      </w:pPr>
      <w:r>
        <w:t xml:space="preserve">Overview</w:t>
      </w:r>
    </w:p>
    <w:bookmarkEnd w:id="55"/>
    <w:bookmarkStart w:id="58" w:name="X420eafb99047cba937d0193d2433ab87194b2c1"/>
    <w:p>
      <w:pPr>
        <w:pStyle w:val="Heading2"/>
      </w:pPr>
      <w:r>
        <w:t xml:space="preserve">Messages</w:t>
      </w:r>
    </w:p>
    <w:bookmarkStart w:id="56" w:name="Xfc8cf4c3e1864f20c9bd5ac1430955c8f69814c"/>
    <w:p>
      <w:pPr>
        <w:pStyle w:val="Heading3"/>
      </w:pPr>
      <w:r>
        <w:t xml:space="preserve">Metadata message</w:t>
      </w:r>
    </w:p>
    <w:bookmarkEnd w:id="56"/>
    <w:bookmarkStart w:id="57" w:name="X0590ef715debb49e39b2605ddcdd646ea9b2157"/>
    <w:p>
      <w:pPr>
        <w:pStyle w:val="Heading3"/>
      </w:pPr>
      <w:r>
        <w:t xml:space="preserve">Data message</w:t>
      </w:r>
    </w:p>
    <w:bookmarkEnd w:id="57"/>
    <w:bookmarkEnd w:id="58"/>
    <w:bookmarkStart w:id="62" w:name="Xbd912a1b208cf7978018667c41315c818d4ee90"/>
    <w:p>
      <w:pPr>
        <w:pStyle w:val="Heading2"/>
      </w:pPr>
      <w:r>
        <w:t xml:space="preserve">Devices</w:t>
      </w:r>
    </w:p>
    <w:bookmarkStart w:id="59" w:name="X5e49d8ef035452dbad9c93a4c5db7e58391042c"/>
    <w:p>
      <w:pPr>
        <w:pStyle w:val="Heading3"/>
      </w:pPr>
      <w:r>
        <w:t xml:space="preserve">Host device</w:t>
      </w:r>
    </w:p>
    <w:bookmarkEnd w:id="59"/>
    <w:bookmarkStart w:id="60" w:name="Xce9718d361137631e3f58eeec0d854504e24d6c"/>
    <w:p>
      <w:pPr>
        <w:pStyle w:val="Heading3"/>
      </w:pPr>
      <w:r>
        <w:t xml:space="preserve">Observer device</w:t>
      </w:r>
    </w:p>
    <w:bookmarkEnd w:id="60"/>
    <w:bookmarkStart w:id="61" w:name="Xbc89f1e7f4a1b1902862b44ea14775bb2c7d8eb"/>
    <w:p>
      <w:pPr>
        <w:pStyle w:val="Heading3"/>
      </w:pPr>
      <w:r>
        <w:t xml:space="preserve">Location and reference surfaces</w:t>
      </w:r>
    </w:p>
    <w:bookmarkEnd w:id="61"/>
    <w:bookmarkEnd w:id="62"/>
    <w:bookmarkStart w:id="66" w:name="Xcc23f6acd800e14e9520bfa042408715e4ce9c0"/>
    <w:p>
      <w:pPr>
        <w:pStyle w:val="Heading2"/>
      </w:pPr>
      <w:r>
        <w:t xml:space="preserve">Observations and values</w:t>
      </w:r>
    </w:p>
    <w:bookmarkStart w:id="63" w:name="X1dbf4a806bce0d3d4fc72a7b692636795af6609"/>
    <w:p>
      <w:pPr>
        <w:pStyle w:val="Heading3"/>
      </w:pPr>
      <w:r>
        <w:t xml:space="preserve">Observation</w:t>
      </w:r>
    </w:p>
    <w:bookmarkEnd w:id="63"/>
    <w:bookmarkStart w:id="64" w:name="Xa1a156b94e1c41bbe3f68fc142b1250ef777bf0"/>
    <w:p>
      <w:pPr>
        <w:pStyle w:val="Heading3"/>
      </w:pPr>
      <w:r>
        <w:t xml:space="preserve">Value types</w:t>
      </w:r>
    </w:p>
    <w:bookmarkEnd w:id="64"/>
    <w:bookmarkStart w:id="65" w:name="Xdace5bd116673738863a70d136ac45a1f0008af"/>
    <w:p>
      <w:pPr>
        <w:pStyle w:val="Heading3"/>
      </w:pPr>
      <w:r>
        <w:t xml:space="preserve">Missing and error values</w:t>
      </w:r>
    </w:p>
    <w:bookmarkEnd w:id="65"/>
    <w:bookmarkEnd w:id="66"/>
    <w:bookmarkStart w:id="71" w:name="X8fe870ba40f1cbce50a7ed76ed4ee9a508ae528"/>
    <w:p>
      <w:pPr>
        <w:pStyle w:val="Heading2"/>
      </w:pPr>
      <w:r>
        <w:t xml:space="preserve">Parameter definitions</w:t>
      </w:r>
    </w:p>
    <w:bookmarkStart w:id="67" w:name="X4cc94a085ba3568c058fdd8c53467d413de5dbf"/>
    <w:p>
      <w:pPr>
        <w:pStyle w:val="Heading3"/>
      </w:pPr>
      <w:r>
        <w:t xml:space="preserve">Parameter</w:t>
      </w:r>
    </w:p>
    <w:bookmarkEnd w:id="67"/>
    <w:bookmarkStart w:id="68" w:name="X250bba3ad6128daef583cd3d3f9bc17f1a926a1"/>
    <w:p>
      <w:pPr>
        <w:pStyle w:val="Heading3"/>
      </w:pPr>
      <w:r>
        <w:t xml:space="preserve">Cell method</w:t>
      </w:r>
    </w:p>
    <w:bookmarkEnd w:id="68"/>
    <w:bookmarkStart w:id="69" w:name="Xb7de51b3da708336552a4e1b020231bf3fa1856"/>
    <w:p>
      <w:pPr>
        <w:pStyle w:val="Heading3"/>
      </w:pPr>
      <w:r>
        <w:t xml:space="preserve">Cell period</w:t>
      </w:r>
    </w:p>
    <w:bookmarkEnd w:id="69"/>
    <w:bookmarkStart w:id="70" w:name="X7201f3c19528d29b377a44b93e144237b09ec5f"/>
    <w:p>
      <w:pPr>
        <w:pStyle w:val="Heading3"/>
      </w:pPr>
      <w:r>
        <w:t xml:space="preserve">Device reference</w:t>
      </w:r>
    </w:p>
    <w:bookmarkEnd w:id="70"/>
    <w:bookmarkEnd w:id="71"/>
    <w:bookmarkEnd w:id="72"/>
    <w:bookmarkStart w:id="76" w:name="Xdd7eb3629e434f7b7e0591ed0ba3c4fbe841976"/>
    <w:p>
      <w:pPr>
        <w:pStyle w:val="Heading1"/>
      </w:pPr>
      <w:r>
        <w:t xml:space="preserve">Standard name binding</w:t>
      </w:r>
    </w:p>
    <w:bookmarkStart w:id="73" w:name="X57ee570b2ca57c2f3cc7ed08a75d7506e62098e"/>
    <w:p>
      <w:pPr>
        <w:pStyle w:val="Heading2"/>
      </w:pPr>
      <w:r>
        <w:t xml:space="preserve">Namespace declaration</w:t>
      </w:r>
    </w:p>
    <w:bookmarkEnd w:id="73"/>
    <w:bookmarkStart w:id="74" w:name="Xd1c302b8a82dd955e6c97d940af707ea0542cd4"/>
    <w:p>
      <w:pPr>
        <w:pStyle w:val="Heading2"/>
      </w:pPr>
      <w:r>
        <w:t xml:space="preserve">Standard name assignment</w:t>
      </w:r>
    </w:p>
    <w:bookmarkEnd w:id="74"/>
    <w:bookmarkStart w:id="75" w:name="Xa9be577073435e3c70102b49402444bbf1b9dbe"/>
    <w:p>
      <w:pPr>
        <w:pStyle w:val="Heading2"/>
      </w:pPr>
      <w:r>
        <w:t xml:space="preserve">Recommended: CF Conventions binding</w:t>
      </w:r>
    </w:p>
    <w:bookmarkEnd w:id="75"/>
    <w:bookmarkEnd w:id="76"/>
    <w:bookmarkStart w:id="85" w:name="Xada6c7dac768733be52cb0d6a068e1fee1abfc7"/>
    <w:p>
      <w:pPr>
        <w:pStyle w:val="Heading1"/>
      </w:pPr>
      <w:r>
        <w:t xml:space="preserve">Protocol binding</w:t>
      </w:r>
    </w:p>
    <w:bookmarkStart w:id="77" w:name="X322101054fd636c32d6869f7cfec83424c5280c"/>
    <w:p>
      <w:pPr>
        <w:pStyle w:val="Heading2"/>
      </w:pPr>
      <w:r>
        <w:t xml:space="preserve">Overview</w:t>
      </w:r>
    </w:p>
    <w:bookmarkEnd w:id="77"/>
    <w:bookmarkStart w:id="78" w:name="Xbc70952558536d95467b743ffb3c32263f27a0c"/>
    <w:p>
      <w:pPr>
        <w:pStyle w:val="Heading2"/>
      </w:pPr>
      <w:r>
        <w:t xml:space="preserve">MQTT version requirements</w:t>
      </w:r>
    </w:p>
    <w:bookmarkEnd w:id="78"/>
    <w:bookmarkStart w:id="81" w:name="Xf67ac0e21d813604a0ad8d5ee7433b863ecda37"/>
    <w:p>
      <w:pPr>
        <w:pStyle w:val="Heading2"/>
      </w:pPr>
      <w:r>
        <w:t xml:space="preserve">Topic structure</w:t>
      </w:r>
    </w:p>
    <w:bookmarkStart w:id="79" w:name="X1ebaac39602a0920fd1eeef5bf8f59f06e2cdc1"/>
    <w:p>
      <w:pPr>
        <w:pStyle w:val="Heading3"/>
      </w:pPr>
      <w:r>
        <w:t xml:space="preserve">Topic pattern</w:t>
      </w:r>
    </w:p>
    <w:bookmarkEnd w:id="79"/>
    <w:bookmarkStart w:id="80" w:name="X7faf01397d8ce93a55fbc2f8b1b1595228b5dc5"/>
    <w:p>
      <w:pPr>
        <w:pStyle w:val="Heading3"/>
      </w:pPr>
      <w:r>
        <w:t xml:space="preserve">Level definitions and allowed values</w:t>
      </w:r>
    </w:p>
    <w:bookmarkEnd w:id="80"/>
    <w:bookmarkEnd w:id="81"/>
    <w:bookmarkStart w:id="84" w:name="Xf197fc8fce37bef5c2310702576b8c8da542d6f"/>
    <w:p>
      <w:pPr>
        <w:pStyle w:val="Heading2"/>
      </w:pPr>
      <w:r>
        <w:t xml:space="preserve">Quality of service</w:t>
      </w:r>
    </w:p>
    <w:bookmarkStart w:id="82" w:name="X90c2196e95cddca2e2775025e961f1650e41363"/>
    <w:p>
      <w:pPr>
        <w:pStyle w:val="Heading3"/>
      </w:pPr>
      <w:r>
        <w:t xml:space="preserve">Metadata messages</w:t>
      </w:r>
    </w:p>
    <w:bookmarkEnd w:id="82"/>
    <w:bookmarkStart w:id="83" w:name="Xd6c757e32fed425b3a7adf6ea311ffaa6b43755"/>
    <w:p>
      <w:pPr>
        <w:pStyle w:val="Heading3"/>
      </w:pPr>
      <w:r>
        <w:t xml:space="preserve">Data messages</w:t>
      </w:r>
    </w:p>
    <w:bookmarkEnd w:id="83"/>
    <w:bookmarkEnd w:id="84"/>
    <w:bookmarkEnd w:id="85"/>
    <w:bookmarkStart w:id="94" w:name="X3d9fbe32488adb44e92c19e07af663f6426d741"/>
    <w:p>
      <w:pPr>
        <w:pStyle w:val="Heading1"/>
      </w:pPr>
      <w:r>
        <w:t xml:space="preserve">Data sender</w:t>
      </w:r>
    </w:p>
    <w:bookmarkStart w:id="89" w:name="Xfe9d8bc29604d61eb0b0c2aa97197afd523e1ad"/>
    <w:p>
      <w:pPr>
        <w:pStyle w:val="Heading2"/>
      </w:pPr>
      <w:r>
        <w:t xml:space="preserve">Metadata publication</w:t>
      </w:r>
    </w:p>
    <w:p>
      <w:pPr>
        <w:pStyle w:val="FirstParagraph"/>
      </w:pPr>
      <w:r>
        <w:t xml:space="preserve">A key feature of the First Mile Format, is the structured inclusion of metadata. This enables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2639"/>
        <w:gridCol w:w="2639"/>
        <w:gridCol w:w="2640"/>
      </w:tblGrid>
      <w:tr>
        <w:tc>
          <w:tcPr/>
          <w:p>
            <w:pPr>
              <w:jc w:val="left"/>
            </w:pPr>
            <w:r>
              <w:t xml:space="preserve">Benefit</w:t>
            </w:r>
          </w:p>
        </w:tc>
        <w:tc>
          <w:tcPr/>
          <w:p>
            <w:pPr>
              <w:jc w:val="left"/>
            </w:pPr>
            <w:r>
              <w:t xml:space="preserve">Definition</w:t>
            </w:r>
          </w:p>
        </w:tc>
        <w:tc>
          <w:tcPr/>
          <w:p>
            <w:pPr>
              <w:jc w:val="left"/>
            </w:pPr>
            <w:r>
              <w:t xml:space="preserve">Required in implementation</w:t>
            </w:r>
          </w:p>
        </w:tc>
      </w:tr>
      <w:tr>
        <w:tc>
          <w:tcPr/>
          <w:p>
            <w:pPr>
              <w:jc w:val="left"/>
            </w:pPr>
            <w:r>
              <w:t xml:space="preserve">Machine Translation</w:t>
            </w:r>
          </w:p>
        </w:tc>
        <w:tc>
          <w:tcPr/>
          <w:p>
            <w:pPr>
              <w:jc w:val="left"/>
            </w:pPr>
            <w:r>
              <w:t xml:space="preserve">Received data can be correctly assigned to observations in database without human interpretation/intervention</w:t>
            </w:r>
          </w:p>
        </w:tc>
        <w:tc>
          <w:tcPr/>
          <w:p>
            <w:pPr>
              <w:jc w:val="left"/>
            </w:pPr>
            <w:r>
              <w:t xml:space="preserve">Standard Names</w:t>
            </w:r>
          </w:p>
        </w:tc>
      </w:tr>
      <w:tr>
        <w:tc>
          <w:tcPr/>
          <w:p>
            <w:pPr>
              <w:jc w:val="left"/>
            </w:pPr>
            <w:r>
              <w:t xml:space="preserve">Stranger Interpretation</w:t>
            </w:r>
          </w:p>
        </w:tc>
        <w:tc>
          <w:tcPr/>
          <w:p>
            <w:pPr>
              <w:jc w:val="left"/>
            </w:pPr>
            <w:r>
              <w:t xml:space="preserve">Siting (particularly location and height of observations) and equipment can be deduced from data, enabling assessment of observation quality without access to other information</w:t>
            </w:r>
          </w:p>
        </w:tc>
        <w:tc>
          <w:tcPr/>
          <w:p>
            <w:pPr>
              <w:jc w:val="left"/>
            </w:pPr>
            <w:r>
              <w:t xml:space="preserve">Location, URL (for additional information)</w:t>
            </w:r>
          </w:p>
        </w:tc>
      </w:tr>
      <w:tr>
        <w:tc>
          <w:tcPr/>
          <w:p>
            <w:pPr>
              <w:jc w:val="left"/>
            </w:pPr>
            <w:r>
              <w:t xml:space="preserve">Efficient Communication</w:t>
            </w:r>
          </w:p>
        </w:tc>
        <w:tc>
          <w:tcPr/>
          <w:p>
            <w:pPr>
              <w:jc w:val="left"/>
            </w:pPr>
            <w:r>
              <w:t xml:space="preserve">Metadata is not included in every message (reducing bandwidth requirements), only to ensure efficient processing by the Receiver</w:t>
            </w:r>
          </w:p>
        </w:tc>
        <w:tc>
          <w:tcPr/>
          <w:p>
            <w:pPr>
              <w:jc w:val="left"/>
            </w:pPr>
            <w:r>
              <w:t xml:space="preserve">Transmission Triggers</w:t>
            </w:r>
          </w:p>
        </w:tc>
      </w:tr>
    </w:tbl>
    <w:bookmarkStart w:id="86" w:name="Xa1cc973d00deb16b989bfc71644be982f61edeb"/>
    <w:p>
      <w:pPr>
        <w:pStyle w:val="Heading3"/>
      </w:pPr>
      <w:r>
        <w:t xml:space="preserve">Mandatory fields</w:t>
      </w:r>
    </w:p>
    <w:p>
      <w:pPr>
        <w:pStyle w:val="FirstParagraph"/>
      </w:pPr>
      <w:r>
        <w:t xml:space="preserve">To enable evolution of the First Mile Standard, while maximising backward compatability, the Protobuf</w:t>
      </w:r>
      <w:r>
        <w:t xml:space="preserve"> </w:t>
      </w:r>
      <w:r>
        <w:rPr>
          <w:bCs/>
          <w:b/>
        </w:rPr>
        <w:t xml:space="preserve">REQUIRED</w:t>
      </w:r>
      <w:r>
        <w:t xml:space="preserve"> </w:t>
      </w:r>
      <w:r>
        <w:t xml:space="preserve">keyword is not used. However, omission of key values can render the other included information unusable as it is ambiguous as to how it is related to the other content.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2639"/>
        <w:gridCol w:w="2639"/>
        <w:gridCol w:w="2640"/>
      </w:tblGrid>
      <w:tr>
        <w:tc>
          <w:tcPr/>
          <w:p>
            <w:pPr>
              <w:jc w:val="left"/>
            </w:pPr>
            <w:r>
              <w:t xml:space="preserve">Message</w:t>
            </w:r>
          </w:p>
        </w:tc>
        <w:tc>
          <w:tcPr/>
          <w:p>
            <w:pPr>
              <w:jc w:val="left"/>
            </w:pPr>
            <w:r>
              <w:t xml:space="preserve">Field</w:t>
            </w:r>
          </w:p>
        </w:tc>
        <w:tc>
          <w:tcPr/>
          <w:p>
            <w:pPr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jc w:val="left"/>
            </w:pPr>
            <w:r>
              <w:t xml:space="preserve">HostDevice</w:t>
            </w:r>
          </w:p>
        </w:tc>
        <w:tc>
          <w:tcPr/>
          <w:p>
            <w:pPr>
              <w:jc w:val="left"/>
            </w:pPr>
            <w:r>
              <w:t xml:space="preserve">name</w:t>
            </w:r>
          </w:p>
        </w:tc>
        <w:tc>
          <w:tcPr/>
          <w:p>
            <w:pPr>
              <w:jc w:val="left"/>
            </w:pPr>
            <w:r>
              <w:t xml:space="preserve">Enables the identification of the end node</w:t>
            </w:r>
          </w:p>
        </w:tc>
      </w:tr>
      <w:tr>
        <w:tc>
          <w:tcPr/>
          <w:p>
            <w:pPr>
              <w:jc w:val="left"/>
            </w:pPr>
            <w:r>
              <w:t xml:space="preserve">ObserverDevice</w:t>
            </w:r>
          </w:p>
        </w:tc>
        <w:tc>
          <w:tcPr/>
          <w:p>
            <w:pPr>
              <w:jc w:val="left"/>
            </w:pPr>
            <w:r>
              <w:t xml:space="preserve">id</w:t>
            </w:r>
          </w:p>
        </w:tc>
        <w:tc>
          <w:tcPr/>
          <w:p>
            <w:pPr>
              <w:jc w:val="left"/>
            </w:pPr>
            <w:r>
              <w:t xml:space="preserve">Enables parameters (observation data) to be matched to the sensing/observing/measuring device</w:t>
            </w:r>
          </w:p>
        </w:tc>
      </w:tr>
      <w:tr>
        <w:tc>
          <w:tcPr/>
          <w:p>
            <w:pPr>
              <w:jc w:val="left"/>
            </w:pPr>
            <w:r>
              <w:t xml:space="preserve">ParameterDefinition</w:t>
            </w:r>
          </w:p>
        </w:tc>
        <w:tc>
          <w:tcPr/>
          <w:p>
            <w:pPr>
              <w:jc w:val="left"/>
            </w:pPr>
            <w:r>
              <w:t xml:space="preserve">id</w:t>
            </w:r>
          </w:p>
        </w:tc>
        <w:tc>
          <w:tcPr/>
          <w:p>
            <w:pPr>
              <w:jc w:val="left"/>
            </w:pPr>
            <w:r>
              <w:t xml:space="preserve">Enables content from Data messages to be interpreted</w:t>
            </w:r>
          </w:p>
        </w:tc>
      </w:tr>
      <w:tr>
        <w:tc>
          <w:tcPr/>
          <w:p>
            <w:pPr>
              <w:jc w:val="left"/>
            </w:pPr>
            <w:r>
              <w:t xml:space="preserve">Parameter</w:t>
            </w:r>
          </w:p>
        </w:tc>
        <w:tc>
          <w:tcPr/>
          <w:p>
            <w:pPr>
              <w:jc w:val="left"/>
            </w:pPr>
            <w:r>
              <w:t xml:space="preserve">unit</w:t>
            </w:r>
          </w:p>
        </w:tc>
        <w:tc>
          <w:tcPr/>
          <w:p>
            <w:pPr>
              <w:jc w:val="left"/>
            </w:pPr>
            <w:r>
              <w:t xml:space="preserve">Critical to hub interpretation of received data</w:t>
            </w:r>
          </w:p>
        </w:tc>
      </w:tr>
      <w:tr>
        <w:tc>
          <w:tcPr/>
          <w:p>
            <w:pPr>
              <w:jc w:val="left"/>
            </w:pPr>
            <w:r>
              <w:t xml:space="preserve">Parameter</w:t>
            </w:r>
          </w:p>
        </w:tc>
        <w:tc>
          <w:tcPr/>
          <w:p>
            <w:pPr>
              <w:jc w:val="left"/>
            </w:pPr>
            <w:r>
              <w:t xml:space="preserve">DeviceRef</w:t>
            </w:r>
          </w:p>
        </w:tc>
        <w:tc>
          <w:tcPr/>
          <w:p>
            <w:pPr>
              <w:jc w:val="left"/>
            </w:pPr>
            <w:r>
              <w:t xml:space="preserve">Enables sensors/observers to be matched to their data</w:t>
            </w:r>
          </w:p>
        </w:tc>
      </w:tr>
    </w:tbl>
    <w:p>
      <w:pPr>
        <w:pStyle w:val="BodyText"/>
      </w:pPr>
      <w:r>
        <w:t xml:space="preserve">If machine to machine translation is expected, then the following following additional fields must be included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2639"/>
        <w:gridCol w:w="2639"/>
        <w:gridCol w:w="2640"/>
      </w:tblGrid>
      <w:tr>
        <w:tc>
          <w:tcPr/>
          <w:p>
            <w:pPr>
              <w:jc w:val="left"/>
            </w:pPr>
            <w:r>
              <w:t xml:space="preserve">Message</w:t>
            </w:r>
          </w:p>
        </w:tc>
        <w:tc>
          <w:tcPr/>
          <w:p>
            <w:pPr>
              <w:jc w:val="left"/>
            </w:pPr>
            <w:r>
              <w:t xml:space="preserve">Field</w:t>
            </w:r>
          </w:p>
        </w:tc>
        <w:tc>
          <w:tcPr/>
          <w:p>
            <w:pPr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jc w:val="left"/>
            </w:pPr>
            <w:r>
              <w:t xml:space="preserve">Parameter</w:t>
            </w:r>
          </w:p>
        </w:tc>
        <w:tc>
          <w:tcPr/>
          <w:p>
            <w:pPr>
              <w:jc w:val="left"/>
            </w:pPr>
            <w:r>
              <w:t xml:space="preserve">standardNames</w:t>
            </w:r>
          </w:p>
        </w:tc>
        <w:tc>
          <w:tcPr/>
          <w:p>
            <w:pPr>
              <w:jc w:val="left"/>
            </w:pPr>
            <w:r>
              <w:t xml:space="preserve">Enables machine to machine translation of definition, irrespective of parameter name</w:t>
            </w:r>
          </w:p>
        </w:tc>
      </w:tr>
      <w:tr>
        <w:tc>
          <w:tcPr/>
          <w:p>
            <w:pPr>
              <w:jc w:val="left"/>
            </w:pPr>
            <w:r>
              <w:t xml:space="preserve">Parameter</w:t>
            </w:r>
          </w:p>
        </w:tc>
        <w:tc>
          <w:tcPr/>
          <w:p>
            <w:pPr>
              <w:jc w:val="left"/>
            </w:pPr>
            <w:r>
              <w:t xml:space="preserve">CellMethod</w:t>
            </w:r>
          </w:p>
        </w:tc>
        <w:tc>
          <w:tcPr/>
          <w:p>
            <w:pPr>
              <w:jc w:val="left"/>
            </w:pPr>
            <w:r>
              <w:t xml:space="preserve">If any data processing is done at the edge, this enables for example the mean and standard deviation to be differentiated (as they will have the same standardNames, units)</w:t>
            </w:r>
          </w:p>
        </w:tc>
      </w:tr>
    </w:tbl>
    <w:bookmarkEnd w:id="86"/>
    <w:bookmarkStart w:id="87" w:name="X2d24584098e18fb4e4815069e90e0c66f76d4bf"/>
    <w:p>
      <w:pPr>
        <w:pStyle w:val="Heading3"/>
      </w:pPr>
      <w:r>
        <w:t xml:space="preserve">Transmission triggers</w:t>
      </w:r>
    </w:p>
    <w:p>
      <w:pPr>
        <w:pStyle w:val="FirstParagraph"/>
      </w:pPr>
      <w:r>
        <w:t xml:space="preserve">The hub is unable to process any Data Messages without a current Metadata Message.</w:t>
      </w:r>
    </w:p>
    <w:bookmarkEnd w:id="87"/>
    <w:bookmarkStart w:id="88" w:name="Xc08c3f97358665ad80e052d359aa8e7d740399f"/>
    <w:p>
      <w:pPr>
        <w:pStyle w:val="Heading3"/>
      </w:pPr>
      <w:r>
        <w:t xml:space="preserve">Retained messages</w:t>
      </w:r>
    </w:p>
    <w:bookmarkEnd w:id="88"/>
    <w:bookmarkEnd w:id="89"/>
    <w:bookmarkStart w:id="92" w:name="X94c42d1026bc9cbf875ef27a8ee5aa2115c489b"/>
    <w:p>
      <w:pPr>
        <w:pStyle w:val="Heading2"/>
      </w:pPr>
      <w:r>
        <w:t xml:space="preserve">Data publication</w:t>
      </w:r>
    </w:p>
    <w:bookmarkStart w:id="90" w:name="Xf012bb4b62f95090cab5ed31e75e9747030e6d6"/>
    <w:p>
      <w:pPr>
        <w:pStyle w:val="Heading3"/>
      </w:pPr>
      <w:r>
        <w:t xml:space="preserve">Mandatory fields</w:t>
      </w:r>
    </w:p>
    <w:bookmarkEnd w:id="90"/>
    <w:bookmarkStart w:id="91" w:name="X6b08de6163defc77c2126fb4126eda12a7d5c5a"/>
    <w:p>
      <w:pPr>
        <w:pStyle w:val="Heading3"/>
      </w:pPr>
      <w:r>
        <w:t xml:space="preserve">Observation timestamps</w:t>
      </w:r>
    </w:p>
    <w:bookmarkEnd w:id="91"/>
    <w:bookmarkEnd w:id="92"/>
    <w:bookmarkStart w:id="93" w:name="Xdd844d57cc79a12bd29f40a093d0e39ad0685da"/>
    <w:p>
      <w:pPr>
        <w:pStyle w:val="Heading2"/>
      </w:pPr>
      <w:r>
        <w:t xml:space="preserve">Device identification</w:t>
      </w:r>
    </w:p>
    <w:bookmarkEnd w:id="93"/>
    <w:bookmarkEnd w:id="94"/>
    <w:bookmarkStart w:id="95" w:name="X87c94a1236b9a0be905993df5d58a43fd469646"/>
    <w:p>
      <w:pPr>
        <w:pStyle w:val="Heading1"/>
      </w:pPr>
      <w:r>
        <w:t xml:space="preserve">Data receiver (structure TBD)</w:t>
      </w:r>
    </w:p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2026-05-07T20:17:41Z</dcterms:created>
  <dcterms:modified xsi:type="dcterms:W3CDTF">2026-05-07T20:17:41Z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2026-05-07</vt:lpwstr>
  </property>
</Properties>
</file>