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Collection</w:t>
      </w:r>
      <w:r>
        <w:t xml:space="preserve"> </w:t>
      </w:r>
      <w:r>
        <w:t xml:space="preserve">Guide</w:t>
      </w:r>
    </w:p>
    <w:p>
      <w:pPr>
        <w:pStyle w:val="Date"/>
      </w:pPr>
      <w:r>
        <w:t xml:space="preserve">2026-06-15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https://wmo-im.github.io/first-mile-guide/first-mile-guide/first-mile-guide-DRAFT.html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c8210088bf4711be4456d26326179eb58b8f5b4"/>
    <w:p>
      <w:pPr>
        <w:pStyle w:val="Heading1"/>
      </w:pPr>
      <w:r>
        <w:t xml:space="preserve">Scope</w:t>
      </w:r>
    </w:p>
    <w:bookmarkEnd w:id="25"/>
    <w:bookmarkStart w:id="32" w:name="X859b073d7e5a95a337a680b453cd9ab10fc927d"/>
    <w:p>
      <w:pPr>
        <w:pStyle w:val="Heading1"/>
      </w:pPr>
      <w:r>
        <w:t xml:space="preserve">Conformance</w:t>
      </w:r>
    </w:p>
    <w:bookmarkStart w:id="31" w:name="X95453ac46235389615ae4c7fa5db07d307ceeeb"/>
    <w:p>
      <w:pPr>
        <w:pStyle w:val="Heading2"/>
      </w:pPr>
      <w:r>
        <w:t xml:space="preserve">Conformance Classes</w:t>
      </w:r>
    </w:p>
    <w:bookmarkStart w:id="26" w:name="X646ab08e6bca8943f243683fcd8f6523f801bd0"/>
    <w:p>
      <w:pPr>
        <w:pStyle w:val="Heading3"/>
      </w:pPr>
      <w:r>
        <w:t xml:space="preserve">Requirements Class: Core Data Model</w:t>
      </w:r>
    </w:p>
    <w:bookmarkEnd w:id="26"/>
    <w:bookmarkStart w:id="27" w:name="X64312687e0dd28141dab4939a855dfe209e77d4"/>
    <w:p>
      <w:pPr>
        <w:pStyle w:val="Heading3"/>
      </w:pPr>
      <w:r>
        <w:t xml:space="preserve">Requirements Class: Standard Name Binding</w:t>
      </w:r>
    </w:p>
    <w:bookmarkEnd w:id="27"/>
    <w:bookmarkStart w:id="28" w:name="X6ab12899376edf358ff4c559472288b7664d758"/>
    <w:p>
      <w:pPr>
        <w:pStyle w:val="Heading3"/>
      </w:pPr>
      <w:r>
        <w:t xml:space="preserve">Requirements Class: MQTT Protocol Binding</w:t>
      </w:r>
    </w:p>
    <w:bookmarkEnd w:id="28"/>
    <w:bookmarkStart w:id="29" w:name="X432d8ee338d691b03f62835f27a19b55dd2e86e"/>
    <w:p>
      <w:pPr>
        <w:pStyle w:val="Heading3"/>
      </w:pPr>
      <w:r>
        <w:t xml:space="preserve">Requirements Class: Node</w:t>
      </w:r>
    </w:p>
    <w:bookmarkEnd w:id="29"/>
    <w:bookmarkStart w:id="30" w:name="X318c5ecd7c0580fafe0acb90d765ddaa79def9d"/>
    <w:p>
      <w:pPr>
        <w:pStyle w:val="Heading3"/>
      </w:pPr>
      <w:r>
        <w:t xml:space="preserve">Requirements Class: Host</w:t>
      </w:r>
    </w:p>
    <w:bookmarkEnd w:id="30"/>
    <w:bookmarkEnd w:id="31"/>
    <w:bookmarkEnd w:id="32"/>
    <w:bookmarkStart w:id="33" w:name="X006c9d3b6667aaf06958882560708ea28cb1739"/>
    <w:p>
      <w:pPr>
        <w:pStyle w:val="Heading1"/>
      </w:pPr>
      <w:r>
        <w:t xml:space="preserve">Normative references</w:t>
      </w:r>
    </w:p>
    <w:bookmarkEnd w:id="33"/>
    <w:bookmarkStart w:id="46" w:name="Xd5582cd57372740036a424fe6cab6ad90ab568a"/>
    <w:p>
      <w:pPr>
        <w:pStyle w:val="Heading1"/>
      </w:pPr>
      <w:r>
        <w:t xml:space="preserve">Terms, definitions and abbreviations</w:t>
      </w:r>
    </w:p>
    <w:bookmarkStart w:id="44" w:name="Xf17c8383fae2ebb7cd7431905910c5a97b905d8"/>
    <w:p>
      <w:pPr>
        <w:pStyle w:val="Heading2"/>
      </w:pPr>
      <w:r>
        <w:t xml:space="preserve">Terms and definitions</w:t>
      </w:r>
    </w:p>
    <w:bookmarkStart w:id="34" w:name="Xcb6c7e9c4822e4385288cb0297183304786108e"/>
    <w:p>
      <w:pPr>
        <w:pStyle w:val="Heading3"/>
      </w:pPr>
      <w:r>
        <w:t xml:space="preserve">First mile</w:t>
      </w:r>
    </w:p>
    <w:bookmarkEnd w:id="34"/>
    <w:bookmarkStart w:id="35" w:name="X55ef750d99e95876a16cf5c6a6e7374568044c1"/>
    <w:p>
      <w:pPr>
        <w:pStyle w:val="Heading3"/>
      </w:pPr>
      <w:r>
        <w:t xml:space="preserve">Node device</w:t>
      </w:r>
    </w:p>
    <w:bookmarkEnd w:id="35"/>
    <w:bookmarkStart w:id="36" w:name="X839292c1a045f3fc22ae5b812c0062239c6b5da"/>
    <w:p>
      <w:pPr>
        <w:pStyle w:val="Heading3"/>
      </w:pPr>
      <w:r>
        <w:t xml:space="preserve">Observer device</w:t>
      </w:r>
    </w:p>
    <w:bookmarkEnd w:id="36"/>
    <w:bookmarkStart w:id="37" w:name="X3dd5b6348b7c8cabaa06a4e46e02f6125633375"/>
    <w:p>
      <w:pPr>
        <w:pStyle w:val="Heading3"/>
      </w:pPr>
      <w:r>
        <w:t xml:space="preserve">Observation</w:t>
      </w:r>
    </w:p>
    <w:bookmarkEnd w:id="37"/>
    <w:bookmarkStart w:id="38" w:name="X577630d6c26f797218344715e8d87cfeb328b04"/>
    <w:p>
      <w:pPr>
        <w:pStyle w:val="Heading3"/>
      </w:pPr>
      <w:r>
        <w:t xml:space="preserve">Parameter definition</w:t>
      </w:r>
    </w:p>
    <w:bookmarkEnd w:id="38"/>
    <w:bookmarkStart w:id="39" w:name="X8f1fb64e682958358ede0b244e2b111d22d914d"/>
    <w:p>
      <w:pPr>
        <w:pStyle w:val="Heading3"/>
      </w:pPr>
      <w:r>
        <w:t xml:space="preserve">Cell method</w:t>
      </w:r>
    </w:p>
    <w:bookmarkEnd w:id="39"/>
    <w:bookmarkStart w:id="40" w:name="X21d252061e556901263887ad8c73b4bf7e6fcd9"/>
    <w:p>
      <w:pPr>
        <w:pStyle w:val="Heading3"/>
      </w:pPr>
      <w:r>
        <w:t xml:space="preserve">Cell period</w:t>
      </w:r>
    </w:p>
    <w:bookmarkEnd w:id="40"/>
    <w:bookmarkStart w:id="41" w:name="Xb2c6ca581828d3107bbc351d89e0ec5b54d83da"/>
    <w:p>
      <w:pPr>
        <w:pStyle w:val="Heading3"/>
      </w:pPr>
      <w:r>
        <w:t xml:space="preserve">Empty value</w:t>
      </w:r>
    </w:p>
    <w:bookmarkEnd w:id="41"/>
    <w:bookmarkStart w:id="42" w:name="X9a8bf083cb84847f8d5f7064eaf08f0475256cf"/>
    <w:p>
      <w:pPr>
        <w:pStyle w:val="Heading3"/>
      </w:pPr>
      <w:r>
        <w:t xml:space="preserve">Standard name</w:t>
      </w:r>
    </w:p>
    <w:bookmarkEnd w:id="42"/>
    <w:bookmarkStart w:id="43" w:name="Xfc0b80871eb798be7b7c67dc681dffb81a86689"/>
    <w:p>
      <w:pPr>
        <w:pStyle w:val="Heading3"/>
      </w:pPr>
      <w:r>
        <w:t xml:space="preserve">Namespace</w:t>
      </w:r>
    </w:p>
    <w:bookmarkEnd w:id="43"/>
    <w:bookmarkEnd w:id="44"/>
    <w:bookmarkStart w:id="45" w:name="X6b29db19483545f8f9a43ff322b99ed5bd7e3a6"/>
    <w:p>
      <w:pPr>
        <w:pStyle w:val="Heading2"/>
      </w:pPr>
      <w:r>
        <w:t xml:space="preserve">Abbreviations</w:t>
      </w:r>
    </w:p>
    <w:p>
      <w:pPr>
        <w:numPr>
          <w:ilvl w:val="0"/>
          <w:numId w:val="1001"/>
        </w:numPr>
      </w:pPr>
      <w:r>
        <w:t xml:space="preserve">CF</w:t>
      </w:r>
    </w:p>
    <w:p>
      <w:pPr>
        <w:numPr>
          <w:ilvl w:val="0"/>
          <w:numId w:val="1001"/>
        </w:numPr>
      </w:pPr>
      <w:r>
        <w:t xml:space="preserve">HMEI</w:t>
      </w:r>
    </w:p>
    <w:p>
      <w:pPr>
        <w:numPr>
          <w:ilvl w:val="0"/>
          <w:numId w:val="1001"/>
        </w:numPr>
      </w:pPr>
      <w:r>
        <w:t xml:space="preserve">INFCOM</w:t>
      </w:r>
    </w:p>
    <w:p>
      <w:pPr>
        <w:numPr>
          <w:ilvl w:val="0"/>
          <w:numId w:val="1001"/>
        </w:numPr>
      </w:pPr>
      <w:r>
        <w:t xml:space="preserve">MQTT</w:t>
      </w:r>
    </w:p>
    <w:p>
      <w:pPr>
        <w:numPr>
          <w:ilvl w:val="0"/>
          <w:numId w:val="1001"/>
        </w:numPr>
      </w:pPr>
      <w:r>
        <w:t xml:space="preserve">protobuf</w:t>
      </w:r>
    </w:p>
    <w:p>
      <w:pPr>
        <w:numPr>
          <w:ilvl w:val="0"/>
          <w:numId w:val="1001"/>
        </w:numPr>
      </w:pPr>
      <w:r>
        <w:t xml:space="preserve">QoS</w:t>
      </w:r>
    </w:p>
    <w:p>
      <w:pPr>
        <w:numPr>
          <w:ilvl w:val="0"/>
          <w:numId w:val="1001"/>
        </w:numPr>
      </w:pPr>
      <w:r>
        <w:t xml:space="preserve">SC-IMT</w:t>
      </w:r>
    </w:p>
    <w:p>
      <w:pPr>
        <w:numPr>
          <w:ilvl w:val="0"/>
          <w:numId w:val="1001"/>
        </w:numPr>
      </w:pPr>
      <w:r>
        <w:t xml:space="preserve">WMO</w:t>
      </w:r>
    </w:p>
    <w:bookmarkEnd w:id="45"/>
    <w:bookmarkEnd w:id="46"/>
    <w:bookmarkStart w:id="50" w:name="X092135ba5a88783865c456c6e3593fb42502819"/>
    <w:p>
      <w:pPr>
        <w:pStyle w:val="Heading1"/>
      </w:pPr>
      <w:r>
        <w:t xml:space="preserve">Conventions</w:t>
      </w:r>
    </w:p>
    <w:bookmarkStart w:id="47" w:name="X945af8d3d835d9bfa055da55970a8304612c3ef"/>
    <w:p>
      <w:pPr>
        <w:pStyle w:val="Heading2"/>
      </w:pPr>
      <w:r>
        <w:t xml:space="preserve">Schema notation (Protocol Buffers v3)</w:t>
      </w:r>
    </w:p>
    <w:bookmarkEnd w:id="47"/>
    <w:bookmarkStart w:id="48" w:name="Xc477c1b95c4c34f6071d182fb5619d7b7524115"/>
    <w:p>
      <w:pPr>
        <w:pStyle w:val="Heading2"/>
      </w:pPr>
      <w:r>
        <w:t xml:space="preserve">Requirements, recommendations and permissions</w:t>
      </w:r>
    </w:p>
    <w:bookmarkEnd w:id="48"/>
    <w:bookmarkStart w:id="49" w:name="Xfba110af0e2726c334fba24c31d62dd5f8af371"/>
    <w:p>
      <w:pPr>
        <w:pStyle w:val="Heading2"/>
      </w:pPr>
      <w:r>
        <w:t xml:space="preserve">Namespace and identifier conventions</w:t>
      </w:r>
    </w:p>
    <w:bookmarkEnd w:id="49"/>
    <w:bookmarkEnd w:id="50"/>
    <w:bookmarkStart w:id="54" w:name="Xc683cc3eb5f62f1b2665ffbeddec6924032d7d2"/>
    <w:p>
      <w:pPr>
        <w:pStyle w:val="Heading1"/>
      </w:pPr>
      <w:r>
        <w:t xml:space="preserve">Overview (informative)</w:t>
      </w:r>
    </w:p>
    <w:p>
      <w:pPr>
        <w:pStyle w:val="FirstParagraph"/>
      </w:pPr>
      <w:r>
        <w:t xml:space="preserve">This clause provides a high-level view of the First-Mile Data Collection Guide. Communication is strictly unidirectional, with the Node transmitting protobuf payloads over MQTT to the Host.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w:t>
      </w:r>
    </w:p>
    <w:bookmarkStart w:id="51" w:name="X961aebdbdb5906a05af74af8407e8ac6ecf2ffb"/>
    <w:p>
      <w:pPr>
        <w:pStyle w:val="Heading2"/>
      </w:pPr>
      <w:r>
        <w:t xml:space="preserve">System architecture</w:t>
      </w:r>
    </w:p>
    <w:p>
      <w:pPr>
        <w:pStyle w:val="FirstParagraph"/>
      </w:pPr>
      <w:r>
        <w:t xml:space="preserve">The Node represents the remote station or logger through a Node Device and may describe attached sensors as Observer Device entries. The</w:t>
      </w:r>
      <w:r>
        <w:t xml:space="preserve"> </w:t>
      </w:r>
      <w:r>
        <w:rPr>
          <w:rStyle w:val="VerbatimChar"/>
        </w:rPr>
        <w:t xml:space="preserve">Metadata</w:t>
      </w:r>
      <w:r>
        <w:t xml:space="preserve"> </w:t>
      </w:r>
      <w:r>
        <w:t xml:space="preserve">message carries the Node Device, Observer Device, Parameter Definition, and namespace information, while the</w:t>
      </w:r>
      <w:r>
        <w:t xml:space="preserve"> </w:t>
      </w:r>
      <w:r>
        <w:rPr>
          <w:rStyle w:val="VerbatimChar"/>
        </w:rPr>
        <w:t xml:space="preserve">Data</w:t>
      </w:r>
      <w:r>
        <w:t xml:space="preserve"> </w:t>
      </w:r>
      <w:r>
        <w:t xml:space="preserve">message carries one or more Observation instances that refer to those Parameter Definition identifiers. Detailed message structure is described in Clause 7, standard name binding in Clause 8, and MQTT protocol binding in Clause 9.</w:t>
      </w:r>
    </w:p>
    <w:p>
      <w:pPr>
        <w:pStyle w:val="SourceCode"/>
      </w:pPr>
      <w:r>
        <w:rPr>
          <w:rStyle w:val="VerbatimChar"/>
        </w:rPr>
        <w:t xml:space="preserve"> +-------------------+            +-------------------+</w:t>
      </w:r>
      <w:r>
        <w:br/>
      </w:r>
      <w:r>
        <w:rPr>
          <w:rStyle w:val="VerbatimChar"/>
        </w:rPr>
        <w:t xml:space="preserve">    | Node A            |            | Node B            |</w:t>
      </w:r>
      <w:r>
        <w:br/>
      </w:r>
      <w:r>
        <w:rPr>
          <w:rStyle w:val="VerbatimChar"/>
        </w:rPr>
        <w:t xml:space="preserve">    | Node Device       |            | Node Device       |</w:t>
      </w:r>
      <w:r>
        <w:br/>
      </w:r>
      <w:r>
        <w:rPr>
          <w:rStyle w:val="VerbatimChar"/>
        </w:rPr>
        <w:t xml:space="preserve">    | + Observers       |            | + Observers       |</w:t>
      </w:r>
      <w:r>
        <w:br/>
      </w:r>
      <w:r>
        <w:rPr>
          <w:rStyle w:val="VerbatimChar"/>
        </w:rPr>
        <w:t xml:space="preserve">    +-------------------+            +-------------------+</w:t>
      </w:r>
      <w:r>
        <w:br/>
      </w:r>
      <w:r>
        <w:rPr>
          <w:rStyle w:val="VerbatimChar"/>
        </w:rPr>
        <w:t xml:space="preserve">              |                                |</w:t>
      </w:r>
      <w:r>
        <w:br/>
      </w:r>
      <w:r>
        <w:rPr>
          <w:rStyle w:val="VerbatimChar"/>
        </w:rPr>
        <w:t xml:space="preserve">              | Metadata and Data messages     | Metadata and Data messages</w:t>
      </w:r>
      <w:r>
        <w:br/>
      </w:r>
      <w:r>
        <w:rPr>
          <w:rStyle w:val="VerbatimChar"/>
        </w:rPr>
        <w:t xml:space="preserve">              | over MQTT                      | over MQTT</w:t>
      </w:r>
      <w:r>
        <w:br/>
      </w:r>
      <w:r>
        <w:rPr>
          <w:rStyle w:val="VerbatimChar"/>
        </w:rPr>
        <w:t xml:space="preserve">              v                                v</w:t>
      </w:r>
      <w:r>
        <w:br/>
      </w:r>
      <w:r>
        <w:rPr>
          <w:rStyle w:val="VerbatimChar"/>
        </w:rPr>
        <w:t xml:space="preserve">    +----------------------------------------------------------+</w:t>
      </w:r>
      <w:r>
        <w:br/>
      </w:r>
      <w:r>
        <w:rPr>
          <w:rStyle w:val="VerbatimChar"/>
        </w:rPr>
        <w:t xml:space="preserve">    |                         Host                             |</w:t>
      </w:r>
      <w:r>
        <w:br/>
      </w:r>
      <w:r>
        <w:rPr>
          <w:rStyle w:val="VerbatimChar"/>
        </w:rPr>
        <w:t xml:space="preserve">    | Receives, decodes, and interprets protobuf payloads      |</w:t>
      </w:r>
      <w:r>
        <w:br/>
      </w:r>
      <w:r>
        <w:rPr>
          <w:rStyle w:val="VerbatimChar"/>
        </w:rPr>
        <w:t xml:space="preserve">    +----------------------------------------------------------+</w:t>
      </w:r>
      <w:r>
        <w:br/>
      </w:r>
      <w:r>
        <w:br/>
      </w:r>
      <w:r>
        <w:rPr>
          <w:rStyle w:val="VerbatimChar"/>
        </w:rPr>
        <w:t xml:space="preserve">                  Multiple Nodes may publish</w:t>
      </w:r>
      <w:r>
        <w:br/>
      </w:r>
      <w:r>
        <w:rPr>
          <w:rStyle w:val="VerbatimChar"/>
        </w:rPr>
        <w:t xml:space="preserve">                  to a single Host.</w:t>
      </w:r>
    </w:p>
    <w:bookmarkEnd w:id="51"/>
    <w:bookmarkStart w:id="52" w:name="X770fa29b64d56b71c44a849f2807d40b1e1388b"/>
    <w:p>
      <w:pPr>
        <w:pStyle w:val="Heading2"/>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52"/>
    <w:bookmarkStart w:id="53" w:name="Xeb3755b0f5fc801b9ca59eeff88831d7e633675"/>
    <w:p>
      <w:pPr>
        <w:pStyle w:val="Heading2"/>
      </w:pPr>
      <w:r>
        <w:t xml:space="preserve">Conformance class summary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Conformance class</w:t>
            </w:r>
          </w:p>
        </w:tc>
        <w:tc>
          <w:tcPr/>
          <w:p>
            <w:pPr>
              <w:pStyle w:val="Compact"/>
              <w:jc w:val="left"/>
            </w:pPr>
            <w:r>
              <w:t xml:space="preserve">Summary</w:t>
            </w:r>
          </w:p>
        </w:tc>
      </w:tr>
      <w:tr>
        <w:tc>
          <w:tcPr/>
          <w:p>
            <w:pPr>
              <w:jc w:val="left"/>
            </w:pPr>
            <w:r>
              <w:t xml:space="preserve">Core Data Model</w:t>
            </w:r>
          </w:p>
        </w:tc>
        <w:tc>
          <w:tcPr/>
          <w:p>
            <w:pPr>
              <w:jc w:val="left"/>
            </w:pPr>
            <w:r>
              <w:t xml:space="preserve">Covers the protobuf structure and semantics of the</w:t>
            </w:r>
            <w:r>
              <w:t xml:space="preserve"> </w:t>
            </w:r>
            <w:r>
              <w:rPr>
                <w:rStyle w:val="VerbatimChar"/>
              </w:rPr>
              <w:t xml:space="preserve">Data</w:t>
            </w:r>
            <w:r>
              <w:t xml:space="preserve"> </w:t>
            </w:r>
            <w:r>
              <w:t xml:space="preserve">message,</w:t>
            </w:r>
            <w:r>
              <w:t xml:space="preserve"> </w:t>
            </w:r>
            <w:r>
              <w:rPr>
                <w:rStyle w:val="VerbatimChar"/>
              </w:rPr>
              <w:t xml:space="preserve">Metadata</w:t>
            </w:r>
            <w:r>
              <w:t xml:space="preserve"> </w:t>
            </w:r>
            <w:r>
              <w:t xml:space="preserve">message, Observation content, devices, Parameter Definition content, and explicit missing values.</w:t>
            </w:r>
          </w:p>
        </w:tc>
      </w:tr>
      <w:tr>
        <w:tc>
          <w:tcPr/>
          <w:p>
            <w:pPr>
              <w:jc w:val="left"/>
            </w:pPr>
            <w:r>
              <w:t xml:space="preserve">Standard Name Binding</w:t>
            </w:r>
          </w:p>
        </w:tc>
        <w:tc>
          <w:tcPr/>
          <w:p>
            <w:pPr>
              <w:jc w:val="left"/>
            </w:pPr>
            <w:r>
              <w:t xml:space="preserve">Covers how Parameter Definition entries associate parameters with controlled standard-name vocabularies and namespaces.</w:t>
            </w:r>
          </w:p>
        </w:tc>
      </w:tr>
      <w:tr>
        <w:tc>
          <w:tcPr/>
          <w:p>
            <w:pPr>
              <w:jc w:val="left"/>
            </w:pPr>
            <w:r>
              <w:t xml:space="preserve">MQTT Protocol Binding</w:t>
            </w:r>
          </w:p>
        </w:tc>
        <w:tc>
          <w:tcPr/>
          <w:p>
            <w:pPr>
              <w:jc w:val="left"/>
            </w:pPr>
            <w:r>
              <w:t xml:space="preserve">Covers how protobuf payloads are conveyed over MQTT in the unidirectional exchange between Node and Host.</w:t>
            </w:r>
          </w:p>
        </w:tc>
      </w:tr>
      <w:tr>
        <w:tc>
          <w:tcPr/>
          <w:p>
            <w:pPr>
              <w:jc w:val="left"/>
            </w:pPr>
            <w:r>
              <w:t xml:space="preserve">Node</w:t>
            </w:r>
          </w:p>
        </w:tc>
        <w:tc>
          <w:tcPr/>
          <w:p>
            <w:pPr>
              <w:jc w:val="left"/>
            </w:pPr>
            <w:r>
              <w:t xml:space="preserve">Covers the sender-side behavior for constructing and publishing</w:t>
            </w:r>
            <w:r>
              <w:t xml:space="preserve"> </w:t>
            </w:r>
            <w:r>
              <w:rPr>
                <w:rStyle w:val="VerbatimChar"/>
              </w:rPr>
              <w:t xml:space="preserve">Metadata</w:t>
            </w:r>
            <w:r>
              <w:t xml:space="preserve"> </w:t>
            </w:r>
            <w:r>
              <w:t xml:space="preserve">message and</w:t>
            </w:r>
            <w:r>
              <w:t xml:space="preserve"> </w:t>
            </w:r>
            <w:r>
              <w:rPr>
                <w:rStyle w:val="VerbatimChar"/>
              </w:rPr>
              <w:t xml:space="preserve">Data</w:t>
            </w:r>
            <w:r>
              <w:t xml:space="preserve"> </w:t>
            </w:r>
            <w:r>
              <w:t xml:space="preserve">message payloads.</w:t>
            </w:r>
          </w:p>
        </w:tc>
      </w:tr>
      <w:tr>
        <w:tc>
          <w:tcPr/>
          <w:p>
            <w:pPr>
              <w:jc w:val="left"/>
            </w:pPr>
            <w:r>
              <w:t xml:space="preserve">Host</w:t>
            </w:r>
          </w:p>
        </w:tc>
        <w:tc>
          <w:tcPr/>
          <w:p>
            <w:pPr>
              <w:jc w:val="left"/>
            </w:pPr>
            <w:r>
              <w:t xml:space="preserve">Covers the receiver-side behavior for accepting, decoding, and interpreting payloads received from the Node.</w:t>
            </w:r>
          </w:p>
        </w:tc>
      </w:tr>
    </w:tbl>
    <w:bookmarkEnd w:id="53"/>
    <w:bookmarkEnd w:id="54"/>
    <w:bookmarkStart w:id="70" w:name="X2453d44324f3ab4425f5a3139d374ff16f126f9"/>
    <w:p>
      <w:pPr>
        <w:pStyle w:val="Heading1"/>
      </w:pPr>
      <w:r>
        <w:t xml:space="preserve">First-Mile MQTT protocol binding</w:t>
      </w:r>
    </w:p>
    <w:p>
      <w:pPr>
        <w:numPr>
          <w:ilvl w:val="0"/>
          <w:numId w:val="1002"/>
        </w:numPr>
      </w:pPr>
      <w:r>
        <w:t xml:space="preserve">The MQTT protocol</w:t>
      </w:r>
      <w:r>
        <w:t xml:space="preserve"> </w:t>
      </w:r>
      <w:r>
        <w:rPr>
          <w:rStyle w:val="FootnoteReference"/>
        </w:rPr>
        <w:footnoteReference w:id="55"/>
      </w:r>
      <w:r>
        <w:t xml:space="preserve"> </w:t>
      </w:r>
      <w:r>
        <w:t xml:space="preserve">is to be used for all firstmile data management workflows (publication and subscription).</w:t>
      </w:r>
    </w:p>
    <w:p>
      <w:pPr>
        <w:numPr>
          <w:ilvl w:val="0"/>
          <w:numId w:val="1002"/>
        </w:numPr>
      </w:pPr>
      <w:r>
        <w:t xml:space="preserve">MQTT v5.0 is the chosen protocols for the publication of and subscription</w:t>
      </w:r>
    </w:p>
    <w:p>
      <w:pPr>
        <w:numPr>
          <w:ilvl w:val="0"/>
          <w:numId w:val="1002"/>
        </w:numPr>
      </w:pPr>
      <w:r>
        <w:t xml:space="preserve">To improve the overall level of security of firstmile systems, the secure version of the MQTT protocol is preferred. If used, the certificate must be valid.</w:t>
      </w:r>
    </w:p>
    <w:p>
      <w:pPr>
        <w:numPr>
          <w:ilvl w:val="0"/>
          <w:numId w:val="1002"/>
        </w:numPr>
      </w:pPr>
      <w:r>
        <w:t xml:space="preserve">The standard Transmission Control Protocol (TCP) ports to be used are 8883 for Secure MQTT (MQTTS) and 443 for Secure Web Socket (WSS).</w:t>
      </w:r>
    </w:p>
    <w:bookmarkStart w:id="67" w:name="Xef38df7e73b3f88a05da988ced520fce4f23d88"/>
    <w:p>
      <w:pPr>
        <w:pStyle w:val="Heading2"/>
      </w:pPr>
      <w:r>
        <w:t xml:space="preserve">First-Mile Topic Hierarchy</w:t>
      </w:r>
    </w:p>
    <w:p>
      <w:pPr>
        <w:pStyle w:val="FirstParagraph"/>
      </w:pPr>
      <w:r>
        <w:t xml:space="preserve">The First-Mile Topic Hierarchy (FMTH) provides a mechanism for systems and operators to publish</w:t>
      </w:r>
      <w:r>
        <w:t xml:space="preserve"> </w:t>
      </w:r>
      <w:r>
        <w:t xml:space="preserve">and subscribe to data or metadata notifications originating from first-mile compliant environments.</w:t>
      </w:r>
      <w:r>
        <w:t xml:space="preserve"> </w:t>
      </w:r>
      <w:r>
        <w:t xml:space="preserve">It is used by first-mile brokers, nodes and hubs platform.</w:t>
      </w:r>
    </w:p>
    <w:p>
      <w:pPr>
        <w:pStyle w:val="BodyText"/>
      </w:pPr>
      <w:r>
        <w:t xml:space="preserve">The normative provisions in the FMTH are denoted by the base Uniform Resource Identifier (URI)</w:t>
      </w:r>
      <w:r>
        <w:t xml:space="preserve"> </w:t>
      </w:r>
      <w:r>
        <w:rPr>
          <w:rStyle w:val="VerbatimChar"/>
        </w:rPr>
        <w:t xml:space="preserve">http://wis.wmo.int/spec/fmth/1</w:t>
      </w:r>
      <w:r>
        <w:t xml:space="preserve"> </w:t>
      </w:r>
      <w:r>
        <w:t xml:space="preserve">and requirements are denoted by partial URIs which are</w:t>
      </w:r>
      <w:r>
        <w:t xml:space="preserve"> </w:t>
      </w:r>
      <w:r>
        <w:t xml:space="preserve">relative to this base.</w:t>
      </w:r>
      <w:r>
        <w:t xml:space="preserve"> </w:t>
      </w:r>
      <w:r>
        <w:t xml:space="preserve">Topics, values and examples are represented with</w:t>
      </w:r>
      <w:r>
        <w:t xml:space="preserve"> </w:t>
      </w:r>
      <w:r>
        <w:rPr>
          <w:rStyle w:val="VerbatimChar"/>
        </w:rPr>
        <w:t xml:space="preserve">shaded text</w:t>
      </w:r>
      <w:r>
        <w:t xml:space="preserve">.</w:t>
      </w:r>
    </w:p>
    <w:bookmarkStart w:id="66" w:name="Xc611a964beb495a3176cf5648cb298f9a790efa"/>
    <w:p>
      <w:pPr>
        <w:pStyle w:val="Heading3"/>
      </w:pPr>
      <w:r>
        <w:t xml:space="preserve">1. Requirements Class Core</w:t>
      </w:r>
    </w:p>
    <w:bookmarkStart w:id="60" w:name="X6882ee2305ed0bcb4e6f62874ab8aa8c3d945bc"/>
    <w:p>
      <w:pPr>
        <w:pStyle w:val="Heading4"/>
      </w:pPr>
      <w:r>
        <w:t xml:space="preserve">1.1 Overview</w:t>
      </w:r>
    </w:p>
    <w:tbl>
      <w:tblPr>
        <w:tblStyle w:val="Table"/>
        <w:tblW w:type="pct" w:w="5000"/>
        <w:tblLook w:firstRow="1" w:lastRow="0" w:firstColumn="0" w:lastColumn="0" w:noHBand="0" w:noVBand="0" w:val="0020"/>
        <w:jc w:val="start"/>
      </w:tblPr>
      <w:tblGrid>
        <w:gridCol w:w="1584"/>
        <w:gridCol w:w="6336"/>
      </w:tblGrid>
      <w:tr>
        <w:trPr>
          <w:tblHeader w:val="true"/>
        </w:trPr>
        <w:tc>
          <w:tcPr/>
          <w:p>
            <w:pPr>
              <w:pStyle w:val="Compact"/>
              <w:jc w:val="left"/>
            </w:pPr>
            <w:r>
              <w:t xml:space="preserve">URI</w:t>
            </w:r>
          </w:p>
        </w:tc>
        <w:tc>
          <w:tcPr/>
          <w:p>
            <w:pPr>
              <w:pStyle w:val="Compact"/>
              <w:jc w:val="left"/>
            </w:pPr>
            <w:hyperlink r:id="rId57">
              <w:r>
                <w:rPr>
                  <w:rStyle w:val="Hyperlink"/>
                </w:rPr>
                <w:t xml:space="preserve">http://wis.wmo.int/spec/fmth/1/req/core</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r:id="rId58">
              <w:r>
                <w:rPr>
                  <w:rStyle w:val="Hyperlink"/>
                </w:rPr>
                <w:t xml:space="preserve">MQTT v5.0</w:t>
              </w:r>
            </w:hyperlink>
          </w:p>
        </w:tc>
      </w:tr>
      <w:tr>
        <w:tc>
          <w:tcPr/>
          <w:p>
            <w:pPr>
              <w:jc w:val="left"/>
            </w:pPr>
            <w:r>
              <w:t xml:space="preserve">Dependency</w:t>
            </w:r>
          </w:p>
        </w:tc>
        <w:tc>
          <w:tcPr/>
          <w:p>
            <w:pPr>
              <w:jc w:val="left"/>
            </w:pPr>
            <w:hyperlink r:id="rId59">
              <w:r>
                <w:rPr>
                  <w:rStyle w:val="Hyperlink"/>
                </w:rPr>
                <w:t xml:space="preserve">MQTT v3.1.1</w:t>
              </w:r>
            </w:hyperlink>
          </w:p>
        </w:tc>
      </w:tr>
      <w:tr>
        <w:tc>
          <w:tcPr/>
          <w:p>
            <w:pPr>
              <w:jc w:val="left"/>
            </w:pPr>
            <w:r>
              <w:t xml:space="preserve">Preconditions</w:t>
            </w:r>
          </w:p>
        </w:tc>
        <w:tc>
          <w:tcPr/>
          <w:p>
            <w:pPr>
              <w:jc w:val="left"/>
            </w:pPr>
            <w:r>
              <w:t xml:space="preserve">Topics conform to the Topic Name requirements of MQTT</w:t>
            </w:r>
          </w:p>
        </w:tc>
      </w:tr>
    </w:tbl>
    <w:p>
      <w:pPr>
        <w:pStyle w:val="BodyText"/>
      </w:pPr>
      <w:r>
        <w:t xml:space="preserve">The FMTH is composed of five fixed levels and one notification-type level.</w:t>
      </w:r>
    </w:p>
    <w:p>
      <w:pPr>
        <w:pStyle w:val="BodyText"/>
      </w:pPr>
      <w:r>
        <w:t xml:space="preserve">All levels are mandatory.</w:t>
      </w:r>
      <w:r>
        <w:t xml:space="preserve"> </w:t>
      </w:r>
      <w:r>
        <w:t xml:space="preserve">The representation is encoded as a simple text string of values at each topic level, separated</w:t>
      </w:r>
      <w:r>
        <w:t xml:space="preserve"> </w:t>
      </w:r>
      <w:r>
        <w:t xml:space="preserve">by a slash (</w:t>
      </w:r>
      <w:r>
        <w:rPr>
          <w:rStyle w:val="VerbatimChar"/>
        </w:rPr>
        <w:t xml:space="preserve">/</w:t>
      </w:r>
      <w:r>
        <w:t xml:space="preserve">).</w:t>
      </w:r>
    </w:p>
    <w:p>
      <w:pPr>
        <w:pStyle w:val="BodyText"/>
      </w:pPr>
      <w:r>
        <w:rPr>
          <w:iCs/>
          <w:i/>
        </w:rPr>
        <w:t xml:space="preserve">Examples</w:t>
      </w:r>
      <w:r>
        <w:t xml:space="preserve">:</w:t>
      </w:r>
    </w:p>
    <w:p>
      <w:pPr>
        <w:pStyle w:val="SourceCode"/>
      </w:pPr>
      <w:r>
        <w:rPr>
          <w:rStyle w:val="VerbatimChar"/>
        </w:rPr>
        <w:t xml:space="preserve">``firstmile/a/my-group/station-001/data``</w:t>
      </w:r>
      <w:r>
        <w:br/>
      </w:r>
      <w:r>
        <w:rPr>
          <w:rStyle w:val="VerbatimChar"/>
        </w:rPr>
        <w:t xml:space="preserve">``firstmile/a/my-group/station-001/metadata``</w:t>
      </w:r>
      <w:r>
        <w:br/>
      </w:r>
      <w:r>
        <w:rPr>
          <w:rStyle w:val="VerbatimChar"/>
        </w:rPr>
        <w:t xml:space="preserve">``firstmile/a/relief-ops/camp-alpha/data``</w:t>
      </w:r>
      <w:r>
        <w:br/>
      </w:r>
      <w:r>
        <w:rPr>
          <w:rStyle w:val="VerbatimChar"/>
        </w:rPr>
        <w:t xml:space="preserve">``firstmile/a/relief-ops/camp-alpha/metadata``</w:t>
      </w:r>
    </w:p>
    <w:p>
      <w:pPr>
        <w:pStyle w:val="FirstParagraph"/>
      </w:pPr>
      <w:hyperlink w:anchor="table-fmth-levels">
        <w:r>
          <w:rPr>
            <w:rStyle w:val="Hyperlink"/>
          </w:rPr>
          <w:t xml:space="preserve">FMTH topic levels</w:t>
        </w:r>
      </w:hyperlink>
      <w:r>
        <w:t xml:space="preserve"> </w:t>
      </w:r>
      <w:r>
        <w:t xml:space="preserve">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990"/>
        <w:gridCol w:w="1980"/>
        <w:gridCol w:w="495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rPr>
                <w:rStyle w:val="VerbatimChar"/>
              </w:rPr>
              <w:t xml:space="preserve">channel</w:t>
            </w:r>
          </w:p>
        </w:tc>
        <w:tc>
          <w:tcPr/>
          <w:p>
            <w:pPr>
              <w:jc w:val="left"/>
            </w:pPr>
            <w:r>
              <w:t xml:space="preserve">Fixed value of</w:t>
            </w:r>
            <w:r>
              <w:t xml:space="preserve"> </w:t>
            </w:r>
            <w:r>
              <w:rPr>
                <w:rStyle w:val="VerbatimChar"/>
              </w:rPr>
              <w:t xml:space="preserve">firstmile</w:t>
            </w:r>
            <w:r>
              <w:t xml:space="preserve">, identifying this as a first-mile topic.</w:t>
            </w:r>
          </w:p>
        </w:tc>
      </w:tr>
      <w:tr>
        <w:tc>
          <w:tcPr/>
          <w:p>
            <w:pPr>
              <w:jc w:val="left"/>
            </w:pPr>
            <w:r>
              <w:t xml:space="preserve">2</w:t>
            </w:r>
          </w:p>
        </w:tc>
        <w:tc>
          <w:tcPr/>
          <w:p>
            <w:pPr>
              <w:jc w:val="left"/>
            </w:pPr>
            <w:r>
              <w:rPr>
                <w:rStyle w:val="VerbatimChar"/>
              </w:rPr>
              <w:t xml:space="preserve">version</w:t>
            </w:r>
          </w:p>
        </w:tc>
        <w:tc>
          <w:tcPr/>
          <w:p>
            <w:pPr>
              <w:jc w:val="left"/>
            </w:pPr>
            <w:r>
              <w:t xml:space="preserve">Alphabetical version of the topic hierarchy, currently:</w:t>
            </w:r>
            <w:r>
              <w:t xml:space="preserve"> </w:t>
            </w:r>
            <w:r>
              <w:rPr>
                <w:rStyle w:val="VerbatimChar"/>
              </w:rPr>
              <w:t xml:space="preserve">a</w:t>
            </w:r>
            <w:r>
              <w:t xml:space="preserve">.</w:t>
            </w:r>
          </w:p>
        </w:tc>
      </w:tr>
      <w:tr>
        <w:tc>
          <w:tcPr/>
          <w:p>
            <w:pPr>
              <w:jc w:val="left"/>
            </w:pPr>
            <w:r>
              <w:t xml:space="preserve">3</w:t>
            </w:r>
          </w:p>
        </w:tc>
        <w:tc>
          <w:tcPr/>
          <w:p>
            <w:pPr>
              <w:jc w:val="left"/>
            </w:pPr>
            <w:r>
              <w:rPr>
                <w:rStyle w:val="VerbatimChar"/>
              </w:rPr>
              <w:t xml:space="preserve">group-id</w:t>
            </w:r>
          </w:p>
        </w:tc>
        <w:tc>
          <w:tcPr/>
          <w:p>
            <w:pPr>
              <w:jc w:val="left"/>
            </w:pPr>
            <w:r>
              <w:t xml:space="preserve">Identifier for the group or organisational entity responsible for one or more</w:t>
            </w:r>
            <w:r>
              <w:t xml:space="preserve"> </w:t>
            </w:r>
            <w:r>
              <w:t xml:space="preserve">first-mile nodes. It is a lowercase alphanumeric string; hyphens (</w:t>
            </w:r>
            <w:r>
              <w:rPr>
                <w:rStyle w:val="VerbatimChar"/>
              </w:rPr>
              <w:t xml:space="preserve">-</w:t>
            </w:r>
            <w:r>
              <w:t xml:space="preserve">) may be</w:t>
            </w:r>
            <w:r>
              <w:t xml:space="preserve"> </w:t>
            </w:r>
            <w:r>
              <w:t xml:space="preserve">used to separate words. The value is locally defined and shall be unique</w:t>
            </w:r>
            <w:r>
              <w:t xml:space="preserve"> </w:t>
            </w:r>
            <w:r>
              <w:t xml:space="preserve">within the scope of the broker.</w:t>
            </w:r>
          </w:p>
        </w:tc>
      </w:tr>
      <w:tr>
        <w:tc>
          <w:tcPr/>
          <w:p>
            <w:pPr>
              <w:jc w:val="left"/>
            </w:pPr>
            <w:r>
              <w:t xml:space="preserve">4</w:t>
            </w:r>
          </w:p>
        </w:tc>
        <w:tc>
          <w:tcPr/>
          <w:p>
            <w:pPr>
              <w:jc w:val="left"/>
            </w:pPr>
            <w:r>
              <w:rPr>
                <w:rStyle w:val="VerbatimChar"/>
              </w:rPr>
              <w:t xml:space="preserve">node-id</w:t>
            </w:r>
          </w:p>
        </w:tc>
        <w:tc>
          <w:tcPr/>
          <w:p>
            <w:pPr>
              <w:jc w:val="left"/>
            </w:pPr>
            <w:r>
              <w:t xml:space="preserve">Identifier for the individual first-mile node (e.g. a gateway, an AWS,…​). It is a lowercase alphanumeric string;</w:t>
            </w:r>
            <w:r>
              <w:t xml:space="preserve"> </w:t>
            </w:r>
            <w:r>
              <w:t xml:space="preserve">hyphens (</w:t>
            </w:r>
            <w:r>
              <w:rPr>
                <w:rStyle w:val="VerbatimChar"/>
              </w:rPr>
              <w:t xml:space="preserve">-</w:t>
            </w:r>
            <w:r>
              <w:t xml:space="preserve">) may be used to separate words. The value shall be unique within</w:t>
            </w:r>
            <w:r>
              <w:t xml:space="preserve"> </w:t>
            </w:r>
            <w:r>
              <w:t xml:space="preserve">the</w:t>
            </w:r>
            <w:r>
              <w:t xml:space="preserve"> </w:t>
            </w:r>
            <w:r>
              <w:rPr>
                <w:rStyle w:val="VerbatimChar"/>
              </w:rPr>
              <w:t xml:space="preserve">group-id</w:t>
            </w:r>
            <w:r>
              <w:t xml:space="preserve"> </w:t>
            </w:r>
            <w:r>
              <w:t xml:space="preserve">namespace.</w:t>
            </w:r>
          </w:p>
        </w:tc>
      </w:tr>
      <w:tr>
        <w:tc>
          <w:tcPr/>
          <w:p>
            <w:pPr>
              <w:jc w:val="left"/>
            </w:pPr>
            <w:r>
              <w:t xml:space="preserve">5</w:t>
            </w:r>
          </w:p>
        </w:tc>
        <w:tc>
          <w:tcPr/>
          <w:p>
            <w:pPr>
              <w:jc w:val="left"/>
            </w:pPr>
            <w:r>
              <w:rPr>
                <w:rStyle w:val="VerbatimChar"/>
              </w:rP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60"/>
    <w:bookmarkStart w:id="61" w:name="X762d89de8cb3f3f52c4128fcef39482114de7c2"/>
    <w:p>
      <w:pPr>
        <w:pStyle w:val="Heading4"/>
      </w:pPr>
      <w:r>
        <w:t xml:space="preserve">1.2 Publishing</w:t>
      </w:r>
    </w:p>
    <w:p>
      <w:pPr>
        <w:pStyle w:val="FirstParagraph"/>
      </w:pPr>
      <w:r>
        <w:t xml:space="preserve">Data and metadata notifications shall be published to the exact five-level topic structure defined by the FMTH.</w:t>
      </w:r>
    </w:p>
    <w:p>
      <w:pPr>
        <w:pStyle w:val="BodyText"/>
      </w:pPr>
      <w:r>
        <w:rPr>
          <w:bCs/>
          <w:b/>
        </w:rPr>
        <w:t xml:space="preserve">Examples</w:t>
      </w:r>
    </w:p>
    <w:p>
      <w:pPr>
        <w:pStyle w:val="SourceCode"/>
      </w:pPr>
      <w:r>
        <w:rPr>
          <w:rStyle w:val="VerbatimChar"/>
        </w:rPr>
        <w:t xml:space="preserve">firstmile/a/my-group/station-001/data</w:t>
      </w:r>
      <w:r>
        <w:br/>
      </w:r>
      <w:r>
        <w:rPr>
          <w:rStyle w:val="VerbatimChar"/>
        </w:rPr>
        <w:t xml:space="preserve">firstmile/a/my-group/station-001/metadata</w:t>
      </w:r>
    </w:p>
    <w:tbl>
      <w:tblPr>
        <w:tblStyle w:val="Table"/>
        <w:tblW w:type="pct" w:w="5000"/>
        <w:tblLook w:firstRow="1" w:lastRow="0" w:firstColumn="0" w:lastColumn="0" w:noHBand="0" w:noVBand="0" w:val="0020"/>
        <w:jc w:val="start"/>
      </w:tblPr>
      <w:tblGrid>
        <w:gridCol w:w="609"/>
        <w:gridCol w:w="2436"/>
        <w:gridCol w:w="4873"/>
      </w:tblGrid>
      <w:tr>
        <w:trPr>
          <w:tblHeader w:val="true"/>
        </w:trPr>
        <w:tc>
          <w:tcPr/>
          <w:p>
            <w:pPr>
              <w:pStyle w:val="Compact"/>
              <w:jc w:val="left"/>
            </w:pPr>
            <w:r>
              <w:t xml:space="preserve">Requirement 1</w:t>
            </w:r>
          </w:p>
        </w:tc>
        <w:tc>
          <w:tcPr/>
          <w:p>
            <w:pPr>
              <w:pStyle w:val="Compact"/>
              <w:jc w:val="left"/>
            </w:pPr>
            <w:r>
              <w:rPr>
                <w:rStyle w:val="VerbatimChar"/>
              </w:rPr>
              <w:t xml:space="preserve">/req/core/publishing</w:t>
            </w:r>
          </w:p>
        </w:tc>
        <w:tc>
          <w:tcPr/>
          <w:p>
            <w:pPr>
              <w:pStyle w:val="Compact"/>
            </w:pPr>
          </w:p>
        </w:tc>
      </w:tr>
      <w:tr>
        <w:tc>
          <w:tcPr/>
          <w:p>
            <w:pPr>
              <w:jc w:val="left"/>
            </w:pPr>
            <w:r>
              <w:t xml:space="preserve">A</w:t>
            </w:r>
          </w:p>
        </w:tc>
        <w:tc>
          <w:tcPr/>
          <w:p>
            <w:pPr>
              <w:jc w:val="left"/>
            </w:pPr>
            <w:r>
              <w:t xml:space="preserve">A notification SHALL be published with a topic hierarchy that conforms to the FMTH structure.</w:t>
            </w:r>
          </w:p>
        </w:tc>
        <w:tc>
          <w:tcPr/>
          <w:p>
            <w:pPr>
              <w:pStyle w:val="Compact"/>
            </w:pPr>
          </w:p>
        </w:tc>
      </w:tr>
      <w:tr>
        <w:tc>
          <w:tcPr/>
          <w:p>
            <w:pPr>
              <w:jc w:val="left"/>
            </w:pPr>
            <w:r>
              <w:t xml:space="preserve">B</w:t>
            </w:r>
          </w:p>
        </w:tc>
        <w:tc>
          <w:tcPr/>
          <w:p>
            <w:pPr>
              <w:jc w:val="left"/>
            </w:pPr>
            <w:r>
              <w:t xml:space="preserve">A</w:t>
            </w:r>
            <w:r>
              <w:t xml:space="preserve"> </w:t>
            </w:r>
            <w:r>
              <w:rPr>
                <w:rStyle w:val="VerbatimChar"/>
              </w:rPr>
              <w:t xml:space="preserve">data</w:t>
            </w:r>
            <w:r>
              <w:t xml:space="preserve"> </w:t>
            </w:r>
            <w:r>
              <w:t xml:space="preserve">notification SHALL be published to a topic using the value</w:t>
            </w:r>
            <w:r>
              <w:t xml:space="preserve"> </w:t>
            </w:r>
            <w:r>
              <w:rPr>
                <w:rStyle w:val="VerbatimChar"/>
              </w:rPr>
              <w:t xml:space="preserve">data</w:t>
            </w:r>
            <w:r>
              <w:t xml:space="preserve"> </w:t>
            </w:r>
            <w:r>
              <w:t xml:space="preserve">at level 5.</w:t>
            </w:r>
          </w:p>
        </w:tc>
        <w:tc>
          <w:tcPr/>
          <w:p>
            <w:pPr>
              <w:pStyle w:val="Compact"/>
            </w:pPr>
          </w:p>
        </w:tc>
      </w:tr>
      <w:tr>
        <w:tc>
          <w:tcPr/>
          <w:p>
            <w:pPr>
              <w:jc w:val="left"/>
            </w:pPr>
            <w:r>
              <w:t xml:space="preserve">C</w:t>
            </w:r>
          </w:p>
        </w:tc>
        <w:tc>
          <w:tcPr/>
          <w:p>
            <w:pPr>
              <w:jc w:val="left"/>
            </w:pPr>
            <w:r>
              <w:t xml:space="preserve">A</w:t>
            </w:r>
            <w:r>
              <w:t xml:space="preserve"> </w:t>
            </w:r>
            <w:r>
              <w:rPr>
                <w:rStyle w:val="VerbatimChar"/>
              </w:rPr>
              <w:t xml:space="preserve">metadata</w:t>
            </w:r>
            <w:r>
              <w:t xml:space="preserve"> </w:t>
            </w:r>
            <w:r>
              <w:t xml:space="preserve">notification SHALL be published to a topic using the value</w:t>
            </w:r>
            <w:r>
              <w:t xml:space="preserve"> </w:t>
            </w:r>
            <w:r>
              <w:rPr>
                <w:rStyle w:val="VerbatimChar"/>
              </w:rPr>
              <w:t xml:space="preserve">metadata</w:t>
            </w:r>
            <w:r>
              <w:t xml:space="preserve"> </w:t>
            </w:r>
            <w:r>
              <w:t xml:space="preserve">at level 5.</w:t>
            </w:r>
          </w:p>
        </w:tc>
        <w:tc>
          <w:tcPr/>
          <w:p>
            <w:pPr>
              <w:pStyle w:val="Compact"/>
            </w:pPr>
          </w:p>
        </w:tc>
      </w:tr>
    </w:tbl>
    <w:bookmarkEnd w:id="61"/>
    <w:bookmarkStart w:id="62" w:name="X8573efeb459daa9e992905370b7cbf13b342599"/>
    <w:p>
      <w:pPr>
        <w:pStyle w:val="Heading4"/>
      </w:pPr>
      <w:r>
        <w:t xml:space="preserve">1.3 Management</w:t>
      </w:r>
    </w:p>
    <w:p>
      <w:pPr>
        <w:pStyle w:val="FirstParagraph"/>
      </w:pPr>
      <w:r>
        <w:t xml:space="preserve">The topic levels are managed in a consistent manner to maintain stability and interoperability.</w:t>
      </w:r>
    </w:p>
    <w:tbl>
      <w:tblPr>
        <w:tblStyle w:val="Table"/>
        <w:tblW w:type="pct" w:w="5000"/>
        <w:tblLook w:firstRow="1" w:lastRow="0" w:firstColumn="0" w:lastColumn="0" w:noHBand="0" w:noVBand="0" w:val="0020"/>
        <w:jc w:val="start"/>
      </w:tblPr>
      <w:tblGrid>
        <w:gridCol w:w="609"/>
        <w:gridCol w:w="2436"/>
        <w:gridCol w:w="4873"/>
      </w:tblGrid>
      <w:tr>
        <w:trPr>
          <w:tblHeader w:val="true"/>
        </w:trPr>
        <w:tc>
          <w:tcPr/>
          <w:p>
            <w:pPr>
              <w:pStyle w:val="Compact"/>
              <w:jc w:val="left"/>
            </w:pPr>
            <w:r>
              <w:t xml:space="preserve">Requirement 2</w:t>
            </w:r>
          </w:p>
        </w:tc>
        <w:tc>
          <w:tcPr/>
          <w:p>
            <w:pPr>
              <w:pStyle w:val="Compact"/>
              <w:jc w:val="left"/>
            </w:pPr>
            <w:r>
              <w:rPr>
                <w:rStyle w:val="VerbatimChar"/>
              </w:rPr>
              <w:t xml:space="preserve">/req/core/management</w:t>
            </w:r>
          </w:p>
        </w:tc>
        <w:tc>
          <w:tcPr/>
          <w:p>
            <w:pPr>
              <w:pStyle w:val="Compact"/>
            </w:pPr>
          </w:p>
        </w:tc>
      </w:tr>
      <w:tr>
        <w:tc>
          <w:tcPr/>
          <w:p>
            <w:pPr>
              <w:jc w:val="left"/>
            </w:pPr>
            <w:r>
              <w:t xml:space="preserve">A</w:t>
            </w:r>
          </w:p>
        </w:tc>
        <w:tc>
          <w:tcPr/>
          <w:p>
            <w:pPr>
              <w:jc w:val="left"/>
            </w:pPr>
            <w:r>
              <w:t xml:space="preserve">Levels 1 and 2 (</w:t>
            </w:r>
            <w:r>
              <w:rPr>
                <w:rStyle w:val="VerbatimChar"/>
              </w:rPr>
              <w:t xml:space="preserve">firstmile</w:t>
            </w:r>
            <w:r>
              <w:t xml:space="preserve"> </w:t>
            </w:r>
            <w:r>
              <w:t xml:space="preserve">and</w:t>
            </w:r>
            <w:r>
              <w:t xml:space="preserve"> </w:t>
            </w:r>
            <w:r>
              <w:rPr>
                <w:rStyle w:val="VerbatimChar"/>
              </w:rPr>
              <w:t xml:space="preserve">a</w:t>
            </w:r>
            <w:r>
              <w:t xml:space="preserve">) SHALL be fixed and SHALL NOT be modified.</w:t>
            </w:r>
          </w:p>
        </w:tc>
        <w:tc>
          <w:tcPr/>
          <w:p>
            <w:pPr>
              <w:pStyle w:val="Compact"/>
            </w:pPr>
          </w:p>
        </w:tc>
      </w:tr>
      <w:tr>
        <w:tc>
          <w:tcPr/>
          <w:p>
            <w:pPr>
              <w:jc w:val="left"/>
            </w:pPr>
            <w:r>
              <w:t xml:space="preserve">B</w:t>
            </w:r>
          </w:p>
        </w:tc>
        <w:tc>
          <w:tcPr/>
          <w:p>
            <w:pPr>
              <w:jc w:val="left"/>
            </w:pPr>
            <w:r>
              <w:t xml:space="preserve">The value of</w:t>
            </w:r>
            <w:r>
              <w:t xml:space="preserve"> </w:t>
            </w:r>
            <w:r>
              <w:rPr>
                <w:rStyle w:val="VerbatimChar"/>
              </w:rPr>
              <w:t xml:space="preserve">group-id</w:t>
            </w:r>
            <w:r>
              <w:t xml:space="preserve"> </w:t>
            </w:r>
            <w:r>
              <w:t xml:space="preserve">(level 3) SHALL be determined and maintained</w:t>
            </w:r>
            <w:r>
              <w:t xml:space="preserve"> </w:t>
            </w:r>
            <w:r>
              <w:t xml:space="preserve">by the operator of the first-mile broker.</w:t>
            </w:r>
          </w:p>
        </w:tc>
        <w:tc>
          <w:tcPr/>
          <w:p>
            <w:pPr>
              <w:pStyle w:val="Compact"/>
            </w:pPr>
          </w:p>
        </w:tc>
      </w:tr>
      <w:tr>
        <w:tc>
          <w:tcPr/>
          <w:p>
            <w:pPr>
              <w:jc w:val="left"/>
            </w:pPr>
            <w:r>
              <w:t xml:space="preserve">C</w:t>
            </w:r>
          </w:p>
        </w:tc>
        <w:tc>
          <w:tcPr/>
          <w:p>
            <w:pPr>
              <w:jc w:val="left"/>
            </w:pPr>
            <w:r>
              <w:t xml:space="preserve">The value of</w:t>
            </w:r>
            <w:r>
              <w:t xml:space="preserve"> </w:t>
            </w:r>
            <w:r>
              <w:rPr>
                <w:rStyle w:val="VerbatimChar"/>
              </w:rPr>
              <w:t xml:space="preserve">node-id</w:t>
            </w:r>
            <w:r>
              <w:t xml:space="preserve"> </w:t>
            </w:r>
            <w:r>
              <w:t xml:space="preserve">(level 4) SHALL be determined and maintained</w:t>
            </w:r>
            <w:r>
              <w:t xml:space="preserve"> </w:t>
            </w:r>
            <w:r>
              <w:t xml:space="preserve">by the operator of the first-mile broker.</w:t>
            </w:r>
          </w:p>
        </w:tc>
        <w:tc>
          <w:tcPr/>
          <w:p>
            <w:pPr>
              <w:pStyle w:val="Compact"/>
            </w:pPr>
          </w:p>
        </w:tc>
      </w:tr>
      <w:tr>
        <w:tc>
          <w:tcPr/>
          <w:p>
            <w:pPr>
              <w:jc w:val="left"/>
            </w:pPr>
            <w:r>
              <w:t xml:space="preserve">D</w:t>
            </w:r>
          </w:p>
        </w:tc>
        <w:tc>
          <w:tcPr/>
          <w:p>
            <w:pPr>
              <w:jc w:val="left"/>
            </w:pPr>
            <w:r>
              <w:t xml:space="preserve">The value of</w:t>
            </w:r>
            <w:r>
              <w:t xml:space="preserve"> </w:t>
            </w:r>
            <w:r>
              <w:rPr>
                <w:rStyle w:val="VerbatimChar"/>
              </w:rPr>
              <w:t xml:space="preserve">notification-type</w:t>
            </w:r>
            <w:r>
              <w:t xml:space="preserve"> </w:t>
            </w:r>
            <w:r>
              <w:t xml:space="preserve">(level 5) SHALL be limited</w:t>
            </w:r>
            <w:r>
              <w:t xml:space="preserve"> </w:t>
            </w:r>
            <w:r>
              <w:t xml:space="preserve">to</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c>
          <w:tcPr/>
          <w:p>
            <w:pPr>
              <w:pStyle w:val="Compact"/>
            </w:pPr>
          </w:p>
        </w:tc>
      </w:tr>
    </w:tbl>
    <w:bookmarkEnd w:id="62"/>
    <w:bookmarkStart w:id="63" w:name="X807b6718b7b4ed490cabe19ab7a4fa3d15edc14"/>
    <w:p>
      <w:pPr>
        <w:pStyle w:val="Heading4"/>
      </w:pPr>
      <w:r>
        <w:t xml:space="preserve">1.4 Versioning</w:t>
      </w:r>
    </w:p>
    <w:p>
      <w:pPr>
        <w:pStyle w:val="FirstParagraph"/>
      </w:pPr>
      <w:r>
        <w:t xml:space="preserve">The topic hierarchy version supports change management and transition for operators and</w:t>
      </w:r>
      <w:r>
        <w:t xml:space="preserve"> </w:t>
      </w:r>
      <w:r>
        <w:t xml:space="preserve">consuming systems.</w:t>
      </w:r>
    </w:p>
    <w:tbl>
      <w:tblPr>
        <w:tblStyle w:val="Table"/>
        <w:tblW w:type="pct" w:w="5000"/>
        <w:tblLook w:firstRow="1" w:lastRow="0" w:firstColumn="0" w:lastColumn="0" w:noHBand="0" w:noVBand="0" w:val="0020"/>
        <w:jc w:val="start"/>
      </w:tblPr>
      <w:tblGrid>
        <w:gridCol w:w="609"/>
        <w:gridCol w:w="2436"/>
        <w:gridCol w:w="4873"/>
      </w:tblGrid>
      <w:tr>
        <w:trPr>
          <w:tblHeader w:val="true"/>
        </w:trPr>
        <w:tc>
          <w:tcPr/>
          <w:p>
            <w:pPr>
              <w:pStyle w:val="Compact"/>
              <w:jc w:val="left"/>
            </w:pPr>
            <w:r>
              <w:t xml:space="preserve">Requirement 3</w:t>
            </w:r>
          </w:p>
        </w:tc>
        <w:tc>
          <w:tcPr/>
          <w:p>
            <w:pPr>
              <w:pStyle w:val="Compact"/>
              <w:jc w:val="left"/>
            </w:pPr>
            <w:r>
              <w:rPr>
                <w:rStyle w:val="VerbatimChar"/>
              </w:rPr>
              <w:t xml:space="preserve">/req/core/versioning</w:t>
            </w:r>
          </w:p>
        </w:tc>
        <w:tc>
          <w:tcPr/>
          <w:p>
            <w:pPr>
              <w:pStyle w:val="Compact"/>
            </w:pPr>
          </w:p>
        </w:tc>
      </w:tr>
      <w:tr>
        <w:tc>
          <w:tcPr/>
          <w:p>
            <w:pPr>
              <w:jc w:val="left"/>
            </w:pPr>
            <w:r>
              <w:t xml:space="preserve">A</w:t>
            </w:r>
          </w:p>
        </w:tc>
        <w:tc>
          <w:tcPr/>
          <w:p>
            <w:pPr>
              <w:jc w:val="left"/>
            </w:pPr>
            <w:r>
              <w:t xml:space="preserve">A minor update to the FMTH SHALL NOT result in a change to the version level. Adding values to the level 5 of the FMTH (for example, adding a new notification type) is an example of a minor update that would not require a version change.</w:t>
            </w:r>
          </w:p>
        </w:tc>
        <w:tc>
          <w:tcPr/>
          <w:p>
            <w:pPr>
              <w:pStyle w:val="Compact"/>
            </w:pPr>
          </w:p>
        </w:tc>
      </w:tr>
      <w:tr>
        <w:tc>
          <w:tcPr/>
          <w:p>
            <w:pPr>
              <w:jc w:val="left"/>
            </w:pPr>
            <w:r>
              <w:t xml:space="preserve">B</w:t>
            </w:r>
          </w:p>
        </w:tc>
        <w:tc>
          <w:tcPr/>
          <w:p>
            <w:pPr>
              <w:jc w:val="left"/>
            </w:pPr>
            <w:r>
              <w:t xml:space="preserve">A major update to the FMTH SHALL result in a change to the version level (for example,</w:t>
            </w:r>
            <w:r>
              <w:t xml:space="preserve"> </w:t>
            </w:r>
            <w:r>
              <w:rPr>
                <w:rStyle w:val="VerbatimChar"/>
              </w:rPr>
              <w:t xml:space="preserve">a</w:t>
            </w:r>
            <w:r>
              <w:t xml:space="preserve"> </w:t>
            </w:r>
            <w:r>
              <w:t xml:space="preserve">becomes</w:t>
            </w:r>
            <w:r>
              <w:t xml:space="preserve"> </w:t>
            </w:r>
            <w:r>
              <w:rPr>
                <w:rStyle w:val="VerbatimChar"/>
              </w:rPr>
              <w:t xml:space="preserve">b</w:t>
            </w:r>
            <w:r>
              <w:t xml:space="preserve">).</w:t>
            </w:r>
          </w:p>
        </w:tc>
        <w:tc>
          <w:tcPr/>
          <w:p>
            <w:pPr>
              <w:pStyle w:val="Compact"/>
            </w:pPr>
          </w:p>
        </w:tc>
      </w:tr>
      <w:tr>
        <w:tc>
          <w:tcPr/>
          <w:p>
            <w:pPr>
              <w:jc w:val="left"/>
            </w:pPr>
            <w:r>
              <w:t xml:space="preserve">C</w:t>
            </w:r>
          </w:p>
        </w:tc>
        <w:tc>
          <w:tcPr/>
          <w:p>
            <w:pPr>
              <w:jc w:val="left"/>
            </w:pPr>
            <w:r>
              <w:t xml:space="preserve">Removal of a topic level SHALL result in a major version update.</w:t>
            </w:r>
          </w:p>
        </w:tc>
        <w:tc>
          <w:tcPr/>
          <w:p>
            <w:pPr>
              <w:pStyle w:val="Compact"/>
            </w:pPr>
          </w:p>
        </w:tc>
      </w:tr>
      <w:tr>
        <w:tc>
          <w:tcPr/>
          <w:p>
            <w:pPr>
              <w:jc w:val="left"/>
            </w:pPr>
            <w:r>
              <w:t xml:space="preserve">D</w:t>
            </w:r>
          </w:p>
        </w:tc>
        <w:tc>
          <w:tcPr/>
          <w:p>
            <w:pPr>
              <w:jc w:val="left"/>
            </w:pPr>
            <w:r>
              <w:t xml:space="preserve">Renaming of a topic level SHALL result in a major version update.</w:t>
            </w:r>
          </w:p>
        </w:tc>
        <w:tc>
          <w:tcPr/>
          <w:p>
            <w:pPr>
              <w:pStyle w:val="Compact"/>
            </w:pPr>
          </w:p>
        </w:tc>
      </w:tr>
      <w:tr>
        <w:tc>
          <w:tcPr/>
          <w:p>
            <w:pPr>
              <w:jc w:val="left"/>
            </w:pPr>
            <w:r>
              <w:t xml:space="preserve">E</w:t>
            </w:r>
          </w:p>
        </w:tc>
        <w:tc>
          <w:tcPr/>
          <w:p>
            <w:pPr>
              <w:jc w:val="left"/>
            </w:pPr>
            <w:r>
              <w:t xml:space="preserve">A change in the structure of the topic hierarchy SHALL result in a major version update.</w:t>
            </w:r>
          </w:p>
        </w:tc>
        <w:tc>
          <w:tcPr/>
          <w:p>
            <w:pPr>
              <w:pStyle w:val="Compact"/>
            </w:pPr>
          </w:p>
        </w:tc>
      </w:tr>
    </w:tbl>
    <w:bookmarkEnd w:id="63"/>
    <w:bookmarkStart w:id="64" w:name="X38717d2a80fa66e67137674bdd29d034438a084"/>
    <w:p>
      <w:pPr>
        <w:pStyle w:val="Heading4"/>
      </w:pPr>
      <w:r>
        <w:t xml:space="preserve">1.5 Conventions</w:t>
      </w:r>
    </w:p>
    <w:p>
      <w:pPr>
        <w:pStyle w:val="FirstParagraph"/>
      </w:pPr>
      <w:r>
        <w:t xml:space="preserve">All levels of the topic hierarchy are defined in a consistent manner to support a normalised</w:t>
      </w:r>
      <w:r>
        <w:t xml:space="preserve"> </w:t>
      </w:r>
      <w:r>
        <w:t xml:space="preserve">and predictable structure.</w:t>
      </w:r>
    </w:p>
    <w:tbl>
      <w:tblPr>
        <w:tblStyle w:val="Table"/>
        <w:tblW w:type="pct" w:w="5000"/>
        <w:tblLook w:firstRow="1" w:lastRow="0" w:firstColumn="0" w:lastColumn="0" w:noHBand="0" w:noVBand="0" w:val="0020"/>
        <w:jc w:val="start"/>
      </w:tblPr>
      <w:tblGrid>
        <w:gridCol w:w="609"/>
        <w:gridCol w:w="2436"/>
        <w:gridCol w:w="4873"/>
      </w:tblGrid>
      <w:tr>
        <w:trPr>
          <w:tblHeader w:val="true"/>
        </w:trPr>
        <w:tc>
          <w:tcPr/>
          <w:p>
            <w:pPr>
              <w:pStyle w:val="Compact"/>
              <w:jc w:val="left"/>
            </w:pPr>
            <w:r>
              <w:t xml:space="preserve">Requirement 4</w:t>
            </w:r>
          </w:p>
        </w:tc>
        <w:tc>
          <w:tcPr/>
          <w:p>
            <w:pPr>
              <w:pStyle w:val="Compact"/>
              <w:jc w:val="left"/>
            </w:pPr>
            <w:r>
              <w:rPr>
                <w:rStyle w:val="VerbatimChar"/>
              </w:rPr>
              <w:t xml:space="preserve">/req/core/conventions</w:t>
            </w:r>
          </w:p>
        </w:tc>
        <w:tc>
          <w:tcPr/>
          <w:p>
            <w:pPr>
              <w:pStyle w:val="Compact"/>
            </w:pPr>
          </w:p>
        </w:tc>
      </w:tr>
      <w:tr>
        <w:tc>
          <w:tcPr/>
          <w:p>
            <w:pPr>
              <w:jc w:val="left"/>
            </w:pPr>
            <w:r>
              <w:t xml:space="preserve">A</w:t>
            </w:r>
          </w:p>
        </w:tc>
        <w:tc>
          <w:tcPr/>
          <w:p>
            <w:pPr>
              <w:jc w:val="left"/>
            </w:pPr>
            <w:r>
              <w:t xml:space="preserve">Topic level definitions SHALL be lowercase.</w:t>
            </w:r>
          </w:p>
        </w:tc>
        <w:tc>
          <w:tcPr/>
          <w:p>
            <w:pPr>
              <w:pStyle w:val="Compact"/>
            </w:pPr>
          </w:p>
        </w:tc>
      </w:tr>
      <w:tr>
        <w:tc>
          <w:tcPr/>
          <w:p>
            <w:pPr>
              <w:jc w:val="left"/>
            </w:pPr>
            <w:r>
              <w:t xml:space="preserve">B</w:t>
            </w:r>
          </w:p>
        </w:tc>
        <w:tc>
          <w:tcPr/>
          <w:p>
            <w:pPr>
              <w:jc w:val="left"/>
            </w:pPr>
            <w:r>
              <w:t xml:space="preserve">Topic level definitions SHALL be encoded using only ASCII alphanumeric characters and hyphens (</w:t>
            </w:r>
            <w:r>
              <w:rPr>
                <w:rStyle w:val="VerbatimChar"/>
              </w:rPr>
              <w:t xml:space="preserve">-</w:t>
            </w:r>
            <w:r>
              <w:t xml:space="preserve">).</w:t>
            </w:r>
          </w:p>
        </w:tc>
        <w:tc>
          <w:tcPr/>
          <w:p>
            <w:pPr>
              <w:pStyle w:val="Compact"/>
            </w:pPr>
          </w:p>
        </w:tc>
      </w:tr>
      <w:tr>
        <w:tc>
          <w:tcPr/>
          <w:p>
            <w:pPr>
              <w:jc w:val="left"/>
            </w:pPr>
            <w:r>
              <w:t xml:space="preserve">C</w:t>
            </w:r>
          </w:p>
        </w:tc>
        <w:tc>
          <w:tcPr/>
          <w:p>
            <w:pPr>
              <w:jc w:val="left"/>
            </w:pPr>
            <w:r>
              <w:t xml:space="preserve">Topic level definitions SHALL NOT utilise dots (</w:t>
            </w:r>
            <w:r>
              <w:rPr>
                <w:rStyle w:val="VerbatimChar"/>
              </w:rPr>
              <w:t xml:space="preserve">.</w:t>
            </w:r>
            <w:r>
              <w:t xml:space="preserve">).</w:t>
            </w:r>
          </w:p>
        </w:tc>
        <w:tc>
          <w:tcPr/>
          <w:p>
            <w:pPr>
              <w:pStyle w:val="Compact"/>
            </w:pPr>
          </w:p>
        </w:tc>
      </w:tr>
      <w:tr>
        <w:tc>
          <w:tcPr/>
          <w:p>
            <w:pPr>
              <w:jc w:val="left"/>
            </w:pPr>
            <w:r>
              <w:t xml:space="preserve">D</w:t>
            </w:r>
          </w:p>
        </w:tc>
        <w:tc>
          <w:tcPr/>
          <w:p>
            <w:pPr>
              <w:jc w:val="left"/>
            </w:pPr>
            <w:r>
              <w:t xml:space="preserve">Topic level definitions SHALL NOT utilise underscores (</w:t>
            </w:r>
            <w:r>
              <w:rPr>
                <w:rStyle w:val="VerbatimChar"/>
              </w:rPr>
              <w:t xml:space="preserve">_</w:t>
            </w:r>
            <w:r>
              <w:t xml:space="preserve">).</w:t>
            </w:r>
          </w:p>
        </w:tc>
        <w:tc>
          <w:tcPr/>
          <w:p>
            <w:pPr>
              <w:pStyle w:val="Compact"/>
            </w:pPr>
          </w:p>
        </w:tc>
      </w:tr>
      <w:tr>
        <w:tc>
          <w:tcPr/>
          <w:p>
            <w:pPr>
              <w:jc w:val="left"/>
            </w:pPr>
            <w:r>
              <w:t xml:space="preserve">E</w:t>
            </w:r>
          </w:p>
        </w:tc>
        <w:tc>
          <w:tcPr/>
          <w:p>
            <w:pPr>
              <w:jc w:val="left"/>
            </w:pPr>
            <w:r>
              <w:t xml:space="preserve">Topic level definitions SHALL utilise hyphens (</w:t>
            </w:r>
            <w:r>
              <w:rPr>
                <w:rStyle w:val="VerbatimChar"/>
              </w:rPr>
              <w:t xml:space="preserve">-</w:t>
            </w:r>
            <w:r>
              <w:t xml:space="preserve">) to separate words (such as</w:t>
            </w:r>
            <w:r>
              <w:t xml:space="preserve"> </w:t>
            </w:r>
            <w:r>
              <w:rPr>
                <w:rStyle w:val="VerbatimChar"/>
              </w:rPr>
              <w:t xml:space="preserve">my-group</w:t>
            </w:r>
            <w:r>
              <w:t xml:space="preserve">).</w:t>
            </w:r>
          </w:p>
        </w:tc>
        <w:tc>
          <w:tcPr/>
          <w:p>
            <w:pPr>
              <w:pStyle w:val="Compact"/>
            </w:pPr>
          </w:p>
        </w:tc>
      </w:tr>
    </w:tbl>
    <w:bookmarkEnd w:id="64"/>
    <w:bookmarkStart w:id="65" w:name="Xfccc3fbad4d8f714c2a516d1869c3671924043c"/>
    <w:p>
      <w:pPr>
        <w:pStyle w:val="Heading4"/>
      </w:pPr>
      <w:r>
        <w:t xml:space="preserve">1.6 Group and Node Identification</w:t>
      </w:r>
    </w:p>
    <w:p>
      <w:pPr>
        <w:pStyle w:val="FirstParagraph"/>
      </w:pPr>
      <w:r>
        <w:t xml:space="preserve">The</w:t>
      </w:r>
      <w:r>
        <w:t xml:space="preserve"> </w:t>
      </w:r>
      <w:r>
        <w:rPr>
          <w:rStyle w:val="VerbatimChar"/>
        </w:rPr>
        <w:t xml:space="preserve">group-id</w:t>
      </w:r>
      <w:r>
        <w:t xml:space="preserve"> </w:t>
      </w:r>
      <w:r>
        <w:t xml:space="preserve">(level 3) identifies an organisational entity — such as an agency, project,</w:t>
      </w:r>
      <w:r>
        <w:t xml:space="preserve"> </w:t>
      </w:r>
      <w:r>
        <w:t xml:space="preserve">or operational cluster — that is responsible for one or more first-mile nodes.</w:t>
      </w:r>
      <w:r>
        <w:t xml:space="preserve"> </w:t>
      </w:r>
      <w:r>
        <w:t xml:space="preserve">The</w:t>
      </w:r>
      <w:r>
        <w:t xml:space="preserve"> </w:t>
      </w:r>
      <w:r>
        <w:rPr>
          <w:rStyle w:val="VerbatimChar"/>
        </w:rPr>
        <w:t xml:space="preserve">node-id</w:t>
      </w:r>
      <w:r>
        <w:t xml:space="preserve"> </w:t>
      </w:r>
      <w:r>
        <w:t xml:space="preserve">(level 4) identifies a specific first-mile node within the group.</w:t>
      </w:r>
    </w:p>
    <w:p>
      <w:pPr>
        <w:pStyle w:val="BodyText"/>
      </w:pPr>
      <w:r>
        <w:t xml:space="preserve">Together,</w:t>
      </w:r>
      <w:r>
        <w:t xml:space="preserve"> </w:t>
      </w:r>
      <w:r>
        <w:rPr>
          <w:rStyle w:val="VerbatimChar"/>
        </w:rPr>
        <w:t xml:space="preserve">group-id</w:t>
      </w:r>
      <w:r>
        <w:t xml:space="preserve"> </w:t>
      </w:r>
      <w:r>
        <w:t xml:space="preserve">and</w:t>
      </w:r>
      <w:r>
        <w:t xml:space="preserve"> </w:t>
      </w:r>
      <w:r>
        <w:rPr>
          <w:rStyle w:val="VerbatimChar"/>
        </w:rPr>
        <w:t xml:space="preserve">node-id</w:t>
      </w:r>
      <w:r>
        <w:t xml:space="preserve"> </w:t>
      </w:r>
      <w:r>
        <w:t xml:space="preserve">form the address of a first-mile data source within the</w:t>
      </w:r>
      <w:r>
        <w:t xml:space="preserve"> </w:t>
      </w:r>
      <w:r>
        <w:t xml:space="preserve">FMTH namespace.</w:t>
      </w:r>
    </w:p>
    <w:tbl>
      <w:tblPr>
        <w:tblStyle w:val="Table"/>
        <w:tblW w:type="pct" w:w="5000"/>
        <w:tblLook w:firstRow="1" w:lastRow="0" w:firstColumn="0" w:lastColumn="0" w:noHBand="0" w:noVBand="0" w:val="0020"/>
        <w:jc w:val="start"/>
      </w:tblPr>
      <w:tblGrid>
        <w:gridCol w:w="609"/>
        <w:gridCol w:w="2436"/>
        <w:gridCol w:w="4873"/>
      </w:tblGrid>
      <w:tr>
        <w:trPr>
          <w:tblHeader w:val="true"/>
        </w:trPr>
        <w:tc>
          <w:tcPr/>
          <w:p>
            <w:pPr>
              <w:pStyle w:val="Compact"/>
              <w:jc w:val="left"/>
            </w:pPr>
            <w:r>
              <w:t xml:space="preserve">Requirement 5</w:t>
            </w:r>
          </w:p>
        </w:tc>
        <w:tc>
          <w:tcPr/>
          <w:p>
            <w:pPr>
              <w:pStyle w:val="Compact"/>
              <w:jc w:val="left"/>
            </w:pPr>
            <w:r>
              <w:rPr>
                <w:rStyle w:val="VerbatimChar"/>
              </w:rPr>
              <w:t xml:space="preserve">/req/core/group-id</w:t>
            </w:r>
          </w:p>
        </w:tc>
        <w:tc>
          <w:tcPr/>
          <w:p>
            <w:pPr>
              <w:pStyle w:val="Compact"/>
            </w:pPr>
          </w:p>
        </w:tc>
      </w:tr>
      <w:tr>
        <w:tc>
          <w:tcPr/>
          <w:p>
            <w:pPr>
              <w:jc w:val="left"/>
            </w:pPr>
            <w:r>
              <w:t xml:space="preserve">A</w:t>
            </w:r>
          </w:p>
        </w:tc>
        <w:tc>
          <w:tcPr/>
          <w:p>
            <w:pPr>
              <w:jc w:val="left"/>
            </w:pPr>
            <w:r>
              <w:t xml:space="preserve">The</w:t>
            </w:r>
            <w:r>
              <w:t xml:space="preserve"> </w:t>
            </w:r>
            <w:r>
              <w:rPr>
                <w:rStyle w:val="VerbatimChar"/>
              </w:rPr>
              <w:t xml:space="preserve">group-id</w:t>
            </w:r>
            <w:r>
              <w:t xml:space="preserve"> </w:t>
            </w:r>
            <w:r>
              <w:t xml:space="preserve">SHALL consist only of lowercase ASCII alphanumeric characters and hyphens (</w:t>
            </w:r>
            <w:r>
              <w:rPr>
                <w:rStyle w:val="VerbatimChar"/>
              </w:rPr>
              <w:t xml:space="preserve">-</w:t>
            </w:r>
            <w:r>
              <w:t xml:space="preserve">).</w:t>
            </w:r>
          </w:p>
        </w:tc>
        <w:tc>
          <w:tcPr/>
          <w:p>
            <w:pPr>
              <w:pStyle w:val="Compact"/>
            </w:pPr>
          </w:p>
        </w:tc>
      </w:tr>
      <w:tr>
        <w:tc>
          <w:tcPr/>
          <w:p>
            <w:pPr>
              <w:jc w:val="left"/>
            </w:pPr>
            <w:r>
              <w:t xml:space="preserve">B</w:t>
            </w:r>
          </w:p>
        </w:tc>
        <w:tc>
          <w:tcPr/>
          <w:p>
            <w:pPr>
              <w:jc w:val="left"/>
            </w:pPr>
            <w:r>
              <w:t xml:space="preserve">The</w:t>
            </w:r>
            <w:r>
              <w:t xml:space="preserve"> </w:t>
            </w:r>
            <w:r>
              <w:rPr>
                <w:rStyle w:val="VerbatimChar"/>
              </w:rPr>
              <w:t xml:space="preserve">group-id</w:t>
            </w:r>
            <w:r>
              <w:t xml:space="preserve"> </w:t>
            </w:r>
            <w:r>
              <w:t xml:space="preserve">SHALL NOT begin or end with a hyphen.</w:t>
            </w:r>
          </w:p>
        </w:tc>
        <w:tc>
          <w:tcPr/>
          <w:p>
            <w:pPr>
              <w:pStyle w:val="Compact"/>
            </w:pPr>
          </w:p>
        </w:tc>
      </w:tr>
      <w:tr>
        <w:tc>
          <w:tcPr/>
          <w:p>
            <w:pPr>
              <w:jc w:val="left"/>
            </w:pPr>
            <w:r>
              <w:t xml:space="preserve">C</w:t>
            </w:r>
          </w:p>
        </w:tc>
        <w:tc>
          <w:tcPr/>
          <w:p>
            <w:pPr>
              <w:jc w:val="left"/>
            </w:pPr>
            <w:r>
              <w:t xml:space="preserve">The</w:t>
            </w:r>
            <w:r>
              <w:t xml:space="preserve"> </w:t>
            </w:r>
            <w:r>
              <w:rPr>
                <w:rStyle w:val="VerbatimChar"/>
              </w:rPr>
              <w:t xml:space="preserve">group-id</w:t>
            </w:r>
            <w:r>
              <w:t xml:space="preserve"> </w:t>
            </w:r>
            <w:r>
              <w:t xml:space="preserve">SHALL NOT be empty.</w:t>
            </w:r>
          </w:p>
        </w:tc>
        <w:tc>
          <w:tcPr/>
          <w:p>
            <w:pPr>
              <w:pStyle w:val="Compact"/>
            </w:pPr>
          </w:p>
        </w:tc>
      </w:tr>
    </w:tbl>
    <w:p/>
    <w:tbl>
      <w:tblPr>
        <w:tblStyle w:val="Table"/>
        <w:tblW w:type="pct" w:w="5000"/>
        <w:tblLook w:firstRow="1" w:lastRow="0" w:firstColumn="0" w:lastColumn="0" w:noHBand="0" w:noVBand="0" w:val="0020"/>
        <w:jc w:val="start"/>
      </w:tblPr>
      <w:tblGrid>
        <w:gridCol w:w="609"/>
        <w:gridCol w:w="2436"/>
        <w:gridCol w:w="4873"/>
      </w:tblGrid>
      <w:tr>
        <w:trPr>
          <w:tblHeader w:val="true"/>
        </w:trPr>
        <w:tc>
          <w:tcPr/>
          <w:p>
            <w:pPr>
              <w:pStyle w:val="Compact"/>
              <w:jc w:val="left"/>
            </w:pPr>
            <w:r>
              <w:t xml:space="preserve">Requirement 6</w:t>
            </w:r>
          </w:p>
        </w:tc>
        <w:tc>
          <w:tcPr/>
          <w:p>
            <w:pPr>
              <w:pStyle w:val="Compact"/>
              <w:jc w:val="left"/>
            </w:pPr>
            <w:r>
              <w:rPr>
                <w:rStyle w:val="VerbatimChar"/>
              </w:rPr>
              <w:t xml:space="preserve">/req/core/node-id</w:t>
            </w:r>
          </w:p>
        </w:tc>
        <w:tc>
          <w:tcPr/>
          <w:p>
            <w:pPr>
              <w:pStyle w:val="Compact"/>
            </w:pPr>
          </w:p>
        </w:tc>
      </w:tr>
      <w:tr>
        <w:tc>
          <w:tcPr/>
          <w:p>
            <w:pPr>
              <w:jc w:val="left"/>
            </w:pPr>
            <w:r>
              <w:t xml:space="preserve">A</w:t>
            </w:r>
          </w:p>
        </w:tc>
        <w:tc>
          <w:tcPr/>
          <w:p>
            <w:pPr>
              <w:jc w:val="left"/>
            </w:pPr>
            <w:r>
              <w:t xml:space="preserve">The</w:t>
            </w:r>
            <w:r>
              <w:t xml:space="preserve"> </w:t>
            </w:r>
            <w:r>
              <w:rPr>
                <w:rStyle w:val="VerbatimChar"/>
              </w:rPr>
              <w:t xml:space="preserve">node-id</w:t>
            </w:r>
            <w:r>
              <w:t xml:space="preserve"> </w:t>
            </w:r>
            <w:r>
              <w:t xml:space="preserve">SHALL consist only of lowercase ASCII alphanumeric characters and hyphens (</w:t>
            </w:r>
            <w:r>
              <w:rPr>
                <w:rStyle w:val="VerbatimChar"/>
              </w:rPr>
              <w:t xml:space="preserve">-</w:t>
            </w:r>
            <w:r>
              <w:t xml:space="preserve">).</w:t>
            </w:r>
          </w:p>
        </w:tc>
        <w:tc>
          <w:tcPr/>
          <w:p>
            <w:pPr>
              <w:pStyle w:val="Compact"/>
            </w:pPr>
          </w:p>
        </w:tc>
      </w:tr>
      <w:tr>
        <w:tc>
          <w:tcPr/>
          <w:p>
            <w:pPr>
              <w:jc w:val="left"/>
            </w:pPr>
            <w:r>
              <w:t xml:space="preserve">B</w:t>
            </w:r>
          </w:p>
        </w:tc>
        <w:tc>
          <w:tcPr/>
          <w:p>
            <w:pPr>
              <w:jc w:val="left"/>
            </w:pPr>
            <w:r>
              <w:t xml:space="preserve">The</w:t>
            </w:r>
            <w:r>
              <w:t xml:space="preserve"> </w:t>
            </w:r>
            <w:r>
              <w:rPr>
                <w:rStyle w:val="VerbatimChar"/>
              </w:rPr>
              <w:t xml:space="preserve">node-id</w:t>
            </w:r>
            <w:r>
              <w:t xml:space="preserve"> </w:t>
            </w:r>
            <w:r>
              <w:t xml:space="preserve">SHALL NOT begin or end with a hyphen.</w:t>
            </w:r>
          </w:p>
        </w:tc>
        <w:tc>
          <w:tcPr/>
          <w:p>
            <w:pPr>
              <w:pStyle w:val="Compact"/>
            </w:pPr>
          </w:p>
        </w:tc>
      </w:tr>
      <w:tr>
        <w:tc>
          <w:tcPr/>
          <w:p>
            <w:pPr>
              <w:jc w:val="left"/>
            </w:pPr>
            <w:r>
              <w:t xml:space="preserve">C</w:t>
            </w:r>
          </w:p>
        </w:tc>
        <w:tc>
          <w:tcPr/>
          <w:p>
            <w:pPr>
              <w:jc w:val="left"/>
            </w:pPr>
            <w:r>
              <w:t xml:space="preserve">The</w:t>
            </w:r>
            <w:r>
              <w:t xml:space="preserve"> </w:t>
            </w:r>
            <w:r>
              <w:rPr>
                <w:rStyle w:val="VerbatimChar"/>
              </w:rPr>
              <w:t xml:space="preserve">node-id</w:t>
            </w:r>
            <w:r>
              <w:t xml:space="preserve"> </w:t>
            </w:r>
            <w:r>
              <w:t xml:space="preserve">SHALL NOT be empty.</w:t>
            </w:r>
          </w:p>
        </w:tc>
        <w:tc>
          <w:tcPr/>
          <w:p>
            <w:pPr>
              <w:pStyle w:val="Compact"/>
            </w:pPr>
          </w:p>
        </w:tc>
      </w:tr>
      <w:tr>
        <w:tc>
          <w:tcPr/>
          <w:p>
            <w:pPr>
              <w:jc w:val="left"/>
            </w:pPr>
            <w:r>
              <w:t xml:space="preserve">D</w:t>
            </w:r>
          </w:p>
        </w:tc>
        <w:tc>
          <w:tcPr/>
          <w:p>
            <w:pPr>
              <w:jc w:val="left"/>
            </w:pPr>
            <w:r>
              <w:t xml:space="preserve">The</w:t>
            </w:r>
            <w:r>
              <w:t xml:space="preserve"> </w:t>
            </w:r>
            <w:r>
              <w:rPr>
                <w:rStyle w:val="VerbatimChar"/>
              </w:rPr>
              <w:t xml:space="preserve">node-id</w:t>
            </w:r>
            <w:r>
              <w:t xml:space="preserve"> </w:t>
            </w:r>
            <w:r>
              <w:t xml:space="preserve">SHALL be unique within the namespace of its associated</w:t>
            </w:r>
            <w:r>
              <w:t xml:space="preserve"> </w:t>
            </w:r>
            <w:r>
              <w:rPr>
                <w:rStyle w:val="VerbatimChar"/>
              </w:rPr>
              <w:t xml:space="preserve">group-id</w:t>
            </w:r>
            <w:r>
              <w:t xml:space="preserve">.</w:t>
            </w:r>
          </w:p>
        </w:tc>
        <w:tc>
          <w:tcPr/>
          <w:p>
            <w:pPr>
              <w:pStyle w:val="Compact"/>
            </w:pPr>
          </w:p>
        </w:tc>
      </w:tr>
    </w:tbl>
    <w:bookmarkEnd w:id="65"/>
    <w:bookmarkEnd w:id="66"/>
    <w:bookmarkEnd w:id="67"/>
    <w:bookmarkStart w:id="69" w:name="X5c917cb9ef4ef8c183efa8ef9c5f511fd7dca0e"/>
    <w:p>
      <w:pPr>
        <w:pStyle w:val="Heading2"/>
      </w:pPr>
      <w:r>
        <w:t xml:space="preserve">First-Mile MQTT protocol provisions</w:t>
      </w:r>
    </w:p>
    <w:p>
      <w:pPr>
        <w:pStyle w:val="FirstParagraph"/>
      </w:pPr>
      <w:r>
        <w:t xml:space="preserve">Considering the anticipated relatively low level of traffic, compare to typical MQTT situation, and the critical importance of the data and metadata exchanges in first-mile context, the following additional provisions apply to the publication of any message</w:t>
      </w:r>
    </w:p>
    <w:bookmarkStart w:id="68" w:name="Xa33adc5ae358eaf24ba0dada8fc142334599f4e"/>
    <w:p>
      <w:pPr>
        <w:pStyle w:val="Heading3"/>
      </w:pPr>
      <w:r>
        <w:t xml:space="preserve">1. Requirements Class Core</w:t>
      </w:r>
    </w:p>
    <w:tbl>
      <w:tblPr>
        <w:tblStyle w:val="Table"/>
        <w:tblW w:type="pct" w:w="5000"/>
        <w:tblLook w:firstRow="1" w:lastRow="0" w:firstColumn="0" w:lastColumn="0" w:noHBand="0" w:noVBand="0" w:val="0020"/>
        <w:jc w:val="start"/>
      </w:tblPr>
      <w:tblGrid>
        <w:gridCol w:w="609"/>
        <w:gridCol w:w="2436"/>
        <w:gridCol w:w="4873"/>
      </w:tblGrid>
      <w:tr>
        <w:trPr>
          <w:tblHeader w:val="true"/>
        </w:trPr>
        <w:tc>
          <w:tcPr/>
          <w:p>
            <w:pPr>
              <w:pStyle w:val="Compact"/>
              <w:jc w:val="left"/>
            </w:pPr>
            <w:r>
              <w:t xml:space="preserve">Requirement 7</w:t>
            </w:r>
          </w:p>
        </w:tc>
        <w:tc>
          <w:tcPr/>
          <w:p>
            <w:pPr>
              <w:pStyle w:val="Compact"/>
              <w:jc w:val="left"/>
            </w:pPr>
            <w:r>
              <w:rPr>
                <w:rStyle w:val="VerbatimChar"/>
              </w:rPr>
              <w:t xml:space="preserve">/req/core/mqtt</w:t>
            </w:r>
          </w:p>
        </w:tc>
        <w:tc>
          <w:tcPr/>
          <w:p>
            <w:pPr>
              <w:pStyle w:val="Compact"/>
            </w:pPr>
          </w:p>
        </w:tc>
      </w:tr>
      <w:tr>
        <w:tc>
          <w:tcPr/>
          <w:p>
            <w:pPr>
              <w:jc w:val="left"/>
            </w:pPr>
            <w:r>
              <w:t xml:space="preserve">A</w:t>
            </w:r>
          </w:p>
        </w:tc>
        <w:tc>
          <w:tcPr/>
          <w:p>
            <w:pPr>
              <w:jc w:val="left"/>
            </w:pPr>
            <w:r>
              <w:t xml:space="preserve">Data and Metadata notifications SHALL be published using the QoS level 2 of MQTT to ensure that they are delivered and received exactly once.</w:t>
            </w:r>
          </w:p>
        </w:tc>
        <w:tc>
          <w:tcPr/>
          <w:p>
            <w:pPr>
              <w:pStyle w:val="Compact"/>
            </w:pPr>
          </w:p>
        </w:tc>
      </w:tr>
      <w:tr>
        <w:tc>
          <w:tcPr/>
          <w:p>
            <w:pPr>
              <w:jc w:val="left"/>
            </w:pPr>
            <w:r>
              <w:t xml:space="preserve">B</w:t>
            </w:r>
          </w:p>
        </w:tc>
        <w:tc>
          <w:tcPr/>
          <w:p>
            <w:pPr>
              <w:jc w:val="left"/>
            </w:pPr>
            <w:r>
              <w:t xml:space="preserve">The connection of both the hub and the node to the broker SHALL set the</w:t>
            </w:r>
            <w:r>
              <w:t xml:space="preserve"> </w:t>
            </w:r>
            <w:r>
              <w:rPr>
                <w:bCs/>
                <w:b/>
              </w:rPr>
              <w:t xml:space="preserve">Receive Maximum = 1</w:t>
            </w:r>
            <w:r>
              <w:t xml:space="preserve"> </w:t>
            </w:r>
            <w:r>
              <w:t xml:space="preserve">when establishing the MQTT session.</w:t>
            </w:r>
          </w:p>
        </w:tc>
        <w:tc>
          <w:tcPr/>
          <w:p>
            <w:pPr>
              <w:pStyle w:val="Compact"/>
            </w:pPr>
          </w:p>
        </w:tc>
      </w:tr>
    </w:tbl>
    <w:p>
      <w:pPr>
        <w:pStyle w:val="BodyText"/>
      </w:pPr>
      <w:r>
        <w:t xml:space="preserve">Considering the solution used to exchange data, it is important to ensure that metadata messages are always available at the hub before any data is published. This is to ensure that consuming systems can access the necessary metadata to interpret the data correctly.</w:t>
      </w:r>
    </w:p>
    <w:tbl>
      <w:tblPr>
        <w:tblStyle w:val="Table"/>
        <w:tblW w:type="pct" w:w="5000"/>
        <w:tblLook w:firstRow="1" w:lastRow="0" w:firstColumn="0" w:lastColumn="0" w:noHBand="0" w:noVBand="0" w:val="0020"/>
        <w:jc w:val="start"/>
      </w:tblPr>
      <w:tblGrid>
        <w:gridCol w:w="609"/>
        <w:gridCol w:w="2436"/>
        <w:gridCol w:w="4873"/>
      </w:tblGrid>
      <w:tr>
        <w:trPr>
          <w:tblHeader w:val="true"/>
        </w:trPr>
        <w:tc>
          <w:tcPr/>
          <w:p>
            <w:pPr>
              <w:pStyle w:val="Compact"/>
              <w:jc w:val="left"/>
            </w:pPr>
            <w:r>
              <w:t xml:space="preserve">Requirement 8</w:t>
            </w:r>
          </w:p>
        </w:tc>
        <w:tc>
          <w:tcPr/>
          <w:p>
            <w:pPr>
              <w:pStyle w:val="Compact"/>
              <w:jc w:val="left"/>
            </w:pPr>
            <w:r>
              <w:rPr>
                <w:rStyle w:val="VerbatimChar"/>
              </w:rPr>
              <w:t xml:space="preserve">/req/core/metadata-first</w:t>
            </w:r>
          </w:p>
        </w:tc>
        <w:tc>
          <w:tcPr/>
          <w:p>
            <w:pPr>
              <w:pStyle w:val="Compact"/>
            </w:pPr>
          </w:p>
        </w:tc>
      </w:tr>
      <w:tr>
        <w:tc>
          <w:tcPr/>
          <w:p>
            <w:pPr>
              <w:jc w:val="left"/>
            </w:pPr>
            <w:r>
              <w:t xml:space="preserve">A</w:t>
            </w:r>
          </w:p>
        </w:tc>
        <w:tc>
          <w:tcPr/>
          <w:p>
            <w:pPr>
              <w:jc w:val="left"/>
            </w:pPr>
            <w:r>
              <w:t xml:space="preserve">Metadata notifications SHALL be published before any data notifications for the same</w:t>
            </w:r>
            <w:r>
              <w:t xml:space="preserve"> </w:t>
            </w:r>
            <w:r>
              <w:rPr>
                <w:rStyle w:val="VerbatimChar"/>
              </w:rPr>
              <w:t xml:space="preserve">node-id</w:t>
            </w:r>
            <w:r>
              <w:t xml:space="preserve"> </w:t>
            </w:r>
            <w:r>
              <w:t xml:space="preserve">are published. This ensures that consuming systems have access to the necessary metadata to interpret the data correctly.</w:t>
            </w:r>
          </w:p>
        </w:tc>
        <w:tc>
          <w:tcPr/>
          <w:p>
            <w:pPr>
              <w:pStyle w:val="Compact"/>
            </w:pPr>
          </w:p>
        </w:tc>
      </w:tr>
      <w:tr>
        <w:tc>
          <w:tcPr/>
          <w:p>
            <w:pPr>
              <w:jc w:val="left"/>
            </w:pPr>
            <w:r>
              <w:t xml:space="preserve">B</w:t>
            </w:r>
          </w:p>
        </w:tc>
        <w:tc>
          <w:tcPr/>
          <w:p>
            <w:pPr>
              <w:jc w:val="left"/>
            </w:pPr>
            <w:r>
              <w:t xml:space="preserve">Metadata notifications SHALL be published with the retain flag to true.</w:t>
            </w:r>
          </w:p>
        </w:tc>
        <w:tc>
          <w:tcPr/>
          <w:p>
            <w:pPr>
              <w:pStyle w:val="Compact"/>
            </w:pPr>
          </w:p>
        </w:tc>
      </w:tr>
      <w:tr>
        <w:tc>
          <w:tcPr/>
          <w:p>
            <w:pPr>
              <w:jc w:val="left"/>
            </w:pPr>
            <w:r>
              <w:t xml:space="preserve">C</w:t>
            </w:r>
          </w:p>
        </w:tc>
        <w:tc>
          <w:tcPr/>
          <w:p>
            <w:pPr>
              <w:jc w:val="left"/>
            </w:pPr>
            <w:r>
              <w:t xml:space="preserve">Metadata notifications SHALL be published to the FMTH before any data notifications for the same</w:t>
            </w:r>
            <w:r>
              <w:t xml:space="preserve"> </w:t>
            </w:r>
            <w:r>
              <w:rPr>
                <w:rStyle w:val="VerbatimChar"/>
              </w:rPr>
              <w:t xml:space="preserve">node-id</w:t>
            </w:r>
            <w:r>
              <w:t xml:space="preserve"> </w:t>
            </w:r>
            <w:r>
              <w:t xml:space="preserve">are published. This ensures that consuming systems have access to the necessary metadata to interpret the data correctly.</w:t>
            </w:r>
          </w:p>
        </w:tc>
        <w:tc>
          <w:tcPr/>
          <w:p>
            <w:pPr>
              <w:pStyle w:val="Compact"/>
            </w:pPr>
          </w:p>
        </w:tc>
      </w:tr>
      <w:tr>
        <w:tc>
          <w:tcPr/>
          <w:p>
            <w:pPr>
              <w:jc w:val="left"/>
            </w:pPr>
            <w:r>
              <w:t xml:space="preserve">D</w:t>
            </w:r>
          </w:p>
        </w:tc>
        <w:tc>
          <w:tcPr/>
          <w:p>
            <w:pPr>
              <w:jc w:val="left"/>
            </w:pPr>
            <w:r>
              <w:t xml:space="preserve">Metadata notifications SHALL published regularly, at least once every 24 hours and immediately after any change in the node configuration that would affect the metadata content.</w:t>
            </w:r>
          </w:p>
        </w:tc>
        <w:tc>
          <w:tcPr/>
          <w:p>
            <w:pPr>
              <w:pStyle w:val="Compact"/>
            </w:pPr>
          </w:p>
        </w:tc>
      </w:tr>
    </w:tbl>
    <w:bookmarkEnd w:id="68"/>
    <w:bookmarkEnd w:id="69"/>
    <w:bookmarkEnd w:id="70"/>
    <w:bookmarkStart w:id="91" w:name="Xcf8df71770e278956d1af1654bdc7462ec5e71a"/>
    <w:p>
      <w:pPr>
        <w:pStyle w:val="Heading1"/>
      </w:pPr>
      <w:r>
        <w:t xml:space="preserve">Data model</w:t>
      </w:r>
    </w:p>
    <w:bookmarkStart w:id="74" w:name="X43f9398da9c2eb974194c1e60a2fdc80e1bfc87"/>
    <w:p>
      <w:pPr>
        <w:pStyle w:val="Heading2"/>
      </w:pPr>
      <w:r>
        <w:t xml:space="preserve">Overview</w:t>
      </w:r>
    </w:p>
    <w:p>
      <w:pPr>
        <w:pStyle w:val="FirstParagraph"/>
      </w:pPr>
      <w:r>
        <w:t xml:space="preserve">The data model defines the structure and organization of information transmitted from the Node to the Host using Protocol Buffers (Protobuf) as the Data Format. The data model is formally specified in the protobuf schema</w:t>
      </w:r>
      <w:r>
        <w:t xml:space="preserve"> </w:t>
      </w:r>
      <w:r>
        <w:rPr>
          <w:rStyle w:val="VerbatimChar"/>
        </w:rPr>
        <w:t xml:space="preserve">firstmile.proto</w:t>
      </w:r>
      <w:r>
        <w:t xml:space="preserve">.</w:t>
      </w:r>
    </w:p>
    <w:p>
      <w:pPr>
        <w:pStyle w:val="BodyText"/>
      </w:pPr>
      <w:r>
        <w:t xml:space="preserve">The data model supports two primary use cases:</w:t>
      </w:r>
    </w:p>
    <w:p>
      <w:pPr>
        <w:numPr>
          <w:ilvl w:val="0"/>
          <w:numId w:val="1003"/>
        </w:numPr>
      </w:pPr>
      <w:r>
        <w:rPr>
          <w:bCs/>
          <w:b/>
        </w:rPr>
        <w:t xml:space="preserve">Transmission of observation data</w:t>
      </w:r>
      <w:r>
        <w:t xml:space="preserve"> </w:t>
      </w:r>
      <w:r>
        <w:t xml:space="preserve">- The Node transmits measurement values collected from sensors</w:t>
      </w:r>
    </w:p>
    <w:p>
      <w:pPr>
        <w:numPr>
          <w:ilvl w:val="0"/>
          <w:numId w:val="1003"/>
        </w:numPr>
      </w:pPr>
      <w:r>
        <w:rPr>
          <w:bCs/>
          <w:b/>
        </w:rPr>
        <w:t xml:space="preserve">Transmission of metadata</w:t>
      </w:r>
      <w:r>
        <w:t xml:space="preserve"> </w:t>
      </w:r>
      <w:r>
        <w:t xml:space="preserve">- The Node transmits information about the monitoring site, devices, and parameter definitions</w:t>
      </w:r>
    </w:p>
    <w:p>
      <w:pPr>
        <w:pStyle w:val="FirstParagraph"/>
      </w:pPr>
      <w:r>
        <w:t xml:space="preserve">These use cases are supported by two top-level message types: the</w:t>
      </w:r>
      <w:r>
        <w:t xml:space="preserve"> </w:t>
      </w:r>
      <w:r>
        <w:rPr>
          <w:rStyle w:val="VerbatimChar"/>
        </w:rPr>
        <w:t xml:space="preserve">Data</w:t>
      </w:r>
      <w:r>
        <w:t xml:space="preserve"> </w:t>
      </w:r>
      <w:r>
        <w:t xml:space="preserve">message containing observations, and the</w:t>
      </w:r>
      <w:r>
        <w:t xml:space="preserve"> </w:t>
      </w:r>
      <w:r>
        <w:rPr>
          <w:rStyle w:val="VerbatimChar"/>
        </w:rPr>
        <w:t xml:space="preserve">Metadata</w:t>
      </w:r>
      <w:r>
        <w:t xml:space="preserve"> </w:t>
      </w:r>
      <w:r>
        <w:t xml:space="preserve">message containing configuration and contextual information. Both messages are defined in a single protobuf schema and transmitted as independent payloads over MQTT. The</w:t>
      </w:r>
      <w:r>
        <w:t xml:space="preserve"> </w:t>
      </w:r>
      <w:r>
        <w:rPr>
          <w:rStyle w:val="VerbatimChar"/>
        </w:rPr>
        <w:t xml:space="preserve">Metadata</w:t>
      </w:r>
      <w:r>
        <w:t xml:space="preserve"> </w:t>
      </w:r>
      <w:r>
        <w:t xml:space="preserve">message provides the necessary context for interpreting the</w:t>
      </w:r>
      <w:r>
        <w:t xml:space="preserve"> </w:t>
      </w:r>
      <w:r>
        <w:rPr>
          <w:rStyle w:val="VerbatimChar"/>
        </w:rPr>
        <w:t xml:space="preserve">Data</w:t>
      </w:r>
      <w:r>
        <w:t xml:space="preserve"> </w:t>
      </w:r>
      <w:r>
        <w:t xml:space="preserve">message, including descriptions of devices and parameters.</w:t>
      </w:r>
    </w:p>
    <w:bookmarkStart w:id="71" w:name="X4ba8f9e6d5079a7cc156a45f9b70bb3a6db2312"/>
    <w:p>
      <w:pPr>
        <w:pStyle w:val="Heading3"/>
      </w:pPr>
      <w:r>
        <w:t xml:space="preserve">Communication pattern</w:t>
      </w:r>
    </w:p>
    <w:p>
      <w:pPr>
        <w:pStyle w:val="FirstParagraph"/>
      </w:pPr>
      <w:r>
        <w:t xml:space="preserve">The communication follows a unidirectional pattern where data flows from the Node to the Host. The Node may transmit messages in the following patterns:</w:t>
      </w:r>
    </w:p>
    <w:p>
      <w:pPr>
        <w:numPr>
          <w:ilvl w:val="0"/>
          <w:numId w:val="1004"/>
        </w:numPr>
      </w:pPr>
      <w:r>
        <w:rPr>
          <w:bCs/>
          <w:b/>
        </w:rPr>
        <w:t xml:space="preserve">Data-only transmission</w:t>
      </w:r>
      <w:r>
        <w:t xml:space="preserve"> </w:t>
      </w:r>
      <w:r>
        <w:t xml:space="preserve">- Frequent transmission of</w:t>
      </w:r>
      <w:r>
        <w:t xml:space="preserve"> </w:t>
      </w:r>
      <w:r>
        <w:rPr>
          <w:rStyle w:val="VerbatimChar"/>
        </w:rPr>
        <w:t xml:space="preserve">Data</w:t>
      </w:r>
      <w:r>
        <w:t xml:space="preserve"> </w:t>
      </w:r>
      <w:r>
        <w:t xml:space="preserve">messages containing current or batched observations</w:t>
      </w:r>
    </w:p>
    <w:p>
      <w:pPr>
        <w:numPr>
          <w:ilvl w:val="0"/>
          <w:numId w:val="1004"/>
        </w:numPr>
      </w:pPr>
      <w:r>
        <w:rPr>
          <w:bCs/>
          <w:b/>
        </w:rPr>
        <w:t xml:space="preserve">Metadata transmission</w:t>
      </w:r>
      <w:r>
        <w:t xml:space="preserve"> </w:t>
      </w:r>
      <w:r>
        <w:t xml:space="preserve">- Transmission of</w:t>
      </w:r>
      <w:r>
        <w:t xml:space="preserve"> </w:t>
      </w:r>
      <w:r>
        <w:rPr>
          <w:rStyle w:val="VerbatimChar"/>
        </w:rPr>
        <w:t xml:space="preserve">Metadata</w:t>
      </w:r>
      <w:r>
        <w:t xml:space="preserve"> </w:t>
      </w:r>
      <w:r>
        <w:t xml:space="preserve">messages when the configuration changes or upon initialization</w:t>
      </w:r>
    </w:p>
    <w:p>
      <w:pPr>
        <w:pStyle w:val="FirstParagraph"/>
      </w:pPr>
      <w:r>
        <w:t xml:space="preserve">The Node should transmit the</w:t>
      </w:r>
      <w:r>
        <w:t xml:space="preserve"> </w:t>
      </w:r>
      <w:r>
        <w:rPr>
          <w:rStyle w:val="VerbatimChar"/>
        </w:rPr>
        <w:t xml:space="preserve">Metadata</w:t>
      </w:r>
      <w:r>
        <w:t xml:space="preserve"> </w:t>
      </w:r>
      <w:r>
        <w:t xml:space="preserve">message at least once after initialization and whenever the configuration of devices or parameter definitions changes. The</w:t>
      </w:r>
      <w:r>
        <w:t xml:space="preserve"> </w:t>
      </w:r>
      <w:r>
        <w:rPr>
          <w:rStyle w:val="VerbatimChar"/>
        </w:rPr>
        <w:t xml:space="preserve">Data</w:t>
      </w:r>
      <w:r>
        <w:t xml:space="preserve"> </w:t>
      </w:r>
      <w:r>
        <w:t xml:space="preserve">message may be transmitted as frequently as needed to deliver observations.</w:t>
      </w:r>
      <w:r>
        <w:t xml:space="preserve"> </w:t>
      </w:r>
      <w:r>
        <w:t xml:space="preserve">The Host can only intepret data correctly if it has received the relevant</w:t>
      </w:r>
      <w:r>
        <w:t xml:space="preserve"> </w:t>
      </w:r>
      <w:r>
        <w:rPr>
          <w:rStyle w:val="VerbatimChar"/>
        </w:rPr>
        <w:t xml:space="preserve">Metadata</w:t>
      </w:r>
      <w:r>
        <w:t xml:space="preserve"> </w:t>
      </w:r>
      <w:r>
        <w:t xml:space="preserve">message that defines the devices and parameters being observed. Therefore, it is recommended to transmit the</w:t>
      </w:r>
      <w:r>
        <w:t xml:space="preserve"> </w:t>
      </w:r>
      <w:r>
        <w:rPr>
          <w:rStyle w:val="VerbatimChar"/>
        </w:rPr>
        <w:t xml:space="preserve">Metadata</w:t>
      </w:r>
      <w:r>
        <w:t xml:space="preserve"> </w:t>
      </w:r>
      <w:r>
        <w:t xml:space="preserve">message at least once before transmitting any</w:t>
      </w:r>
      <w:r>
        <w:t xml:space="preserve"> </w:t>
      </w:r>
      <w:r>
        <w:rPr>
          <w:rStyle w:val="VerbatimChar"/>
        </w:rPr>
        <w:t xml:space="preserve">Data</w:t>
      </w:r>
      <w:r>
        <w:t xml:space="preserve"> </w:t>
      </w:r>
      <w:r>
        <w:t xml:space="preserve">messages.</w:t>
      </w:r>
    </w:p>
    <w:bookmarkEnd w:id="71"/>
    <w:bookmarkStart w:id="72" w:name="Xc6af7eb06d9e27528b46af08e1b66f96da6310c"/>
    <w:p>
      <w:pPr>
        <w:pStyle w:val="Heading3"/>
      </w:pPr>
      <w:r>
        <w:t xml:space="preserve">Message hierarchy</w:t>
      </w:r>
    </w:p>
    <w:p>
      <w:pPr>
        <w:pStyle w:val="FirstParagraph"/>
      </w:pPr>
      <w:r>
        <w:t xml:space="preserve">The data model organizes information hierarchically:</w:t>
      </w:r>
    </w:p>
    <w:p>
      <w:pPr>
        <w:numPr>
          <w:ilvl w:val="0"/>
          <w:numId w:val="1005"/>
        </w:numPr>
      </w:pPr>
      <w:r>
        <w:rPr>
          <w:bCs/>
          <w:b/>
        </w:rPr>
        <w:t xml:space="preserve">Messages</w:t>
      </w:r>
      <w:r>
        <w:t xml:space="preserve"> </w:t>
      </w:r>
      <w:r>
        <w:t xml:space="preserve">- Top-level containers (</w:t>
      </w:r>
      <w:r>
        <w:rPr>
          <w:rStyle w:val="VerbatimChar"/>
        </w:rPr>
        <w:t xml:space="preserve">Data</w:t>
      </w:r>
      <w:r>
        <w:t xml:space="preserve"> </w:t>
      </w:r>
      <w:r>
        <w:t xml:space="preserve">and</w:t>
      </w:r>
      <w:r>
        <w:t xml:space="preserve"> </w:t>
      </w:r>
      <w:r>
        <w:rPr>
          <w:rStyle w:val="VerbatimChar"/>
        </w:rPr>
        <w:t xml:space="preserve">Metadata</w:t>
      </w:r>
      <w:r>
        <w:t xml:space="preserve">) that are transmitted as independent payloads</w:t>
      </w:r>
    </w:p>
    <w:p>
      <w:pPr>
        <w:numPr>
          <w:ilvl w:val="0"/>
          <w:numId w:val="1005"/>
        </w:numPr>
      </w:pPr>
      <w:r>
        <w:rPr>
          <w:bCs/>
          <w:b/>
        </w:rPr>
        <w:t xml:space="preserve">Devices</w:t>
      </w:r>
      <w:r>
        <w:t xml:space="preserve"> </w:t>
      </w:r>
      <w:r>
        <w:t xml:space="preserve">- Descriptions of physical equipment including the Node Device (node) and Observer Devices (sensors)</w:t>
      </w:r>
    </w:p>
    <w:p>
      <w:pPr>
        <w:numPr>
          <w:ilvl w:val="0"/>
          <w:numId w:val="1005"/>
        </w:numPr>
      </w:pPr>
      <w:r>
        <w:rPr>
          <w:bCs/>
          <w:b/>
        </w:rPr>
        <w:t xml:space="preserve">Observations</w:t>
      </w:r>
      <w:r>
        <w:t xml:space="preserve"> </w:t>
      </w:r>
      <w:r>
        <w:t xml:space="preserve">- Measurement data points consisting of a parameter identifier, timestamp, and one or more values</w:t>
      </w:r>
    </w:p>
    <w:p>
      <w:pPr>
        <w:numPr>
          <w:ilvl w:val="0"/>
          <w:numId w:val="1005"/>
        </w:numPr>
      </w:pPr>
      <w:r>
        <w:rPr>
          <w:bCs/>
          <w:b/>
        </w:rPr>
        <w:t xml:space="preserve">Parameter definitions</w:t>
      </w:r>
      <w:r>
        <w:t xml:space="preserve"> </w:t>
      </w:r>
      <w:r>
        <w:t xml:space="preserve">- Metadata describing what is being measured, including units, aggregation methods, and standard name mappings. Parameter definitions also describe how observations are structured in</w:t>
      </w:r>
      <w:r>
        <w:t xml:space="preserve"> </w:t>
      </w:r>
      <w:r>
        <w:rPr>
          <w:rStyle w:val="VerbatimChar"/>
        </w:rPr>
        <w:t xml:space="preserve">Data</w:t>
      </w:r>
      <w:r>
        <w:t xml:space="preserve"> </w:t>
      </w:r>
      <w:r>
        <w:t xml:space="preserve">messages.</w:t>
      </w:r>
    </w:p>
    <w:p>
      <w:pPr>
        <w:numPr>
          <w:ilvl w:val="0"/>
          <w:numId w:val="1005"/>
        </w:numPr>
      </w:pPr>
      <w:r>
        <w:rPr>
          <w:bCs/>
          <w:b/>
        </w:rPr>
        <w:t xml:space="preserve">Values</w:t>
      </w:r>
      <w:r>
        <w:t xml:space="preserve"> </w:t>
      </w:r>
      <w:r>
        <w:t xml:space="preserve">- The actual measurement data, supporting multiple numeric types, strings, booleans, and explicit representation of missing data</w:t>
      </w:r>
    </w:p>
    <w:p>
      <w:pPr>
        <w:pStyle w:val="FirstParagraph"/>
      </w:pPr>
      <w:r>
        <w:t xml:space="preserve">Each</w:t>
      </w:r>
      <w:r>
        <w:t xml:space="preserve"> </w:t>
      </w:r>
      <w:r>
        <w:rPr>
          <w:rStyle w:val="VerbatimChar"/>
        </w:rPr>
        <w:t xml:space="preserve">Observation</w:t>
      </w:r>
      <w:r>
        <w:t xml:space="preserve"> </w:t>
      </w:r>
      <w:r>
        <w:t xml:space="preserve">references a</w:t>
      </w:r>
      <w:r>
        <w:t xml:space="preserve"> </w:t>
      </w:r>
      <w:r>
        <w:rPr>
          <w:rStyle w:val="VerbatimChar"/>
        </w:rPr>
        <w:t xml:space="preserve">ParameterDefinition</w:t>
      </w:r>
      <w:r>
        <w:t xml:space="preserve"> </w:t>
      </w:r>
      <w:r>
        <w:t xml:space="preserve">by identifier. Each</w:t>
      </w:r>
      <w:r>
        <w:t xml:space="preserve"> </w:t>
      </w:r>
      <w:r>
        <w:rPr>
          <w:rStyle w:val="VerbatimChar"/>
        </w:rPr>
        <w:t xml:space="preserve">ParameterDefinition</w:t>
      </w:r>
      <w:r>
        <w:t xml:space="preserve"> </w:t>
      </w:r>
      <w:r>
        <w:t xml:space="preserve">contains one or more</w:t>
      </w:r>
      <w:r>
        <w:t xml:space="preserve"> </w:t>
      </w:r>
      <w:r>
        <w:rPr>
          <w:rStyle w:val="VerbatimChar"/>
        </w:rPr>
        <w:t xml:space="preserve">Parameter</w:t>
      </w:r>
      <w:r>
        <w:t xml:space="preserve"> </w:t>
      </w:r>
      <w:r>
        <w:t xml:space="preserve">specifications that describe the measured variable, its unit, temporal aggregation method, and which device performs the measurement.</w:t>
      </w:r>
    </w:p>
    <w:bookmarkEnd w:id="72"/>
    <w:bookmarkStart w:id="73"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6"/>
        </w:numPr>
      </w:pPr>
      <w:r>
        <w:rPr>
          <w:bCs/>
          <w:b/>
        </w:rPr>
        <w:t xml:space="preserve">Efficiency</w:t>
      </w:r>
      <w:r>
        <w:t xml:space="preserve"> </w:t>
      </w:r>
      <w:r>
        <w:t xml:space="preserve">- Optimized for bandwidth-constrained environments but focusing on IP communication rather than extremely low-level binary formats</w:t>
      </w:r>
    </w:p>
    <w:p>
      <w:pPr>
        <w:numPr>
          <w:ilvl w:val="0"/>
          <w:numId w:val="1006"/>
        </w:numPr>
      </w:pPr>
      <w:r>
        <w:rPr>
          <w:bCs/>
          <w:b/>
        </w:rPr>
        <w:t xml:space="preserve">Extensibility</w:t>
      </w:r>
      <w:r>
        <w:t xml:space="preserve"> </w:t>
      </w:r>
      <w:r>
        <w:t xml:space="preserve">- Support for multiple value types and flexible parameter definitions</w:t>
      </w:r>
    </w:p>
    <w:p>
      <w:pPr>
        <w:numPr>
          <w:ilvl w:val="0"/>
          <w:numId w:val="1006"/>
        </w:numPr>
      </w:pPr>
      <w:r>
        <w:rPr>
          <w:bCs/>
          <w:b/>
        </w:rPr>
        <w:t xml:space="preserve">Self-description</w:t>
      </w:r>
      <w:r>
        <w:t xml:space="preserve"> </w:t>
      </w:r>
      <w:r>
        <w:t xml:space="preserve">- Metadata provides complete context for interpreting observations</w:t>
      </w:r>
    </w:p>
    <w:p>
      <w:pPr>
        <w:numPr>
          <w:ilvl w:val="0"/>
          <w:numId w:val="1006"/>
        </w:numPr>
      </w:pPr>
      <w:r>
        <w:rPr>
          <w:bCs/>
          <w:b/>
        </w:rPr>
        <w:t xml:space="preserve">Explicit missing values</w:t>
      </w:r>
      <w:r>
        <w:t xml:space="preserve"> </w:t>
      </w:r>
      <w:r>
        <w:t xml:space="preserve">- Clear distinction between unavailable data and zero/false measurements</w:t>
      </w:r>
    </w:p>
    <w:p>
      <w:pPr>
        <w:numPr>
          <w:ilvl w:val="0"/>
          <w:numId w:val="1006"/>
        </w:numPr>
      </w:pPr>
      <w:r>
        <w:rPr>
          <w:bCs/>
          <w:b/>
        </w:rPr>
        <w:t xml:space="preserve">Batch transmission</w:t>
      </w:r>
      <w:r>
        <w:t xml:space="preserve"> </w:t>
      </w:r>
      <w:r>
        <w:t xml:space="preserve">- Multiple observations may be included in a single</w:t>
      </w:r>
      <w:r>
        <w:t xml:space="preserve"> </w:t>
      </w:r>
      <w:r>
        <w:rPr>
          <w:rStyle w:val="VerbatimChar"/>
        </w:rPr>
        <w:t xml:space="preserve">Data</w:t>
      </w:r>
      <w:r>
        <w:t xml:space="preserve"> </w:t>
      </w:r>
      <w:r>
        <w:t xml:space="preserve">message</w:t>
      </w:r>
    </w:p>
    <w:p>
      <w:pPr>
        <w:numPr>
          <w:ilvl w:val="0"/>
          <w:numId w:val="1006"/>
        </w:numPr>
      </w:pPr>
      <w:r>
        <w:rPr>
          <w:bCs/>
          <w:b/>
        </w:rPr>
        <w:t xml:space="preserve">Standard name interoperability</w:t>
      </w:r>
      <w:r>
        <w:t xml:space="preserve"> </w:t>
      </w:r>
      <w:r>
        <w:t xml:space="preserve">- Mapping to external naming conventions through namespace definitions</w:t>
      </w:r>
    </w:p>
    <w:bookmarkEnd w:id="73"/>
    <w:bookmarkEnd w:id="74"/>
    <w:bookmarkStart w:id="77" w:name="X420eafb99047cba937d0193d2433ab87194b2c1"/>
    <w:p>
      <w:pPr>
        <w:pStyle w:val="Heading2"/>
      </w:pPr>
      <w:r>
        <w:t xml:space="preserve">Messages</w:t>
      </w:r>
    </w:p>
    <w:bookmarkStart w:id="75" w:name="Xfc8cf4c3e1864f20c9bd5ac1430955c8f69814c"/>
    <w:p>
      <w:pPr>
        <w:pStyle w:val="Heading3"/>
      </w:pPr>
      <w:r>
        <w:t xml:space="preserve">Metadata message</w:t>
      </w:r>
    </w:p>
    <w:p>
      <w:pPr>
        <w:pStyle w:val="FirstParagraph"/>
      </w:pPr>
      <w:r>
        <w:t xml:space="preserve">The</w:t>
      </w:r>
      <w:r>
        <w:t xml:space="preserve"> </w:t>
      </w:r>
      <w:r>
        <w:rPr>
          <w:rStyle w:val="VerbatimChar"/>
        </w:rPr>
        <w:t xml:space="preserve">Metadata</w:t>
      </w:r>
      <w:r>
        <w:t xml:space="preserve"> </w:t>
      </w:r>
      <w:r>
        <w:t xml:space="preserve">message provides configuration and contextual information about the Node, including descriptions of devices and the parameters they measure. This message shall be transmitted at least once after Node initialization and whenever the configuration changes.</w:t>
      </w:r>
    </w:p>
    <w:p>
      <w:pPr>
        <w:pStyle w:val="BodyText"/>
      </w:pPr>
      <w:r>
        <w:t xml:space="preserve">The</w:t>
      </w:r>
      <w:r>
        <w:t xml:space="preserve"> </w:t>
      </w:r>
      <w:r>
        <w:rPr>
          <w:rStyle w:val="VerbatimChar"/>
        </w:rPr>
        <w:t xml:space="preserve">Metadata</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node</w:t>
            </w:r>
          </w:p>
        </w:tc>
        <w:tc>
          <w:tcPr/>
          <w:p>
            <w:pPr>
              <w:jc w:val="left"/>
            </w:pPr>
            <w:r>
              <w:t xml:space="preserve">Node</w:t>
            </w:r>
          </w:p>
        </w:tc>
        <w:tc>
          <w:tcPr/>
          <w:p>
            <w:pPr>
              <w:jc w:val="left"/>
            </w:pPr>
            <w:r>
              <w:t xml:space="preserve">required</w:t>
            </w:r>
          </w:p>
        </w:tc>
        <w:tc>
          <w:tcPr/>
          <w:p>
            <w:pPr>
              <w:jc w:val="left"/>
            </w:pPr>
            <w:r>
              <w:t xml:space="preserve">Description of the Node device (datalogger or station)</w:t>
            </w:r>
          </w:p>
        </w:tc>
      </w:tr>
      <w:tr>
        <w:tc>
          <w:tcPr/>
          <w:p>
            <w:pPr>
              <w:jc w:val="left"/>
            </w:pPr>
            <w:r>
              <w:t xml:space="preserve">observers</w:t>
            </w:r>
          </w:p>
        </w:tc>
        <w:tc>
          <w:tcPr/>
          <w:p>
            <w:pPr>
              <w:jc w:val="left"/>
            </w:pPr>
            <w:r>
              <w:t xml:space="preserve">ObserverDevice</w:t>
            </w:r>
          </w:p>
        </w:tc>
        <w:tc>
          <w:tcPr/>
          <w:p>
            <w:pPr>
              <w:jc w:val="left"/>
            </w:pPr>
            <w:r>
              <w:t xml:space="preserve">repeated</w:t>
            </w:r>
          </w:p>
        </w:tc>
        <w:tc>
          <w:tcPr/>
          <w:p>
            <w:pPr>
              <w:jc w:val="left"/>
            </w:pPr>
            <w:r>
              <w:t xml:space="preserve">Descriptions of individual sensor devices connected to the node</w:t>
            </w:r>
          </w:p>
        </w:tc>
      </w:tr>
      <w:tr>
        <w:tc>
          <w:tcPr/>
          <w:p>
            <w:pPr>
              <w:jc w:val="left"/>
            </w:pPr>
            <w:r>
              <w:t xml:space="preserve">parameterDefinitions</w:t>
            </w:r>
          </w:p>
        </w:tc>
        <w:tc>
          <w:tcPr/>
          <w:p>
            <w:pPr>
              <w:jc w:val="left"/>
            </w:pPr>
            <w:r>
              <w:t xml:space="preserve">ParameterDefinition</w:t>
            </w:r>
          </w:p>
        </w:tc>
        <w:tc>
          <w:tcPr/>
          <w:p>
            <w:pPr>
              <w:jc w:val="left"/>
            </w:pPr>
            <w:r>
              <w:t xml:space="preserve">repeated</w:t>
            </w:r>
          </w:p>
        </w:tc>
        <w:tc>
          <w:tcPr/>
          <w:p>
            <w:pPr>
              <w:jc w:val="left"/>
            </w:pPr>
            <w:r>
              <w:t xml:space="preserve">Definitions of the parameters used in observations</w:t>
            </w:r>
          </w:p>
        </w:tc>
      </w:tr>
      <w:tr>
        <w:tc>
          <w:tcPr/>
          <w:p>
            <w:pPr>
              <w:jc w:val="left"/>
            </w:pPr>
            <w:r>
              <w:t xml:space="preserve">namespaces</w:t>
            </w:r>
          </w:p>
        </w:tc>
        <w:tc>
          <w:tcPr/>
          <w:p>
            <w:pPr>
              <w:jc w:val="left"/>
            </w:pPr>
            <w:r>
              <w:t xml:space="preserve">map&lt;string, string&gt;</w:t>
            </w:r>
          </w:p>
        </w:tc>
        <w:tc>
          <w:tcPr/>
          <w:p>
            <w:pPr>
              <w:jc w:val="left"/>
            </w:pPr>
            <w:r>
              <w:t xml:space="preserve">optional</w:t>
            </w:r>
          </w:p>
        </w:tc>
        <w:tc>
          <w:tcPr/>
          <w:p>
            <w:pPr>
              <w:jc w:val="left"/>
            </w:pPr>
            <w:r>
              <w:t xml:space="preserve">Mapping of namespace prefixes to their corresponding URIs for standard name resolution</w:t>
            </w:r>
          </w:p>
        </w:tc>
      </w:tr>
    </w:tbl>
    <w:p>
      <w:pPr>
        <w:pStyle w:val="BodyText"/>
      </w:pPr>
      <w:r>
        <w:t xml:space="preserve">The</w:t>
      </w:r>
      <w:r>
        <w:t xml:space="preserve"> </w:t>
      </w:r>
      <w:r>
        <w:rPr>
          <w:rStyle w:val="VerbatimChar"/>
        </w:rPr>
        <w:t xml:space="preserve">namespaces</w:t>
      </w:r>
      <w:r>
        <w:t xml:space="preserve"> </w:t>
      </w:r>
      <w:r>
        <w:t xml:space="preserve">field provides the mapping between namespace keys used in</w:t>
      </w:r>
      <w:r>
        <w:t xml:space="preserve"> </w:t>
      </w:r>
      <w:r>
        <w:rPr>
          <w:rStyle w:val="VerbatimChar"/>
        </w:rPr>
        <w:t xml:space="preserve">Parameter.standardNames</w:t>
      </w:r>
      <w:r>
        <w:t xml:space="preserve"> </w:t>
      </w:r>
      <w:r>
        <w:t xml:space="preserve">and their full URIs or identifiers. For example, mapping the key</w:t>
      </w:r>
      <w:r>
        <w:t xml:space="preserve"> </w:t>
      </w:r>
      <w:r>
        <w:rPr>
          <w:rStyle w:val="VerbatimChar"/>
        </w:rPr>
        <w:t xml:space="preserve">"cf"</w:t>
      </w:r>
      <w:r>
        <w:t xml:space="preserve"> </w:t>
      </w:r>
      <w:r>
        <w:t xml:space="preserve">to the URI</w:t>
      </w:r>
      <w:r>
        <w:t xml:space="preserve"> </w:t>
      </w:r>
      <w:r>
        <w:rPr>
          <w:rStyle w:val="VerbatimChar"/>
        </w:rPr>
        <w:t xml:space="preserve">"https://vocab.nerc.ac.uk/collection/P07/current/"</w:t>
      </w:r>
      <w:r>
        <w:t xml:space="preserve"> </w:t>
      </w:r>
      <w:r>
        <w:t xml:space="preserve">enables the use of Climate and Forecast (CF) convention standard names.</w:t>
      </w:r>
    </w:p>
    <w:bookmarkEnd w:id="75"/>
    <w:bookmarkStart w:id="76" w:name="X0590ef715debb49e39b2605ddcdd646ea9b2157"/>
    <w:p>
      <w:pPr>
        <w:pStyle w:val="Heading3"/>
      </w:pPr>
      <w:r>
        <w:t xml:space="preserve">Data message</w:t>
      </w:r>
    </w:p>
    <w:p>
      <w:pPr>
        <w:pStyle w:val="FirstParagraph"/>
      </w:pPr>
      <w:r>
        <w:t xml:space="preserve">The</w:t>
      </w:r>
      <w:r>
        <w:t xml:space="preserve"> </w:t>
      </w:r>
      <w:r>
        <w:rPr>
          <w:rStyle w:val="VerbatimChar"/>
        </w:rPr>
        <w:t xml:space="preserve">Data</w:t>
      </w:r>
      <w:r>
        <w:t xml:space="preserve"> </w:t>
      </w:r>
      <w:r>
        <w:t xml:space="preserve">message is the primary container for transmitting observation data from the Node to the Host. This message may be transmitted as frequently as needed to deliver current or batched observations.</w:t>
      </w:r>
    </w:p>
    <w:p>
      <w:pPr>
        <w:pStyle w:val="BodyText"/>
      </w:pPr>
      <w:r>
        <w:t xml:space="preserve">The</w:t>
      </w:r>
      <w:r>
        <w:t xml:space="preserve"> </w:t>
      </w:r>
      <w:r>
        <w:rPr>
          <w:rStyle w:val="VerbatimChar"/>
        </w:rPr>
        <w:t xml:space="preserve">Data</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observations</w:t>
            </w:r>
          </w:p>
        </w:tc>
        <w:tc>
          <w:tcPr/>
          <w:p>
            <w:pPr>
              <w:jc w:val="left"/>
            </w:pPr>
            <w:r>
              <w:t xml:space="preserve">Observation</w:t>
            </w:r>
          </w:p>
        </w:tc>
        <w:tc>
          <w:tcPr/>
          <w:p>
            <w:pPr>
              <w:jc w:val="left"/>
            </w:pPr>
            <w:r>
              <w:t xml:space="preserve">repeated</w:t>
            </w:r>
          </w:p>
        </w:tc>
        <w:tc>
          <w:tcPr/>
          <w:p>
            <w:pPr>
              <w:jc w:val="left"/>
            </w:pPr>
            <w:r>
              <w:t xml:space="preserve">Zero or more observation measurements</w:t>
            </w:r>
          </w:p>
        </w:tc>
      </w:tr>
    </w:tbl>
    <w:p>
      <w:pPr>
        <w:pStyle w:val="BodyText"/>
      </w:pPr>
      <w:r>
        <w:t xml:space="preserve">A</w:t>
      </w:r>
      <w:r>
        <w:t xml:space="preserve"> </w:t>
      </w:r>
      <w:r>
        <w:rPr>
          <w:rStyle w:val="VerbatimChar"/>
        </w:rPr>
        <w:t xml:space="preserve">Data</w:t>
      </w:r>
      <w:r>
        <w:t xml:space="preserve"> </w:t>
      </w:r>
      <w:r>
        <w:t xml:space="preserve">message may contain multiple</w:t>
      </w:r>
      <w:r>
        <w:t xml:space="preserve"> </w:t>
      </w:r>
      <w:r>
        <w:rPr>
          <w:rStyle w:val="VerbatimChar"/>
        </w:rPr>
        <w:t xml:space="preserve">Observation</w:t>
      </w:r>
      <w:r>
        <w:t xml:space="preserve"> </w:t>
      </w:r>
      <w:r>
        <w:t xml:space="preserve">messages, enabling efficient batch transmission of measurement data. Each observation is independent and contains its own timestamp and parameter reference.</w:t>
      </w:r>
    </w:p>
    <w:p>
      <w:pPr>
        <w:pStyle w:val="BodyText"/>
      </w:pPr>
      <w:r>
        <w:t xml:space="preserve">The Node may transmit</w:t>
      </w:r>
      <w:r>
        <w:t xml:space="preserve"> </w:t>
      </w:r>
      <w:r>
        <w:rPr>
          <w:rStyle w:val="VerbatimChar"/>
        </w:rPr>
        <w:t xml:space="preserve">Data</w:t>
      </w:r>
      <w:r>
        <w:t xml:space="preserve"> </w:t>
      </w:r>
      <w:r>
        <w:t xml:space="preserve">messages containing observations that reference parameter definitions not yet received by the Host. In this case, the Host shall buffer or queue such observations until the corresponding</w:t>
      </w:r>
      <w:r>
        <w:t xml:space="preserve"> </w:t>
      </w:r>
      <w:r>
        <w:rPr>
          <w:rStyle w:val="VerbatimChar"/>
        </w:rPr>
        <w:t xml:space="preserve">Metadata</w:t>
      </w:r>
      <w:r>
        <w:t xml:space="preserve"> </w:t>
      </w:r>
      <w:r>
        <w:t xml:space="preserve">message is received.</w:t>
      </w:r>
    </w:p>
    <w:bookmarkEnd w:id="76"/>
    <w:bookmarkEnd w:id="77"/>
    <w:bookmarkStart w:id="81" w:name="Xbd912a1b208cf7978018667c41315c818d4ee90"/>
    <w:p>
      <w:pPr>
        <w:pStyle w:val="Heading2"/>
      </w:pPr>
      <w:r>
        <w:t xml:space="preserve">Devices</w:t>
      </w:r>
    </w:p>
    <w:bookmarkStart w:id="78" w:name="Xc48dece0a9cb544d69404c0a07854fc317512bc"/>
    <w:p>
      <w:pPr>
        <w:pStyle w:val="Heading3"/>
      </w:pPr>
      <w:r>
        <w:t xml:space="preserve">Node device</w:t>
      </w:r>
    </w:p>
    <w:p>
      <w:pPr>
        <w:pStyle w:val="FirstParagraph"/>
      </w:pPr>
      <w:r>
        <w:t xml:space="preserve">The</w:t>
      </w:r>
      <w:r>
        <w:t xml:space="preserve"> </w:t>
      </w:r>
      <w:r>
        <w:rPr>
          <w:rStyle w:val="VerbatimChar"/>
        </w:rPr>
        <w:t xml:space="preserve">Node</w:t>
      </w:r>
      <w:r>
        <w:t xml:space="preserve"> </w:t>
      </w:r>
      <w:r>
        <w:t xml:space="preserve">message describes the Node device itself, typically a datalogger or observation station.</w:t>
      </w:r>
    </w:p>
    <w:p>
      <w:pPr>
        <w:pStyle w:val="BodyText"/>
      </w:pPr>
      <w:r>
        <w:t xml:space="preserve">The</w:t>
      </w:r>
      <w:r>
        <w:t xml:space="preserve"> </w:t>
      </w:r>
      <w:r>
        <w:rPr>
          <w:rStyle w:val="VerbatimChar"/>
        </w:rPr>
        <w:t xml:space="preserve">Node</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name</w:t>
            </w:r>
          </w:p>
        </w:tc>
        <w:tc>
          <w:tcPr/>
          <w:p>
            <w:pPr>
              <w:jc w:val="left"/>
            </w:pPr>
            <w:r>
              <w:t xml:space="preserve">string</w:t>
            </w:r>
          </w:p>
        </w:tc>
        <w:tc>
          <w:tcPr/>
          <w:p>
            <w:pPr>
              <w:jc w:val="left"/>
            </w:pPr>
            <w:r>
              <w:t xml:space="preserve">required</w:t>
            </w:r>
          </w:p>
        </w:tc>
        <w:tc>
          <w:tcPr/>
          <w:p>
            <w:pPr>
              <w:jc w:val="left"/>
            </w:pPr>
            <w:r>
              <w:t xml:space="preserve">Name or model designation of the node device</w:t>
            </w:r>
          </w:p>
        </w:tc>
      </w:tr>
      <w:tr>
        <w:tc>
          <w:tcPr/>
          <w:p>
            <w:pPr>
              <w:jc w:val="left"/>
            </w:pPr>
            <w:r>
              <w:t xml:space="preserve">location</w:t>
            </w:r>
          </w:p>
        </w:tc>
        <w:tc>
          <w:tcPr/>
          <w:p>
            <w:pPr>
              <w:jc w:val="left"/>
            </w:pPr>
            <w:r>
              <w:t xml:space="preserve">Location</w:t>
            </w:r>
          </w:p>
        </w:tc>
        <w:tc>
          <w:tcPr/>
          <w:p>
            <w:pPr>
              <w:jc w:val="left"/>
            </w:pPr>
            <w:r>
              <w:t xml:space="preserve">optional</w:t>
            </w:r>
          </w:p>
        </w:tc>
        <w:tc>
          <w:tcPr/>
          <w:p>
            <w:pPr>
              <w:jc w:val="left"/>
            </w:pPr>
            <w:r>
              <w:t xml:space="preserve">Geographic location of the node device</w:t>
            </w:r>
          </w:p>
        </w:tc>
      </w:tr>
      <w:tr>
        <w:tc>
          <w:tcPr/>
          <w:p>
            <w:pPr>
              <w:jc w:val="left"/>
            </w:pPr>
            <w:r>
              <w:t xml:space="preserve">url</w:t>
            </w:r>
          </w:p>
        </w:tc>
        <w:tc>
          <w:tcPr/>
          <w:p>
            <w:pPr>
              <w:jc w:val="left"/>
            </w:pPr>
            <w:r>
              <w:t xml:space="preserve">string</w:t>
            </w:r>
          </w:p>
        </w:tc>
        <w:tc>
          <w:tcPr/>
          <w:p>
            <w:pPr>
              <w:jc w:val="left"/>
            </w:pPr>
            <w:r>
              <w:t xml:space="preserve">optional</w:t>
            </w:r>
          </w:p>
        </w:tc>
        <w:tc>
          <w:tcPr/>
          <w:p>
            <w:pPr>
              <w:jc w:val="left"/>
            </w:pPr>
            <w:r>
              <w:t xml:space="preserve">URI reference to additional metadata about the device</w:t>
            </w:r>
          </w:p>
        </w:tc>
      </w:tr>
      <w:tr>
        <w:tc>
          <w:tcPr/>
          <w:p>
            <w:pPr>
              <w:jc w:val="left"/>
            </w:pPr>
            <w:r>
              <w:t xml:space="preserve">serialNumber</w:t>
            </w:r>
          </w:p>
        </w:tc>
        <w:tc>
          <w:tcPr/>
          <w:p>
            <w:pPr>
              <w:jc w:val="left"/>
            </w:pPr>
            <w:r>
              <w:t xml:space="preserve">string</w:t>
            </w:r>
          </w:p>
        </w:tc>
        <w:tc>
          <w:tcPr/>
          <w:p>
            <w:pPr>
              <w:jc w:val="left"/>
            </w:pPr>
            <w:r>
              <w:t xml:space="preserve">optional</w:t>
            </w:r>
          </w:p>
        </w:tc>
        <w:tc>
          <w:tcPr/>
          <w:p>
            <w:pPr>
              <w:jc w:val="left"/>
            </w:pPr>
            <w:r>
              <w:t xml:space="preserve">Manufacturer’s serial number of the device</w:t>
            </w:r>
          </w:p>
        </w:tc>
      </w:tr>
      <w:tr>
        <w:tc>
          <w:tcPr/>
          <w:p>
            <w:pPr>
              <w:jc w:val="left"/>
            </w:pPr>
            <w:r>
              <w:t xml:space="preserve">firmwareVersion</w:t>
            </w:r>
          </w:p>
        </w:tc>
        <w:tc>
          <w:tcPr/>
          <w:p>
            <w:pPr>
              <w:jc w:val="left"/>
            </w:pPr>
            <w:r>
              <w:t xml:space="preserve">string</w:t>
            </w:r>
          </w:p>
        </w:tc>
        <w:tc>
          <w:tcPr/>
          <w:p>
            <w:pPr>
              <w:jc w:val="left"/>
            </w:pPr>
            <w:r>
              <w:t xml:space="preserve">optional</w:t>
            </w:r>
          </w:p>
        </w:tc>
        <w:tc>
          <w:tcPr/>
          <w:p>
            <w:pPr>
              <w:jc w:val="left"/>
            </w:pPr>
            <w:r>
              <w:t xml:space="preserve">Firmware version of the device, typically in format such as "5.1" or "2.7.1-alpha"</w:t>
            </w:r>
          </w:p>
        </w:tc>
      </w:tr>
    </w:tbl>
    <w:p>
      <w:pPr>
        <w:pStyle w:val="BodyText"/>
      </w:pPr>
      <w:r>
        <w:t xml:space="preserve">The</w:t>
      </w:r>
      <w:r>
        <w:t xml:space="preserve"> </w:t>
      </w:r>
      <w:r>
        <w:rPr>
          <w:rStyle w:val="VerbatimChar"/>
        </w:rPr>
        <w:t xml:space="preserve">name</w:t>
      </w:r>
      <w:r>
        <w:t xml:space="preserve"> </w:t>
      </w:r>
      <w:r>
        <w:t xml:space="preserve">field should contain a human-readable identification of the device, such as its model name or type designation.</w:t>
      </w:r>
    </w:p>
    <w:bookmarkEnd w:id="78"/>
    <w:bookmarkStart w:id="79" w:name="Xce9718d361137631e3f58eeec0d854504e24d6c"/>
    <w:p>
      <w:pPr>
        <w:pStyle w:val="Heading3"/>
      </w:pPr>
      <w:r>
        <w:t xml:space="preserve">Observer device</w:t>
      </w:r>
    </w:p>
    <w:p>
      <w:pPr>
        <w:pStyle w:val="FirstParagraph"/>
      </w:pPr>
      <w:r>
        <w:t xml:space="preserve">The</w:t>
      </w:r>
      <w:r>
        <w:t xml:space="preserve"> </w:t>
      </w:r>
      <w:r>
        <w:rPr>
          <w:rStyle w:val="VerbatimChar"/>
        </w:rPr>
        <w:t xml:space="preserve">ObserverDevice</w:t>
      </w:r>
      <w:r>
        <w:t xml:space="preserve"> </w:t>
      </w:r>
      <w:r>
        <w:t xml:space="preserve">message describes an individual sensor or measurement device connected to the Node Device.</w:t>
      </w:r>
    </w:p>
    <w:p>
      <w:pPr>
        <w:pStyle w:val="BodyText"/>
      </w:pPr>
      <w:r>
        <w:t xml:space="preserve">The</w:t>
      </w:r>
      <w:r>
        <w:t xml:space="preserve"> </w:t>
      </w:r>
      <w:r>
        <w:rPr>
          <w:rStyle w:val="VerbatimChar"/>
        </w:rPr>
        <w:t xml:space="preserve">ObserverDevice</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id</w:t>
            </w:r>
          </w:p>
        </w:tc>
        <w:tc>
          <w:tcPr/>
          <w:p>
            <w:pPr>
              <w:jc w:val="left"/>
            </w:pPr>
            <w:r>
              <w:t xml:space="preserve">uint32</w:t>
            </w:r>
          </w:p>
        </w:tc>
        <w:tc>
          <w:tcPr/>
          <w:p>
            <w:pPr>
              <w:jc w:val="left"/>
            </w:pPr>
            <w:r>
              <w:t xml:space="preserve">required</w:t>
            </w:r>
          </w:p>
        </w:tc>
        <w:tc>
          <w:tcPr/>
          <w:p>
            <w:pPr>
              <w:jc w:val="left"/>
            </w:pPr>
            <w:r>
              <w:t xml:space="preserve">Unique identifier for this observer within the context of this node</w:t>
            </w:r>
          </w:p>
        </w:tc>
      </w:tr>
      <w:tr>
        <w:tc>
          <w:tcPr/>
          <w:p>
            <w:pPr>
              <w:jc w:val="left"/>
            </w:pPr>
            <w:r>
              <w:t xml:space="preserve">name</w:t>
            </w:r>
          </w:p>
        </w:tc>
        <w:tc>
          <w:tcPr/>
          <w:p>
            <w:pPr>
              <w:jc w:val="left"/>
            </w:pPr>
            <w:r>
              <w:t xml:space="preserve">string</w:t>
            </w:r>
          </w:p>
        </w:tc>
        <w:tc>
          <w:tcPr/>
          <w:p>
            <w:pPr>
              <w:jc w:val="left"/>
            </w:pPr>
            <w:r>
              <w:t xml:space="preserve">required</w:t>
            </w:r>
          </w:p>
        </w:tc>
        <w:tc>
          <w:tcPr/>
          <w:p>
            <w:pPr>
              <w:jc w:val="left"/>
            </w:pPr>
            <w:r>
              <w:t xml:space="preserve">Name or model designation of the observer device</w:t>
            </w:r>
          </w:p>
        </w:tc>
      </w:tr>
      <w:tr>
        <w:tc>
          <w:tcPr/>
          <w:p>
            <w:pPr>
              <w:jc w:val="left"/>
            </w:pPr>
            <w:r>
              <w:t xml:space="preserve">location</w:t>
            </w:r>
          </w:p>
        </w:tc>
        <w:tc>
          <w:tcPr/>
          <w:p>
            <w:pPr>
              <w:jc w:val="left"/>
            </w:pPr>
            <w:r>
              <w:t xml:space="preserve">Location</w:t>
            </w:r>
          </w:p>
        </w:tc>
        <w:tc>
          <w:tcPr/>
          <w:p>
            <w:pPr>
              <w:jc w:val="left"/>
            </w:pPr>
            <w:r>
              <w:t xml:space="preserve">optional</w:t>
            </w:r>
          </w:p>
        </w:tc>
        <w:tc>
          <w:tcPr/>
          <w:p>
            <w:pPr>
              <w:jc w:val="left"/>
            </w:pPr>
            <w:r>
              <w:t xml:space="preserve">Geographic location of the observer device</w:t>
            </w:r>
          </w:p>
        </w:tc>
      </w:tr>
      <w:tr>
        <w:tc>
          <w:tcPr/>
          <w:p>
            <w:pPr>
              <w:jc w:val="left"/>
            </w:pPr>
            <w:r>
              <w:t xml:space="preserve">url</w:t>
            </w:r>
          </w:p>
        </w:tc>
        <w:tc>
          <w:tcPr/>
          <w:p>
            <w:pPr>
              <w:jc w:val="left"/>
            </w:pPr>
            <w:r>
              <w:t xml:space="preserve">string</w:t>
            </w:r>
          </w:p>
        </w:tc>
        <w:tc>
          <w:tcPr/>
          <w:p>
            <w:pPr>
              <w:jc w:val="left"/>
            </w:pPr>
            <w:r>
              <w:t xml:space="preserve">optional</w:t>
            </w:r>
          </w:p>
        </w:tc>
        <w:tc>
          <w:tcPr/>
          <w:p>
            <w:pPr>
              <w:jc w:val="left"/>
            </w:pPr>
            <w:r>
              <w:t xml:space="preserve">URI reference to additional metadata about the device</w:t>
            </w:r>
          </w:p>
        </w:tc>
      </w:tr>
      <w:tr>
        <w:tc>
          <w:tcPr/>
          <w:p>
            <w:pPr>
              <w:jc w:val="left"/>
            </w:pPr>
            <w:r>
              <w:t xml:space="preserve">serialNumber</w:t>
            </w:r>
          </w:p>
        </w:tc>
        <w:tc>
          <w:tcPr/>
          <w:p>
            <w:pPr>
              <w:jc w:val="left"/>
            </w:pPr>
            <w:r>
              <w:t xml:space="preserve">string</w:t>
            </w:r>
          </w:p>
        </w:tc>
        <w:tc>
          <w:tcPr/>
          <w:p>
            <w:pPr>
              <w:jc w:val="left"/>
            </w:pPr>
            <w:r>
              <w:t xml:space="preserve">optional</w:t>
            </w:r>
          </w:p>
        </w:tc>
        <w:tc>
          <w:tcPr/>
          <w:p>
            <w:pPr>
              <w:jc w:val="left"/>
            </w:pPr>
            <w:r>
              <w:t xml:space="preserve">Manufacturer’s serial number of the device</w:t>
            </w:r>
          </w:p>
        </w:tc>
      </w:tr>
      <w:tr>
        <w:tc>
          <w:tcPr/>
          <w:p>
            <w:pPr>
              <w:jc w:val="left"/>
            </w:pPr>
            <w:r>
              <w:t xml:space="preserve">firmwareVersion</w:t>
            </w:r>
          </w:p>
        </w:tc>
        <w:tc>
          <w:tcPr/>
          <w:p>
            <w:pPr>
              <w:jc w:val="left"/>
            </w:pPr>
            <w:r>
              <w:t xml:space="preserve">string</w:t>
            </w:r>
          </w:p>
        </w:tc>
        <w:tc>
          <w:tcPr/>
          <w:p>
            <w:pPr>
              <w:jc w:val="left"/>
            </w:pPr>
            <w:r>
              <w:t xml:space="preserve">optional</w:t>
            </w:r>
          </w:p>
        </w:tc>
        <w:tc>
          <w:tcPr/>
          <w:p>
            <w:pPr>
              <w:jc w:val="left"/>
            </w:pPr>
            <w:r>
              <w:t xml:space="preserve">Firmware version of the device</w:t>
            </w:r>
          </w:p>
        </w:tc>
      </w:tr>
    </w:tbl>
    <w:p>
      <w:pPr>
        <w:pStyle w:val="BodyText"/>
      </w:pPr>
      <w:r>
        <w:t xml:space="preserve">The</w:t>
      </w:r>
      <w:r>
        <w:t xml:space="preserve"> </w:t>
      </w:r>
      <w:r>
        <w:rPr>
          <w:rStyle w:val="VerbatimChar"/>
        </w:rPr>
        <w:t xml:space="preserve">id</w:t>
      </w:r>
      <w:r>
        <w:t xml:space="preserve"> </w:t>
      </w:r>
      <w:r>
        <w:t xml:space="preserve">field shall be unique among all observers associated with a single node device. This identifier is used by the</w:t>
      </w:r>
      <w:r>
        <w:t xml:space="preserve"> </w:t>
      </w:r>
      <w:r>
        <w:rPr>
          <w:rStyle w:val="VerbatimChar"/>
        </w:rPr>
        <w:t xml:space="preserve">DeviceRef</w:t>
      </w:r>
      <w:r>
        <w:t xml:space="preserve"> </w:t>
      </w:r>
      <w:r>
        <w:t xml:space="preserve">message to associate parameters with specific observer devices.</w:t>
      </w:r>
    </w:p>
    <w:p>
      <w:pPr>
        <w:pStyle w:val="BodyText"/>
      </w:pPr>
      <w:r>
        <w:t xml:space="preserve">Observer device identifiers shall remain stable across Node restarts and metadata updates to ensure consistent parameter-to-device associations.</w:t>
      </w:r>
    </w:p>
    <w:bookmarkEnd w:id="79"/>
    <w:bookmarkStart w:id="80" w:name="Xbc89f1e7f4a1b1902862b44ea14775bb2c7d8eb"/>
    <w:p>
      <w:pPr>
        <w:pStyle w:val="Heading3"/>
      </w:pPr>
      <w:r>
        <w:t xml:space="preserve">Location and reference surfaces</w:t>
      </w:r>
    </w:p>
    <w:p>
      <w:pPr>
        <w:pStyle w:val="FirstParagraph"/>
      </w:pPr>
      <w:r>
        <w:t xml:space="preserve">The</w:t>
      </w:r>
      <w:r>
        <w:t xml:space="preserve"> </w:t>
      </w:r>
      <w:r>
        <w:rPr>
          <w:rStyle w:val="VerbatimChar"/>
        </w:rPr>
        <w:t xml:space="preserve">Location</w:t>
      </w:r>
      <w:r>
        <w:t xml:space="preserve"> </w:t>
      </w:r>
      <w:r>
        <w:t xml:space="preserve">message specifies the geographic position of a device (either node or observer).</w:t>
      </w:r>
    </w:p>
    <w:p>
      <w:pPr>
        <w:pStyle w:val="BodyText"/>
      </w:pPr>
      <w:r>
        <w:t xml:space="preserve">The</w:t>
      </w:r>
      <w:r>
        <w:t xml:space="preserve"> </w:t>
      </w:r>
      <w:r>
        <w:rPr>
          <w:rStyle w:val="VerbatimChar"/>
        </w:rPr>
        <w:t xml:space="preserve">Location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latitude</w:t>
            </w:r>
          </w:p>
        </w:tc>
        <w:tc>
          <w:tcPr/>
          <w:p>
            <w:pPr>
              <w:jc w:val="left"/>
            </w:pPr>
            <w:r>
              <w:t xml:space="preserve">double</w:t>
            </w:r>
          </w:p>
        </w:tc>
        <w:tc>
          <w:tcPr/>
          <w:p>
            <w:pPr>
              <w:jc w:val="left"/>
            </w:pPr>
            <w:r>
              <w:t xml:space="preserve">optional</w:t>
            </w:r>
          </w:p>
        </w:tc>
        <w:tc>
          <w:tcPr/>
          <w:p>
            <w:pPr>
              <w:jc w:val="left"/>
            </w:pPr>
            <w:r>
              <w:t xml:space="preserve">Latitude in decimal degrees, range -90 to +90</w:t>
            </w:r>
          </w:p>
        </w:tc>
      </w:tr>
      <w:tr>
        <w:tc>
          <w:tcPr/>
          <w:p>
            <w:pPr>
              <w:jc w:val="left"/>
            </w:pPr>
            <w:r>
              <w:t xml:space="preserve">longitude</w:t>
            </w:r>
          </w:p>
        </w:tc>
        <w:tc>
          <w:tcPr/>
          <w:p>
            <w:pPr>
              <w:jc w:val="left"/>
            </w:pPr>
            <w:r>
              <w:t xml:space="preserve">double</w:t>
            </w:r>
          </w:p>
        </w:tc>
        <w:tc>
          <w:tcPr/>
          <w:p>
            <w:pPr>
              <w:jc w:val="left"/>
            </w:pPr>
            <w:r>
              <w:t xml:space="preserve">optional</w:t>
            </w:r>
          </w:p>
        </w:tc>
        <w:tc>
          <w:tcPr/>
          <w:p>
            <w:pPr>
              <w:jc w:val="left"/>
            </w:pPr>
            <w:r>
              <w:t xml:space="preserve">Longitude in decimal degrees, range -180 to +180</w:t>
            </w:r>
          </w:p>
        </w:tc>
      </w:tr>
      <w:tr>
        <w:tc>
          <w:tcPr/>
          <w:p>
            <w:pPr>
              <w:jc w:val="left"/>
            </w:pPr>
            <w:r>
              <w:t xml:space="preserve">heightMeter</w:t>
            </w:r>
          </w:p>
        </w:tc>
        <w:tc>
          <w:tcPr/>
          <w:p>
            <w:pPr>
              <w:jc w:val="left"/>
            </w:pPr>
            <w:r>
              <w:t xml:space="preserve">double</w:t>
            </w:r>
          </w:p>
        </w:tc>
        <w:tc>
          <w:tcPr/>
          <w:p>
            <w:pPr>
              <w:jc w:val="left"/>
            </w:pPr>
            <w:r>
              <w:t xml:space="preserve">required</w:t>
            </w:r>
          </w:p>
        </w:tc>
        <w:tc>
          <w:tcPr/>
          <w:p>
            <w:pPr>
              <w:jc w:val="left"/>
            </w:pPr>
            <w:r>
              <w:t xml:space="preserve">Height in meters above the reference surface</w:t>
            </w:r>
          </w:p>
        </w:tc>
      </w:tr>
      <w:tr>
        <w:tc>
          <w:tcPr/>
          <w:p>
            <w:pPr>
              <w:jc w:val="left"/>
            </w:pPr>
            <w:r>
              <w:t xml:space="preserve">referenceSurface</w:t>
            </w:r>
          </w:p>
        </w:tc>
        <w:tc>
          <w:tcPr/>
          <w:p>
            <w:pPr>
              <w:jc w:val="left"/>
            </w:pPr>
            <w:r>
              <w:t xml:space="preserve">ReferenceSurface</w:t>
            </w:r>
          </w:p>
        </w:tc>
        <w:tc>
          <w:tcPr/>
          <w:p>
            <w:pPr>
              <w:jc w:val="left"/>
            </w:pPr>
            <w:r>
              <w:t xml:space="preserve">required</w:t>
            </w:r>
          </w:p>
        </w:tc>
        <w:tc>
          <w:tcPr/>
          <w:p>
            <w:pPr>
              <w:jc w:val="left"/>
            </w:pPr>
            <w:r>
              <w:t xml:space="preserve">The reference surface for the height measurement</w:t>
            </w:r>
          </w:p>
        </w:tc>
      </w:tr>
    </w:tbl>
    <w:p>
      <w:pPr>
        <w:pStyle w:val="BodyText"/>
      </w:pPr>
      <w:r>
        <w:t xml:space="preserve">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fields may be omitted when only the local height of a device is known or relevant. The</w:t>
      </w:r>
      <w:r>
        <w:t xml:space="preserve"> </w:t>
      </w:r>
      <w:r>
        <w:rPr>
          <w:rStyle w:val="VerbatimChar"/>
        </w:rPr>
        <w:t xml:space="preserve">heightMeter</w:t>
      </w:r>
      <w:r>
        <w:t xml:space="preserve"> </w:t>
      </w:r>
      <w:r>
        <w:t xml:space="preserve">field shall always be provided together with a</w:t>
      </w:r>
      <w:r>
        <w:t xml:space="preserve"> </w:t>
      </w:r>
      <w:r>
        <w:rPr>
          <w:rStyle w:val="VerbatimChar"/>
        </w:rPr>
        <w:t xml:space="preserve">referenceSurface</w:t>
      </w:r>
      <w:r>
        <w:t xml:space="preserve"> </w:t>
      </w:r>
      <w:r>
        <w:t xml:space="preserve">specification.</w:t>
      </w:r>
    </w:p>
    <w:p>
      <w:pPr>
        <w:pStyle w:val="BodyText"/>
      </w:pPr>
      <w:r>
        <w:t xml:space="preserve">The</w:t>
      </w:r>
      <w:r>
        <w:t xml:space="preserve"> </w:t>
      </w:r>
      <w:r>
        <w:rPr>
          <w:rStyle w:val="VerbatimChar"/>
        </w:rPr>
        <w:t xml:space="preserve">ReferenceSurface</w:t>
      </w:r>
      <w:r>
        <w:t xml:space="preserve"> </w:t>
      </w:r>
      <w:r>
        <w:t xml:space="preserve">enumeration defines the following values: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Value</w:t>
            </w:r>
          </w:p>
        </w:tc>
        <w:tc>
          <w:tcPr/>
          <w:p>
            <w:pPr>
              <w:pStyle w:val="Compact"/>
              <w:jc w:val="left"/>
            </w:pPr>
            <w:r>
              <w:t xml:space="preserve">Description</w:t>
            </w:r>
          </w:p>
        </w:tc>
      </w:tr>
      <w:tr>
        <w:tc>
          <w:tcPr/>
          <w:p>
            <w:pPr>
              <w:jc w:val="left"/>
            </w:pPr>
            <w:r>
              <w:t xml:space="preserve">REFERENCE_SURFACE_UNSPECIFIED</w:t>
            </w:r>
          </w:p>
        </w:tc>
        <w:tc>
          <w:tcPr/>
          <w:p>
            <w:pPr>
              <w:jc w:val="left"/>
            </w:pPr>
            <w:r>
              <w:t xml:space="preserve">Reserved default value. Shall not be explicitly set by Nodes.</w:t>
            </w:r>
          </w:p>
        </w:tc>
      </w:tr>
      <w:tr>
        <w:tc>
          <w:tcPr/>
          <w:p>
            <w:pPr>
              <w:jc w:val="left"/>
            </w:pPr>
            <w:r>
              <w:t xml:space="preserve">MSL</w:t>
            </w:r>
          </w:p>
        </w:tc>
        <w:tc>
          <w:tcPr/>
          <w:p>
            <w:pPr>
              <w:jc w:val="left"/>
            </w:pPr>
            <w:r>
              <w:t xml:space="preserve">Mean Sea Level - the average height of the ocean’s surface</w:t>
            </w:r>
          </w:p>
        </w:tc>
      </w:tr>
      <w:tr>
        <w:tc>
          <w:tcPr/>
          <w:p>
            <w:pPr>
              <w:jc w:val="left"/>
            </w:pPr>
            <w:r>
              <w:t xml:space="preserve">GEOID</w:t>
            </w:r>
          </w:p>
        </w:tc>
        <w:tc>
          <w:tcPr/>
          <w:p>
            <w:pPr>
              <w:jc w:val="left"/>
            </w:pPr>
            <w:r>
              <w:t xml:space="preserve">Geoid - an equipotential surface of the Earth’s gravity field</w:t>
            </w:r>
          </w:p>
        </w:tc>
      </w:tr>
      <w:tr>
        <w:tc>
          <w:tcPr/>
          <w:p>
            <w:pPr>
              <w:jc w:val="left"/>
            </w:pPr>
            <w:r>
              <w:t xml:space="preserve">GL</w:t>
            </w:r>
          </w:p>
        </w:tc>
        <w:tc>
          <w:tcPr/>
          <w:p>
            <w:pPr>
              <w:jc w:val="left"/>
            </w:pPr>
            <w:r>
              <w:t xml:space="preserve">Ground Level - the local ground or surface level at the site</w:t>
            </w:r>
          </w:p>
        </w:tc>
      </w:tr>
      <w:tr>
        <w:tc>
          <w:tcPr/>
          <w:p>
            <w:pPr>
              <w:jc w:val="left"/>
            </w:pPr>
            <w:r>
              <w:t xml:space="preserve">REFERENCE_ELLIPSOID</w:t>
            </w:r>
          </w:p>
        </w:tc>
        <w:tc>
          <w:tcPr/>
          <w:p>
            <w:pPr>
              <w:jc w:val="left"/>
            </w:pPr>
            <w:r>
              <w:t xml:space="preserve">Reference Ellipsoid - a mathematically defined surface approximating the Earth’s shape (e.g., WGS84)</w:t>
            </w:r>
          </w:p>
        </w:tc>
      </w:tr>
      <w:tr>
        <w:tc>
          <w:tcPr/>
          <w:p>
            <w:pPr>
              <w:jc w:val="left"/>
            </w:pPr>
            <w:r>
              <w:t xml:space="preserve">PRESSURE_1000_HPA</w:t>
            </w:r>
          </w:p>
        </w:tc>
        <w:tc>
          <w:tcPr/>
          <w:p>
            <w:pPr>
              <w:jc w:val="left"/>
            </w:pPr>
            <w:r>
              <w:t xml:space="preserve">The 1000 hPa pressure level in the atmosphere</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80"/>
    <w:bookmarkEnd w:id="81"/>
    <w:bookmarkStart w:id="85" w:name="Xcc23f6acd800e14e9520bfa042408715e4ce9c0"/>
    <w:p>
      <w:pPr>
        <w:pStyle w:val="Heading2"/>
      </w:pPr>
      <w:r>
        <w:t xml:space="preserve">Observations and values</w:t>
      </w:r>
    </w:p>
    <w:bookmarkStart w:id="82" w:name="X1dbf4a806bce0d3d4fc72a7b692636795af6609"/>
    <w:p>
      <w:pPr>
        <w:pStyle w:val="Heading3"/>
      </w:pPr>
      <w:r>
        <w:t xml:space="preserve">Observation</w:t>
      </w:r>
    </w:p>
    <w:p>
      <w:pPr>
        <w:pStyle w:val="FirstParagraph"/>
      </w:pPr>
      <w:r>
        <w:t xml:space="preserve">The</w:t>
      </w:r>
      <w:r>
        <w:t xml:space="preserve"> </w:t>
      </w:r>
      <w:r>
        <w:rPr>
          <w:rStyle w:val="VerbatimChar"/>
        </w:rPr>
        <w:t xml:space="preserve">Observation</w:t>
      </w:r>
      <w:r>
        <w:t xml:space="preserve"> </w:t>
      </w:r>
      <w:r>
        <w:t xml:space="preserve">message represents a single measurement data point collected at a specific time.</w:t>
      </w:r>
    </w:p>
    <w:p>
      <w:pPr>
        <w:pStyle w:val="BodyText"/>
      </w:pPr>
      <w:r>
        <w:t xml:space="preserve">The</w:t>
      </w:r>
      <w:r>
        <w:t xml:space="preserve"> </w:t>
      </w:r>
      <w:r>
        <w:rPr>
          <w:rStyle w:val="VerbatimChar"/>
        </w:rPr>
        <w:t xml:space="preserve">Observation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parameterDefinitionId</w:t>
            </w:r>
          </w:p>
        </w:tc>
        <w:tc>
          <w:tcPr/>
          <w:p>
            <w:pPr>
              <w:jc w:val="left"/>
            </w:pPr>
            <w:r>
              <w:t xml:space="preserve">uint32</w:t>
            </w:r>
          </w:p>
        </w:tc>
        <w:tc>
          <w:tcPr/>
          <w:p>
            <w:pPr>
              <w:jc w:val="left"/>
            </w:pPr>
            <w:r>
              <w:t xml:space="preserve">required</w:t>
            </w:r>
          </w:p>
        </w:tc>
        <w:tc>
          <w:tcPr/>
          <w:p>
            <w:pPr>
              <w:jc w:val="left"/>
            </w:pPr>
            <w:r>
              <w:t xml:space="preserve">Identifier referencing a</w:t>
            </w:r>
            <w:r>
              <w:t xml:space="preserve"> </w:t>
            </w:r>
            <w:r>
              <w:rPr>
                <w:rStyle w:val="VerbatimChar"/>
              </w:rPr>
              <w:t xml:space="preserve">ParameterDefinition</w:t>
            </w:r>
            <w:r>
              <w:t xml:space="preserve"> </w:t>
            </w:r>
            <w:r>
              <w:t xml:space="preserve">in the</w:t>
            </w:r>
            <w:r>
              <w:t xml:space="preserve"> </w:t>
            </w:r>
            <w:r>
              <w:rPr>
                <w:rStyle w:val="VerbatimChar"/>
              </w:rPr>
              <w:t xml:space="preserve">Metadata</w:t>
            </w:r>
            <w:r>
              <w:t xml:space="preserve"> </w:t>
            </w:r>
            <w:r>
              <w:t xml:space="preserve">message</w:t>
            </w:r>
          </w:p>
        </w:tc>
      </w:tr>
      <w:tr>
        <w:tc>
          <w:tcPr/>
          <w:p>
            <w:pPr>
              <w:jc w:val="left"/>
            </w:pPr>
            <w:r>
              <w:t xml:space="preserve">time</w:t>
            </w:r>
          </w:p>
        </w:tc>
        <w:tc>
          <w:tcPr/>
          <w:p>
            <w:pPr>
              <w:jc w:val="left"/>
            </w:pPr>
            <w:r>
              <w:t xml:space="preserve">google.protobuf.Timestamp</w:t>
            </w:r>
          </w:p>
        </w:tc>
        <w:tc>
          <w:tcPr/>
          <w:p>
            <w:pPr>
              <w:jc w:val="left"/>
            </w:pPr>
            <w:r>
              <w:t xml:space="preserve">required</w:t>
            </w:r>
          </w:p>
        </w:tc>
        <w:tc>
          <w:tcPr/>
          <w:p>
            <w:pPr>
              <w:jc w:val="left"/>
            </w:pPr>
            <w:r>
              <w:t xml:space="preserve">The timestamp when the observation was made, in UTC</w:t>
            </w:r>
          </w:p>
        </w:tc>
      </w:tr>
      <w:tr>
        <w:tc>
          <w:tcPr/>
          <w:p>
            <w:pPr>
              <w:jc w:val="left"/>
            </w:pPr>
            <w:r>
              <w:t xml:space="preserve">values</w:t>
            </w:r>
          </w:p>
        </w:tc>
        <w:tc>
          <w:tcPr/>
          <w:p>
            <w:pPr>
              <w:jc w:val="left"/>
            </w:pPr>
            <w:r>
              <w:t xml:space="preserve">Value</w:t>
            </w:r>
          </w:p>
        </w:tc>
        <w:tc>
          <w:tcPr/>
          <w:p>
            <w:pPr>
              <w:jc w:val="left"/>
            </w:pPr>
            <w:r>
              <w:t xml:space="preserve">repeated</w:t>
            </w:r>
          </w:p>
        </w:tc>
        <w:tc>
          <w:tcPr/>
          <w:p>
            <w:pPr>
              <w:jc w:val="left"/>
            </w:pPr>
            <w:r>
              <w:t xml:space="preserve">One or more measurement values</w:t>
            </w:r>
          </w:p>
        </w:tc>
      </w:tr>
    </w:tbl>
    <w:p>
      <w:pPr>
        <w:pStyle w:val="BodyText"/>
      </w:pPr>
      <w:r>
        <w:t xml:space="preserve">The</w:t>
      </w:r>
      <w:r>
        <w:t xml:space="preserve"> </w:t>
      </w:r>
      <w:r>
        <w:rPr>
          <w:rStyle w:val="VerbatimChar"/>
        </w:rPr>
        <w:t xml:space="preserve">parameterDefinitionId</w:t>
      </w:r>
      <w:r>
        <w:t xml:space="preserve"> </w:t>
      </w:r>
      <w:r>
        <w:t xml:space="preserve">field shall reference a</w:t>
      </w:r>
      <w:r>
        <w:t xml:space="preserve"> </w:t>
      </w:r>
      <w:r>
        <w:rPr>
          <w:rStyle w:val="VerbatimChar"/>
        </w:rPr>
        <w:t xml:space="preserve">ParameterDefinition.id</w:t>
      </w:r>
      <w:r>
        <w:t xml:space="preserve"> </w:t>
      </w:r>
      <w:r>
        <w:t xml:space="preserve">from the</w:t>
      </w:r>
      <w:r>
        <w:t xml:space="preserve"> </w:t>
      </w:r>
      <w:r>
        <w:rPr>
          <w:rStyle w:val="VerbatimChar"/>
        </w:rPr>
        <w:t xml:space="preserve">Metadata</w:t>
      </w:r>
      <w:r>
        <w:t xml:space="preserve"> </w:t>
      </w:r>
      <w:r>
        <w:t xml:space="preserve">message. The number and type of values in the</w:t>
      </w:r>
      <w:r>
        <w:t xml:space="preserve"> </w:t>
      </w:r>
      <w:r>
        <w:rPr>
          <w:rStyle w:val="VerbatimChar"/>
        </w:rPr>
        <w:t xml:space="preserve">values</w:t>
      </w:r>
      <w:r>
        <w:t xml:space="preserve"> </w:t>
      </w:r>
      <w:r>
        <w:t xml:space="preserve">field shall correspond to the number of parameters defined in the referenced</w:t>
      </w:r>
      <w:r>
        <w:t xml:space="preserve"> </w:t>
      </w:r>
      <w:r>
        <w:rPr>
          <w:rStyle w:val="VerbatimChar"/>
        </w:rPr>
        <w:t xml:space="preserve">ParameterDefinition</w:t>
      </w:r>
      <w:r>
        <w:t xml:space="preserve">.</w:t>
      </w:r>
    </w:p>
    <w:p>
      <w:pPr>
        <w:pStyle w:val="BodyText"/>
      </w:pPr>
      <w:r>
        <w:t xml:space="preserve">The</w:t>
      </w:r>
      <w:r>
        <w:t xml:space="preserve"> </w:t>
      </w:r>
      <w:r>
        <w:rPr>
          <w:rStyle w:val="VerbatimChar"/>
        </w:rPr>
        <w:t xml:space="preserve">time</w:t>
      </w:r>
      <w:r>
        <w:t xml:space="preserve"> </w:t>
      </w:r>
      <w:r>
        <w:t xml:space="preserve">field uses the standard</w:t>
      </w:r>
      <w:r>
        <w:t xml:space="preserve"> </w:t>
      </w:r>
      <w:r>
        <w:rPr>
          <w:rStyle w:val="VerbatimChar"/>
        </w:rPr>
        <w:t xml:space="preserve">google.protobuf.Timestamp</w:t>
      </w:r>
      <w:r>
        <w:t xml:space="preserve"> </w:t>
      </w:r>
      <w:r>
        <w:t xml:space="preserve">format, representing time as seconds and nanoseconds since the Unix epoch (1970-01-01T00:00:00Z).</w:t>
      </w:r>
    </w:p>
    <w:p>
      <w:pPr>
        <w:pStyle w:val="BodyText"/>
      </w:pPr>
      <w:r>
        <w:t xml:space="preserve">An observation may contain multiple values when the referenced</w:t>
      </w:r>
      <w:r>
        <w:t xml:space="preserve"> </w:t>
      </w:r>
      <w:r>
        <w:rPr>
          <w:rStyle w:val="VerbatimChar"/>
        </w:rPr>
        <w:t xml:space="preserve">ParameterDefinition</w:t>
      </w:r>
      <w:r>
        <w:t xml:space="preserve"> </w:t>
      </w:r>
      <w:r>
        <w:t xml:space="preserve">contains multiple parameters. This approach enables grouping values that are measured at the same timestamp, requiring the timestamp to be transmitted only once for multiple values. This reduces payload size, which is particularly beneficial in bandwidth-constrained environments.</w:t>
      </w:r>
    </w:p>
    <w:p>
      <w:pPr>
        <w:pStyle w:val="BodyText"/>
      </w:pPr>
      <w:r>
        <w:t xml:space="preserve">For example, a parameter definition for "Internal Parameters" might include both supply voltage and internal temperature, requiring two values per observation but sharing a single timestamp.</w:t>
      </w:r>
    </w:p>
    <w:bookmarkEnd w:id="82"/>
    <w:bookmarkStart w:id="83" w:name="Xa1a156b94e1c41bbe3f68fc142b1250ef777bf0"/>
    <w:p>
      <w:pPr>
        <w:pStyle w:val="Heading3"/>
      </w:pPr>
      <w:r>
        <w:t xml:space="preserve">Value types</w:t>
      </w:r>
    </w:p>
    <w:p>
      <w:pPr>
        <w:pStyle w:val="FirstParagraph"/>
      </w:pPr>
      <w:r>
        <w:t xml:space="preserve">The</w:t>
      </w:r>
      <w:r>
        <w:t xml:space="preserve"> </w:t>
      </w:r>
      <w:r>
        <w:rPr>
          <w:rStyle w:val="VerbatimChar"/>
        </w:rPr>
        <w:t xml:space="preserve">Value</w:t>
      </w:r>
      <w:r>
        <w:t xml:space="preserve"> </w:t>
      </w:r>
      <w:r>
        <w:t xml:space="preserve">message is a polymorphic container that can represent measurement data of different types. The message uses a</w:t>
      </w:r>
      <w:r>
        <w:t xml:space="preserve"> </w:t>
      </w:r>
      <w:r>
        <w:rPr>
          <w:rStyle w:val="VerbatimChar"/>
        </w:rPr>
        <w:t xml:space="preserve">oneof</w:t>
      </w:r>
      <w:r>
        <w:t xml:space="preserve"> </w:t>
      </w:r>
      <w:r>
        <w:t xml:space="preserve">field, meaning exactly one of the following value types shall be set:</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jc w:val="left"/>
            </w:pPr>
            <w:r>
              <w:t xml:space="preserve">floatValue</w:t>
            </w:r>
          </w:p>
        </w:tc>
        <w:tc>
          <w:tcPr/>
          <w:p>
            <w:pPr>
              <w:jc w:val="left"/>
            </w:pPr>
            <w:r>
              <w:t xml:space="preserve">float</w:t>
            </w:r>
          </w:p>
        </w:tc>
        <w:tc>
          <w:tcPr/>
          <w:p>
            <w:pPr>
              <w:jc w:val="left"/>
            </w:pPr>
            <w:r>
              <w:t xml:space="preserve">32-bit floating point number</w:t>
            </w:r>
          </w:p>
        </w:tc>
      </w:tr>
      <w:tr>
        <w:tc>
          <w:tcPr/>
          <w:p>
            <w:pPr>
              <w:jc w:val="left"/>
            </w:pPr>
            <w:r>
              <w:t xml:space="preserve">doubleValue</w:t>
            </w:r>
          </w:p>
        </w:tc>
        <w:tc>
          <w:tcPr/>
          <w:p>
            <w:pPr>
              <w:jc w:val="left"/>
            </w:pPr>
            <w:r>
              <w:t xml:space="preserve">double</w:t>
            </w:r>
          </w:p>
        </w:tc>
        <w:tc>
          <w:tcPr/>
          <w:p>
            <w:pPr>
              <w:jc w:val="left"/>
            </w:pPr>
            <w:r>
              <w:t xml:space="preserve">64-bit floating point number</w:t>
            </w:r>
          </w:p>
        </w:tc>
      </w:tr>
      <w:tr>
        <w:tc>
          <w:tcPr/>
          <w:p>
            <w:pPr>
              <w:jc w:val="left"/>
            </w:pPr>
            <w:r>
              <w:t xml:space="preserve">intValue</w:t>
            </w:r>
          </w:p>
        </w:tc>
        <w:tc>
          <w:tcPr/>
          <w:p>
            <w:pPr>
              <w:jc w:val="left"/>
            </w:pPr>
            <w:r>
              <w:t xml:space="preserve">int32</w:t>
            </w:r>
          </w:p>
        </w:tc>
        <w:tc>
          <w:tcPr/>
          <w:p>
            <w:pPr>
              <w:jc w:val="left"/>
            </w:pPr>
            <w:r>
              <w:t xml:space="preserve">32-bit signed integer</w:t>
            </w:r>
          </w:p>
        </w:tc>
      </w:tr>
      <w:tr>
        <w:tc>
          <w:tcPr/>
          <w:p>
            <w:pPr>
              <w:jc w:val="left"/>
            </w:pPr>
            <w:r>
              <w:t xml:space="preserve">unsignedIntValue</w:t>
            </w:r>
          </w:p>
        </w:tc>
        <w:tc>
          <w:tcPr/>
          <w:p>
            <w:pPr>
              <w:jc w:val="left"/>
            </w:pPr>
            <w:r>
              <w:t xml:space="preserve">uint32</w:t>
            </w:r>
          </w:p>
        </w:tc>
        <w:tc>
          <w:tcPr/>
          <w:p>
            <w:pPr>
              <w:jc w:val="left"/>
            </w:pPr>
            <w:r>
              <w:t xml:space="preserve">32-bit unsigned integer</w:t>
            </w:r>
          </w:p>
        </w:tc>
      </w:tr>
      <w:tr>
        <w:tc>
          <w:tcPr/>
          <w:p>
            <w:pPr>
              <w:jc w:val="left"/>
            </w:pPr>
            <w:r>
              <w:t xml:space="preserve">int64Value</w:t>
            </w:r>
          </w:p>
        </w:tc>
        <w:tc>
          <w:tcPr/>
          <w:p>
            <w:pPr>
              <w:jc w:val="left"/>
            </w:pPr>
            <w:r>
              <w:t xml:space="preserve">int64</w:t>
            </w:r>
          </w:p>
        </w:tc>
        <w:tc>
          <w:tcPr/>
          <w:p>
            <w:pPr>
              <w:jc w:val="left"/>
            </w:pPr>
            <w:r>
              <w:t xml:space="preserve">64-bit signed integer</w:t>
            </w:r>
          </w:p>
        </w:tc>
      </w:tr>
      <w:tr>
        <w:tc>
          <w:tcPr/>
          <w:p>
            <w:pPr>
              <w:jc w:val="left"/>
            </w:pPr>
            <w:r>
              <w:t xml:space="preserve">unsignedInt64Value</w:t>
            </w:r>
          </w:p>
        </w:tc>
        <w:tc>
          <w:tcPr/>
          <w:p>
            <w:pPr>
              <w:jc w:val="left"/>
            </w:pPr>
            <w:r>
              <w:t xml:space="preserve">uint64</w:t>
            </w:r>
          </w:p>
        </w:tc>
        <w:tc>
          <w:tcPr/>
          <w:p>
            <w:pPr>
              <w:jc w:val="left"/>
            </w:pPr>
            <w:r>
              <w:t xml:space="preserve">64-bit unsigned integer</w:t>
            </w:r>
          </w:p>
        </w:tc>
      </w:tr>
      <w:tr>
        <w:tc>
          <w:tcPr/>
          <w:p>
            <w:pPr>
              <w:jc w:val="left"/>
            </w:pPr>
            <w:r>
              <w:t xml:space="preserve">stringValue</w:t>
            </w:r>
          </w:p>
        </w:tc>
        <w:tc>
          <w:tcPr/>
          <w:p>
            <w:pPr>
              <w:jc w:val="left"/>
            </w:pPr>
            <w:r>
              <w:t xml:space="preserve">string</w:t>
            </w:r>
          </w:p>
        </w:tc>
        <w:tc>
          <w:tcPr/>
          <w:p>
            <w:pPr>
              <w:jc w:val="left"/>
            </w:pPr>
            <w:r>
              <w:t xml:space="preserve">Text string value</w:t>
            </w:r>
          </w:p>
        </w:tc>
      </w:tr>
      <w:tr>
        <w:tc>
          <w:tcPr/>
          <w:p>
            <w:pPr>
              <w:jc w:val="left"/>
            </w:pPr>
            <w:r>
              <w:t xml:space="preserve">boolValue</w:t>
            </w:r>
          </w:p>
        </w:tc>
        <w:tc>
          <w:tcPr/>
          <w:p>
            <w:pPr>
              <w:jc w:val="left"/>
            </w:pPr>
            <w:r>
              <w:t xml:space="preserve">bool</w:t>
            </w:r>
          </w:p>
        </w:tc>
        <w:tc>
          <w:tcPr/>
          <w:p>
            <w:pPr>
              <w:jc w:val="left"/>
            </w:pPr>
            <w:r>
              <w:t xml:space="preserve">Boolean true/false value</w:t>
            </w:r>
          </w:p>
        </w:tc>
      </w:tr>
      <w:tr>
        <w:tc>
          <w:tcPr/>
          <w:p>
            <w:pPr>
              <w:jc w:val="left"/>
            </w:pPr>
            <w:r>
              <w:t xml:space="preserve">emptyValue</w:t>
            </w:r>
          </w:p>
        </w:tc>
        <w:tc>
          <w:tcPr/>
          <w:p>
            <w:pPr>
              <w:jc w:val="left"/>
            </w:pPr>
            <w:r>
              <w:t xml:space="preserve">google.protobuf.Empty</w:t>
            </w:r>
          </w:p>
        </w:tc>
        <w:tc>
          <w:tcPr/>
          <w:p>
            <w:pPr>
              <w:jc w:val="left"/>
            </w:pPr>
            <w:r>
              <w:t xml:space="preserve">Indicates missing or unavailable data</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field is intended for text data only and shall NOT be used to transmit:</w:t>
      </w:r>
    </w:p>
    <w:p>
      <w:pPr>
        <w:numPr>
          <w:ilvl w:val="0"/>
          <w:numId w:val="1007"/>
        </w:numPr>
      </w:pPr>
      <w:r>
        <w:t xml:space="preserve">Binary data, including base64-encoded binary blobs</w:t>
      </w:r>
    </w:p>
    <w:p>
      <w:pPr>
        <w:numPr>
          <w:ilvl w:val="0"/>
          <w:numId w:val="1007"/>
        </w:numPr>
      </w:pPr>
      <w:r>
        <w:t xml:space="preserve">Serialized objects or data structures</w:t>
      </w:r>
    </w:p>
    <w:p>
      <w:pPr>
        <w:numPr>
          <w:ilvl w:val="0"/>
          <w:numId w:val="1007"/>
        </w:numPr>
      </w:pPr>
      <w:r>
        <w:t xml:space="preserve">Structured data formats such as JSON, XML, or similar encodings</w:t>
      </w:r>
    </w:p>
    <w:p>
      <w:pPr>
        <w:pStyle w:val="FirstParagraph"/>
      </w:pPr>
      <w:r>
        <w:t xml:space="preserve">Binary data transmission and complex structured data are outside the scope of this standard.</w:t>
      </w:r>
    </w:p>
    <w:bookmarkEnd w:id="83"/>
    <w:bookmarkStart w:id="84" w:name="Xdace5bd116673738863a70d136ac45a1f0008af"/>
    <w:p>
      <w:pPr>
        <w:pStyle w:val="Heading3"/>
      </w:pPr>
      <w:r>
        <w:t xml:space="preserve">Missing and error values</w:t>
      </w:r>
    </w:p>
    <w:p>
      <w:pPr>
        <w:pStyle w:val="FirstParagraph"/>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field of type</w:t>
      </w:r>
      <w:r>
        <w:t xml:space="preserve"> </w:t>
      </w:r>
      <w:r>
        <w:rPr>
          <w:rStyle w:val="VerbatimChar"/>
        </w:rPr>
        <w:t xml:space="preserve">google.protobuf.Empty</w:t>
      </w:r>
      <w:r>
        <w:t xml:space="preserve">.</w:t>
      </w:r>
    </w:p>
    <w:p>
      <w:pPr>
        <w:pStyle w:val="BodyText"/>
      </w:pPr>
      <w:r>
        <w:t xml:space="preserve">Missing or unavailable measurement values shall NOT be represented as:</w:t>
      </w:r>
    </w:p>
    <w:p>
      <w:pPr>
        <w:numPr>
          <w:ilvl w:val="0"/>
          <w:numId w:val="1008"/>
        </w:numPr>
      </w:pPr>
      <w:r>
        <w:t xml:space="preserve">Numeric zero (0)</w:t>
      </w:r>
    </w:p>
    <w:p>
      <w:pPr>
        <w:numPr>
          <w:ilvl w:val="0"/>
          <w:numId w:val="1008"/>
        </w:numPr>
      </w:pPr>
      <w:r>
        <w:t xml:space="preserve">NaN (Not a Number)</w:t>
      </w:r>
    </w:p>
    <w:p>
      <w:pPr>
        <w:numPr>
          <w:ilvl w:val="0"/>
          <w:numId w:val="1008"/>
        </w:numPr>
      </w:pPr>
      <w:r>
        <w:t xml:space="preserve">Omission from the</w:t>
      </w:r>
      <w:r>
        <w:t xml:space="preserve"> </w:t>
      </w:r>
      <w:r>
        <w:rPr>
          <w:rStyle w:val="VerbatimChar"/>
        </w:rPr>
        <w:t xml:space="preserve">values</w:t>
      </w:r>
      <w:r>
        <w:t xml:space="preserve"> </w:t>
      </w:r>
      <w:r>
        <w:t xml:space="preserve">array</w:t>
      </w:r>
    </w:p>
    <w:p>
      <w:pPr>
        <w:numPr>
          <w:ilvl w:val="0"/>
          <w:numId w:val="1008"/>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w:t>
      </w:r>
      <w:r>
        <w:t xml:space="preserve"> </w:t>
      </w:r>
      <w:r>
        <w:rPr>
          <w:rStyle w:val="VerbatimChar"/>
        </w:rPr>
        <w:t xml:space="preserve">Observation</w:t>
      </w:r>
      <w:r>
        <w:t xml:space="preserve"> </w:t>
      </w:r>
      <w:r>
        <w:t xml:space="preserve">references a</w:t>
      </w:r>
      <w:r>
        <w:t xml:space="preserve"> </w:t>
      </w:r>
      <w:r>
        <w:rPr>
          <w:rStyle w:val="VerbatimChar"/>
        </w:rPr>
        <w:t xml:space="preserve">ParameterDefinition</w:t>
      </w:r>
      <w:r>
        <w:t xml:space="preserve"> </w:t>
      </w:r>
      <w:r>
        <w:t xml:space="preserve">containing multiple parameters, the values in the</w:t>
      </w:r>
      <w:r>
        <w:t xml:space="preserve"> </w:t>
      </w:r>
      <w:r>
        <w:rPr>
          <w:rStyle w:val="VerbatimChar"/>
        </w:rPr>
        <w:t xml:space="preserve">values</w:t>
      </w:r>
      <w:r>
        <w:t xml:space="preserve"> </w:t>
      </w:r>
      <w:r>
        <w:t xml:space="preserve">array shall be provided in the same order as the parameters are defined in the</w:t>
      </w:r>
      <w:r>
        <w:t xml:space="preserve"> </w:t>
      </w:r>
      <w:r>
        <w:rPr>
          <w:rStyle w:val="VerbatimChar"/>
        </w:rPr>
        <w:t xml:space="preserve">ParameterDefinition.parameters</w:t>
      </w:r>
      <w:r>
        <w:t xml:space="preserve"> </w:t>
      </w:r>
      <w:r>
        <w:t xml:space="preserve">field.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field shall be used at that position to maintain correct alignment.</w:t>
      </w:r>
    </w:p>
    <w:bookmarkEnd w:id="84"/>
    <w:bookmarkEnd w:id="85"/>
    <w:bookmarkStart w:id="90" w:name="X8fe870ba40f1cbce50a7ed76ed4ee9a508ae528"/>
    <w:p>
      <w:pPr>
        <w:pStyle w:val="Heading2"/>
      </w:pPr>
      <w:r>
        <w:t xml:space="preserve">Parameter definitions</w:t>
      </w:r>
    </w:p>
    <w:p>
      <w:pPr>
        <w:pStyle w:val="FirstParagraph"/>
      </w:pPr>
      <w:r>
        <w:t xml:space="preserve">A</w:t>
      </w:r>
      <w:r>
        <w:t xml:space="preserve"> </w:t>
      </w:r>
      <w:r>
        <w:rPr>
          <w:rStyle w:val="VerbatimChar"/>
        </w:rPr>
        <w:t xml:space="preserve">ParameterDefinition</w:t>
      </w:r>
      <w:r>
        <w:t xml:space="preserve"> </w:t>
      </w:r>
      <w:r>
        <w:t xml:space="preserve">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ParameterDefinition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id</w:t>
            </w:r>
          </w:p>
        </w:tc>
        <w:tc>
          <w:tcPr/>
          <w:p>
            <w:pPr>
              <w:jc w:val="left"/>
            </w:pPr>
            <w:r>
              <w:t xml:space="preserve">uint32</w:t>
            </w:r>
          </w:p>
        </w:tc>
        <w:tc>
          <w:tcPr/>
          <w:p>
            <w:pPr>
              <w:jc w:val="left"/>
            </w:pPr>
            <w:r>
              <w:t xml:space="preserve">required</w:t>
            </w:r>
          </w:p>
        </w:tc>
        <w:tc>
          <w:tcPr/>
          <w:p>
            <w:pPr>
              <w:jc w:val="left"/>
            </w:pPr>
            <w:r>
              <w:t xml:space="preserve">Unique identifier for this parameter definition</w:t>
            </w:r>
          </w:p>
        </w:tc>
      </w:tr>
      <w:tr>
        <w:tc>
          <w:tcPr/>
          <w:p>
            <w:pPr>
              <w:jc w:val="left"/>
            </w:pPr>
            <w:r>
              <w:t xml:space="preserve">description</w:t>
            </w:r>
          </w:p>
        </w:tc>
        <w:tc>
          <w:tcPr/>
          <w:p>
            <w:pPr>
              <w:jc w:val="left"/>
            </w:pPr>
            <w:r>
              <w:t xml:space="preserve">string</w:t>
            </w:r>
          </w:p>
        </w:tc>
        <w:tc>
          <w:tcPr/>
          <w:p>
            <w:pPr>
              <w:jc w:val="left"/>
            </w:pPr>
            <w:r>
              <w:t xml:space="preserve">required</w:t>
            </w:r>
          </w:p>
        </w:tc>
        <w:tc>
          <w:tcPr/>
          <w:p>
            <w:pPr>
              <w:jc w:val="left"/>
            </w:pPr>
            <w:r>
              <w:t xml:space="preserve">Human-readable description of this parameter definition</w:t>
            </w:r>
          </w:p>
        </w:tc>
      </w:tr>
      <w:tr>
        <w:tc>
          <w:tcPr/>
          <w:p>
            <w:pPr>
              <w:jc w:val="left"/>
            </w:pPr>
            <w:r>
              <w:t xml:space="preserve">parameters</w:t>
            </w:r>
          </w:p>
        </w:tc>
        <w:tc>
          <w:tcPr/>
          <w:p>
            <w:pPr>
              <w:jc w:val="left"/>
            </w:pPr>
            <w:r>
              <w:t xml:space="preserve">Parameter</w:t>
            </w:r>
          </w:p>
        </w:tc>
        <w:tc>
          <w:tcPr/>
          <w:p>
            <w:pPr>
              <w:jc w:val="left"/>
            </w:pPr>
            <w:r>
              <w:t xml:space="preserve">repeated</w:t>
            </w:r>
          </w:p>
        </w:tc>
        <w:tc>
          <w:tcPr/>
          <w:p>
            <w:pPr>
              <w:jc w:val="left"/>
            </w:pPr>
            <w:r>
              <w:t xml:space="preserve">One or more parameter specifications</w:t>
            </w:r>
          </w:p>
        </w:tc>
      </w:tr>
    </w:tbl>
    <w:p>
      <w:pPr>
        <w:pStyle w:val="BodyText"/>
      </w:pPr>
      <w:r>
        <w:t xml:space="preserve">The</w:t>
      </w:r>
      <w:r>
        <w:t xml:space="preserve"> </w:t>
      </w:r>
      <w:r>
        <w:rPr>
          <w:rStyle w:val="VerbatimChar"/>
        </w:rPr>
        <w:t xml:space="preserve">id</w:t>
      </w:r>
      <w:r>
        <w:t xml:space="preserve"> </w:t>
      </w:r>
      <w:r>
        <w:t xml:space="preserve">field shall be unique within the scope of a single</w:t>
      </w:r>
      <w:r>
        <w:t xml:space="preserve"> </w:t>
      </w:r>
      <w:r>
        <w:rPr>
          <w:rStyle w:val="VerbatimChar"/>
        </w:rPr>
        <w:t xml:space="preserve">Metadata</w:t>
      </w:r>
      <w:r>
        <w:t xml:space="preserve"> </w:t>
      </w:r>
      <w:r>
        <w:t xml:space="preserve">message. This identifier is used by the</w:t>
      </w:r>
      <w:r>
        <w:t xml:space="preserve"> </w:t>
      </w:r>
      <w:r>
        <w:rPr>
          <w:rStyle w:val="VerbatimChar"/>
        </w:rPr>
        <w:t xml:space="preserve">Observation.parameterDefinitionId</w:t>
      </w:r>
      <w:r>
        <w:t xml:space="preserve"> </w:t>
      </w:r>
      <w:r>
        <w:t xml:space="preserve">field to associate observations with their parameter specifications.</w:t>
      </w:r>
    </w:p>
    <w:p>
      <w:pPr>
        <w:pStyle w:val="BodyText"/>
      </w:pPr>
      <w:r>
        <w:t xml:space="preserve">The</w:t>
      </w:r>
      <w:r>
        <w:t xml:space="preserve"> </w:t>
      </w:r>
      <w:r>
        <w:rPr>
          <w:rStyle w:val="VerbatimChar"/>
        </w:rPr>
        <w:t xml:space="preserve">parameters</w:t>
      </w:r>
      <w:r>
        <w:t xml:space="preserve"> </w:t>
      </w:r>
      <w:r>
        <w:t xml:space="preserve">field contains one or more</w:t>
      </w:r>
      <w:r>
        <w:t xml:space="preserve"> </w:t>
      </w:r>
      <w:r>
        <w:rPr>
          <w:rStyle w:val="VerbatimChar"/>
        </w:rPr>
        <w:t xml:space="preserve">Parameter</w:t>
      </w:r>
      <w:r>
        <w:t xml:space="preserve"> </w:t>
      </w:r>
      <w:r>
        <w:t xml:space="preserve">messages describing individual measurable variables. When multiple parameters are grouped in a single definition, each observation referencing this definition shall provide values in the same order as the parameters are defined.</w:t>
      </w:r>
    </w:p>
    <w:bookmarkStart w:id="86" w:name="X4cc94a085ba3568c058fdd8c53467d413de5dbf"/>
    <w:p>
      <w:pPr>
        <w:pStyle w:val="Heading3"/>
      </w:pPr>
      <w:r>
        <w:t xml:space="preserve">Parameter</w:t>
      </w:r>
    </w:p>
    <w:p>
      <w:pPr>
        <w:pStyle w:val="FirstParagraph"/>
      </w:pPr>
      <w:r>
        <w:t xml:space="preserve">The</w:t>
      </w:r>
      <w:r>
        <w:t xml:space="preserve"> </w:t>
      </w:r>
      <w:r>
        <w:rPr>
          <w:rStyle w:val="VerbatimChar"/>
        </w:rPr>
        <w:t xml:space="preserve">Parameter</w:t>
      </w:r>
      <w:r>
        <w:t xml:space="preserve"> </w:t>
      </w:r>
      <w:r>
        <w:t xml:space="preserve">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Parameter</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longName</w:t>
            </w:r>
          </w:p>
        </w:tc>
        <w:tc>
          <w:tcPr/>
          <w:p>
            <w:pPr>
              <w:jc w:val="left"/>
            </w:pPr>
            <w:r>
              <w:t xml:space="preserve">string</w:t>
            </w:r>
          </w:p>
        </w:tc>
        <w:tc>
          <w:tcPr/>
          <w:p>
            <w:pPr>
              <w:jc w:val="left"/>
            </w:pPr>
            <w:r>
              <w:t xml:space="preserve">required</w:t>
            </w:r>
          </w:p>
        </w:tc>
        <w:tc>
          <w:tcPr/>
          <w:p>
            <w:pPr>
              <w:jc w:val="left"/>
            </w:pPr>
            <w:r>
              <w:t xml:space="preserve">Descriptive name of the parameter (e.g., "Air Temperature", "Wind Speed")</w:t>
            </w:r>
          </w:p>
        </w:tc>
      </w:tr>
      <w:tr>
        <w:tc>
          <w:tcPr/>
          <w:p>
            <w:pPr>
              <w:jc w:val="left"/>
            </w:pPr>
            <w:r>
              <w:t xml:space="preserve">unit</w:t>
            </w:r>
          </w:p>
        </w:tc>
        <w:tc>
          <w:tcPr/>
          <w:p>
            <w:pPr>
              <w:jc w:val="left"/>
            </w:pPr>
            <w:r>
              <w:t xml:space="preserve">string</w:t>
            </w:r>
          </w:p>
        </w:tc>
        <w:tc>
          <w:tcPr/>
          <w:p>
            <w:pPr>
              <w:jc w:val="left"/>
            </w:pPr>
            <w:r>
              <w:t xml:space="preserve">required</w:t>
            </w:r>
          </w:p>
        </w:tc>
        <w:tc>
          <w:tcPr/>
          <w:p>
            <w:pPr>
              <w:jc w:val="left"/>
            </w:pPr>
            <w:r>
              <w:t xml:space="preserve">Unit of measurement (e.g., "°C", "m/s", "hPa")</w:t>
            </w:r>
          </w:p>
        </w:tc>
      </w:tr>
      <w:tr>
        <w:tc>
          <w:tcPr/>
          <w:p>
            <w:pPr>
              <w:jc w:val="left"/>
            </w:pPr>
            <w:r>
              <w:t xml:space="preserve">standardNames</w:t>
            </w:r>
          </w:p>
        </w:tc>
        <w:tc>
          <w:tcPr/>
          <w:p>
            <w:pPr>
              <w:jc w:val="left"/>
            </w:pPr>
            <w:r>
              <w:t xml:space="preserve">map&lt;string, string&gt;</w:t>
            </w:r>
          </w:p>
        </w:tc>
        <w:tc>
          <w:tcPr/>
          <w:p>
            <w:pPr>
              <w:jc w:val="left"/>
            </w:pPr>
            <w:r>
              <w:t xml:space="preserve">optional</w:t>
            </w:r>
          </w:p>
        </w:tc>
        <w:tc>
          <w:tcPr/>
          <w:p>
            <w:pPr>
              <w:jc w:val="left"/>
            </w:pPr>
            <w:r>
              <w:t xml:space="preserve">Mapping of namespace prefixes to standard names in external naming conventions</w:t>
            </w:r>
          </w:p>
        </w:tc>
      </w:tr>
      <w:tr>
        <w:tc>
          <w:tcPr/>
          <w:p>
            <w:pPr>
              <w:jc w:val="left"/>
            </w:pPr>
            <w:r>
              <w:t xml:space="preserve">device</w:t>
            </w:r>
          </w:p>
        </w:tc>
        <w:tc>
          <w:tcPr/>
          <w:p>
            <w:pPr>
              <w:jc w:val="left"/>
            </w:pPr>
            <w:r>
              <w:t xml:space="preserve">DeviceRef</w:t>
            </w:r>
          </w:p>
        </w:tc>
        <w:tc>
          <w:tcPr/>
          <w:p>
            <w:pPr>
              <w:jc w:val="left"/>
            </w:pPr>
            <w:r>
              <w:t xml:space="preserve">required</w:t>
            </w:r>
          </w:p>
        </w:tc>
        <w:tc>
          <w:tcPr/>
          <w:p>
            <w:pPr>
              <w:jc w:val="left"/>
            </w:pPr>
            <w:r>
              <w:t xml:space="preserve">Reference to the device (node or observer) that measures this parameter</w:t>
            </w:r>
          </w:p>
        </w:tc>
      </w:tr>
      <w:tr>
        <w:tc>
          <w:tcPr/>
          <w:p>
            <w:pPr>
              <w:jc w:val="left"/>
            </w:pPr>
            <w:r>
              <w:t xml:space="preserve">cellMethod</w:t>
            </w:r>
          </w:p>
        </w:tc>
        <w:tc>
          <w:tcPr/>
          <w:p>
            <w:pPr>
              <w:jc w:val="left"/>
            </w:pPr>
            <w:r>
              <w:t xml:space="preserve">CellMethod</w:t>
            </w:r>
          </w:p>
        </w:tc>
        <w:tc>
          <w:tcPr/>
          <w:p>
            <w:pPr>
              <w:jc w:val="left"/>
            </w:pPr>
            <w:r>
              <w:t xml:space="preserve">required</w:t>
            </w:r>
          </w:p>
        </w:tc>
        <w:tc>
          <w:tcPr/>
          <w:p>
            <w:pPr>
              <w:jc w:val="left"/>
            </w:pPr>
            <w:r>
              <w:t xml:space="preserve">Statistical or aggregation method applied to the measurement</w:t>
            </w:r>
          </w:p>
        </w:tc>
      </w:tr>
      <w:tr>
        <w:tc>
          <w:tcPr/>
          <w:p>
            <w:pPr>
              <w:jc w:val="left"/>
            </w:pPr>
            <w:r>
              <w:t xml:space="preserve">cellPeriodSeconds</w:t>
            </w:r>
          </w:p>
        </w:tc>
        <w:tc>
          <w:tcPr/>
          <w:p>
            <w:pPr>
              <w:jc w:val="left"/>
            </w:pPr>
            <w:r>
              <w:t xml:space="preserve">uint32</w:t>
            </w:r>
          </w:p>
        </w:tc>
        <w:tc>
          <w:tcPr/>
          <w:p>
            <w:pPr>
              <w:jc w:val="left"/>
            </w:pPr>
            <w:r>
              <w:t xml:space="preserve">required</w:t>
            </w:r>
          </w:p>
        </w:tc>
        <w:tc>
          <w:tcPr/>
          <w:p>
            <w:pPr>
              <w:jc w:val="left"/>
            </w:pPr>
            <w:r>
              <w:t xml:space="preserve">Period of aggregation in seconds (0 for instantaneous point measurements)</w:t>
            </w:r>
          </w:p>
        </w:tc>
      </w:tr>
    </w:tbl>
    <w:p>
      <w:pPr>
        <w:pStyle w:val="BodyText"/>
      </w:pPr>
      <w:r>
        <w:t xml:space="preserve">The</w:t>
      </w:r>
      <w:r>
        <w:t xml:space="preserve"> </w:t>
      </w:r>
      <w:r>
        <w:rPr>
          <w:rStyle w:val="VerbatimChar"/>
        </w:rPr>
        <w:t xml:space="preserve">standardNames</w:t>
      </w:r>
      <w:r>
        <w:t xml:space="preserve"> </w:t>
      </w:r>
      <w:r>
        <w:t xml:space="preserve">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w:t>
      </w:r>
      <w:r>
        <w:t xml:space="preserve"> </w:t>
      </w:r>
      <w:r>
        <w:rPr>
          <w:rStyle w:val="VerbatimChar"/>
        </w:rPr>
        <w:t xml:space="preserve">Metadata.namespaces</w:t>
      </w:r>
      <w:r>
        <w:t xml:space="preserve">.</w:t>
      </w:r>
    </w:p>
    <w:p>
      <w:pPr>
        <w:pStyle w:val="BodyText"/>
      </w:pPr>
      <w:r>
        <w:t xml:space="preserve">The</w:t>
      </w:r>
      <w:r>
        <w:t xml:space="preserve"> </w:t>
      </w:r>
      <w:r>
        <w:rPr>
          <w:rStyle w:val="VerbatimChar"/>
        </w:rPr>
        <w:t xml:space="preserve">device</w:t>
      </w:r>
      <w:r>
        <w:t xml:space="preserve"> </w:t>
      </w:r>
      <w:r>
        <w:t xml:space="preserve">field specifies which device (either the node or a specific observer) performs this measurement.</w:t>
      </w:r>
    </w:p>
    <w:bookmarkEnd w:id="86"/>
    <w:bookmarkStart w:id="87" w:name="X250bba3ad6128daef583cd3d3f9bc17f1a926a1"/>
    <w:p>
      <w:pPr>
        <w:pStyle w:val="Heading3"/>
      </w:pPr>
      <w:r>
        <w:t xml:space="preserve">Cell method</w:t>
      </w:r>
    </w:p>
    <w:p>
      <w:pPr>
        <w:pStyle w:val="FirstParagraph"/>
      </w:pPr>
      <w:r>
        <w:t xml:space="preserve">The</w:t>
      </w:r>
      <w:r>
        <w:t xml:space="preserve"> </w:t>
      </w:r>
      <w:r>
        <w:rPr>
          <w:rStyle w:val="VerbatimChar"/>
        </w:rPr>
        <w:t xml:space="preserve">cellMethod</w:t>
      </w:r>
      <w:r>
        <w:t xml:space="preserve"> </w:t>
      </w:r>
      <w:r>
        <w:t xml:space="preserve">field specifies how measurement data is aggregated or processed over the cell period. The</w:t>
      </w:r>
      <w:r>
        <w:t xml:space="preserve"> </w:t>
      </w:r>
      <w:r>
        <w:rPr>
          <w:rStyle w:val="VerbatimChar"/>
        </w:rPr>
        <w:t xml:space="preserve">CellMethod</w:t>
      </w:r>
      <w:r>
        <w:t xml:space="preserve"> </w:t>
      </w:r>
      <w:r>
        <w:t xml:space="preserve">enumeration defines the following values: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Value</w:t>
            </w:r>
          </w:p>
        </w:tc>
        <w:tc>
          <w:tcPr/>
          <w:p>
            <w:pPr>
              <w:pStyle w:val="Compact"/>
              <w:jc w:val="left"/>
            </w:pPr>
            <w:r>
              <w:t xml:space="preserve">Description</w:t>
            </w:r>
          </w:p>
        </w:tc>
      </w:tr>
      <w:tr>
        <w:tc>
          <w:tcPr/>
          <w:p>
            <w:pPr>
              <w:jc w:val="left"/>
            </w:pPr>
            <w:r>
              <w:t xml:space="preserve">CELL_METHOD_UNSPECIFIED</w:t>
            </w:r>
          </w:p>
        </w:tc>
        <w:tc>
          <w:tcPr/>
          <w:p>
            <w:pPr>
              <w:jc w:val="left"/>
            </w:pPr>
            <w:r>
              <w:t xml:space="preserve">Reserved default value. Shall not be explicitly set by Nodes.</w:t>
            </w:r>
          </w:p>
        </w:tc>
      </w:tr>
      <w:tr>
        <w:tc>
          <w:tcPr/>
          <w:p>
            <w:pPr>
              <w:jc w:val="left"/>
            </w:pPr>
            <w:r>
              <w:t xml:space="preserve">POINT</w:t>
            </w:r>
          </w:p>
        </w:tc>
        <w:tc>
          <w:tcPr/>
          <w:p>
            <w:pPr>
              <w:jc w:val="left"/>
            </w:pPr>
            <w:r>
              <w:t xml:space="preserve">Instantaneous value at a specific point in time (no aggregation)</w:t>
            </w:r>
          </w:p>
        </w:tc>
      </w:tr>
      <w:tr>
        <w:tc>
          <w:tcPr/>
          <w:p>
            <w:pPr>
              <w:jc w:val="left"/>
            </w:pPr>
            <w:r>
              <w:t xml:space="preserve">SUM</w:t>
            </w:r>
          </w:p>
        </w:tc>
        <w:tc>
          <w:tcPr/>
          <w:p>
            <w:pPr>
              <w:jc w:val="left"/>
            </w:pPr>
            <w:r>
              <w:t xml:space="preserve">Sum of values over the cell period</w:t>
            </w:r>
          </w:p>
        </w:tc>
      </w:tr>
      <w:tr>
        <w:tc>
          <w:tcPr/>
          <w:p>
            <w:pPr>
              <w:jc w:val="left"/>
            </w:pPr>
            <w:r>
              <w:t xml:space="preserve">MAXIMUM</w:t>
            </w:r>
          </w:p>
        </w:tc>
        <w:tc>
          <w:tcPr/>
          <w:p>
            <w:pPr>
              <w:jc w:val="left"/>
            </w:pPr>
            <w:r>
              <w:t xml:space="preserve">Maximum value observed during the cell period</w:t>
            </w:r>
          </w:p>
        </w:tc>
      </w:tr>
      <w:tr>
        <w:tc>
          <w:tcPr/>
          <w:p>
            <w:pPr>
              <w:jc w:val="left"/>
            </w:pPr>
            <w:r>
              <w:t xml:space="preserve">MINIMUM</w:t>
            </w:r>
          </w:p>
        </w:tc>
        <w:tc>
          <w:tcPr/>
          <w:p>
            <w:pPr>
              <w:jc w:val="left"/>
            </w:pPr>
            <w:r>
              <w:t xml:space="preserve">Minimum value observed during the cell period</w:t>
            </w:r>
          </w:p>
        </w:tc>
      </w:tr>
      <w:tr>
        <w:tc>
          <w:tcPr/>
          <w:p>
            <w:pPr>
              <w:jc w:val="left"/>
            </w:pPr>
            <w:r>
              <w:t xml:space="preserve">MEAN</w:t>
            </w:r>
          </w:p>
        </w:tc>
        <w:tc>
          <w:tcPr/>
          <w:p>
            <w:pPr>
              <w:jc w:val="left"/>
            </w:pPr>
            <w:r>
              <w:t xml:space="preserve">Mean (average) value over the cell period</w:t>
            </w:r>
          </w:p>
        </w:tc>
      </w:tr>
      <w:tr>
        <w:tc>
          <w:tcPr/>
          <w:p>
            <w:pPr>
              <w:jc w:val="left"/>
            </w:pPr>
            <w:r>
              <w:t xml:space="preserve">MEDIAN</w:t>
            </w:r>
          </w:p>
        </w:tc>
        <w:tc>
          <w:tcPr/>
          <w:p>
            <w:pPr>
              <w:jc w:val="left"/>
            </w:pPr>
            <w:r>
              <w:t xml:space="preserve">Median value over the cell period</w:t>
            </w:r>
          </w:p>
        </w:tc>
      </w:tr>
      <w:tr>
        <w:tc>
          <w:tcPr/>
          <w:p>
            <w:pPr>
              <w:jc w:val="left"/>
            </w:pPr>
            <w:r>
              <w:t xml:space="preserve">MODE</w:t>
            </w:r>
          </w:p>
        </w:tc>
        <w:tc>
          <w:tcPr/>
          <w:p>
            <w:pPr>
              <w:jc w:val="left"/>
            </w:pPr>
            <w:r>
              <w:t xml:space="preserve">Most frequently occurring value</w:t>
            </w:r>
          </w:p>
        </w:tc>
      </w:tr>
      <w:tr>
        <w:tc>
          <w:tcPr/>
          <w:p>
            <w:pPr>
              <w:jc w:val="left"/>
            </w:pPr>
            <w:r>
              <w:t xml:space="preserve">VARIANCE</w:t>
            </w:r>
          </w:p>
        </w:tc>
        <w:tc>
          <w:tcPr/>
          <w:p>
            <w:pPr>
              <w:jc w:val="left"/>
            </w:pPr>
            <w:r>
              <w:t xml:space="preserve">Statistical variance within the cell period</w:t>
            </w:r>
          </w:p>
        </w:tc>
      </w:tr>
      <w:tr>
        <w:tc>
          <w:tcPr/>
          <w:p>
            <w:pPr>
              <w:jc w:val="left"/>
            </w:pPr>
            <w:r>
              <w:t xml:space="preserve">STANDARD_DEVIATION</w:t>
            </w:r>
          </w:p>
        </w:tc>
        <w:tc>
          <w:tcPr/>
          <w:p>
            <w:pPr>
              <w:jc w:val="left"/>
            </w:pPr>
            <w:r>
              <w:t xml:space="preserve">Standard deviation within the cell period</w:t>
            </w:r>
          </w:p>
        </w:tc>
      </w:tr>
      <w:tr>
        <w:tc>
          <w:tcPr/>
          <w:p>
            <w:pPr>
              <w:jc w:val="left"/>
            </w:pPr>
            <w:r>
              <w:t xml:space="preserve">MAXIMUM_ABSOLUTE_VALUE</w:t>
            </w:r>
          </w:p>
        </w:tc>
        <w:tc>
          <w:tcPr/>
          <w:p>
            <w:pPr>
              <w:jc w:val="left"/>
            </w:pPr>
            <w:r>
              <w:t xml:space="preserve">Maximum of absolute values</w:t>
            </w:r>
          </w:p>
        </w:tc>
      </w:tr>
      <w:tr>
        <w:tc>
          <w:tcPr/>
          <w:p>
            <w:pPr>
              <w:jc w:val="left"/>
            </w:pPr>
            <w:r>
              <w:t xml:space="preserve">MINIMUM_ABSOLUTE_VALUE</w:t>
            </w:r>
          </w:p>
        </w:tc>
        <w:tc>
          <w:tcPr/>
          <w:p>
            <w:pPr>
              <w:jc w:val="left"/>
            </w:pPr>
            <w:r>
              <w:t xml:space="preserve">Minimum of absolute values</w:t>
            </w:r>
          </w:p>
        </w:tc>
      </w:tr>
      <w:tr>
        <w:tc>
          <w:tcPr/>
          <w:p>
            <w:pPr>
              <w:jc w:val="left"/>
            </w:pPr>
            <w:r>
              <w:t xml:space="preserve">MEAN_ABSOLUTE_VALUE</w:t>
            </w:r>
          </w:p>
        </w:tc>
        <w:tc>
          <w:tcPr/>
          <w:p>
            <w:pPr>
              <w:jc w:val="left"/>
            </w:pPr>
            <w:r>
              <w:t xml:space="preserve">Mean of absolute values</w:t>
            </w:r>
          </w:p>
        </w:tc>
      </w:tr>
      <w:tr>
        <w:tc>
          <w:tcPr/>
          <w:p>
            <w:pPr>
              <w:jc w:val="left"/>
            </w:pPr>
            <w:r>
              <w:t xml:space="preserve">MEAN_OF_UPPER_DECILE</w:t>
            </w:r>
          </w:p>
        </w:tc>
        <w:tc>
          <w:tcPr/>
          <w:p>
            <w:pPr>
              <w:jc w:val="left"/>
            </w:pPr>
            <w:r>
              <w:t xml:space="preserve">Mean of the upper tenth of the value distribution</w:t>
            </w:r>
          </w:p>
        </w:tc>
      </w:tr>
      <w:tr>
        <w:tc>
          <w:tcPr/>
          <w:p>
            <w:pPr>
              <w:jc w:val="left"/>
            </w:pPr>
            <w:r>
              <w:t xml:space="preserve">MID_RANGE</w:t>
            </w:r>
          </w:p>
        </w:tc>
        <w:tc>
          <w:tcPr/>
          <w:p>
            <w:pPr>
              <w:jc w:val="left"/>
            </w:pPr>
            <w:r>
              <w:t xml:space="preserve">Average of maximum and minimum values</w:t>
            </w:r>
          </w:p>
        </w:tc>
      </w:tr>
      <w:tr>
        <w:tc>
          <w:tcPr/>
          <w:p>
            <w:pPr>
              <w:jc w:val="left"/>
            </w:pPr>
            <w:r>
              <w:t xml:space="preserve">RANGE</w:t>
            </w:r>
          </w:p>
        </w:tc>
        <w:tc>
          <w:tcPr/>
          <w:p>
            <w:pPr>
              <w:jc w:val="left"/>
            </w:pPr>
            <w:r>
              <w:t xml:space="preserve">Absolute difference between maximum and minimum values</w:t>
            </w:r>
          </w:p>
        </w:tc>
      </w:tr>
      <w:tr>
        <w:tc>
          <w:tcPr/>
          <w:p>
            <w:pPr>
              <w:jc w:val="left"/>
            </w:pPr>
            <w:r>
              <w:t xml:space="preserve">ROOT_MEAN_SQUARE</w:t>
            </w:r>
          </w:p>
        </w:tc>
        <w:tc>
          <w:tcPr/>
          <w:p>
            <w:pPr>
              <w:jc w:val="left"/>
            </w:pPr>
            <w:r>
              <w:t xml:space="preserve">Root mean square (RMS) value</w:t>
            </w:r>
          </w:p>
        </w:tc>
      </w:tr>
      <w:tr>
        <w:tc>
          <w:tcPr/>
          <w:p>
            <w:pPr>
              <w:jc w:val="left"/>
            </w:pPr>
            <w:r>
              <w:t xml:space="preserve">SUM_OF_SQUARES</w:t>
            </w:r>
          </w:p>
        </w:tc>
        <w:tc>
          <w:tcPr/>
          <w:p>
            <w:pPr>
              <w:jc w:val="left"/>
            </w:pPr>
            <w:r>
              <w:t xml:space="preserve">Sum of squared values</w:t>
            </w:r>
          </w:p>
        </w:tc>
      </w:tr>
    </w:tbl>
    <w:p>
      <w:pPr>
        <w:pStyle w:val="BodyText"/>
      </w:pPr>
      <w:r>
        <w:t xml:space="preserve">When</w:t>
      </w:r>
      <w:r>
        <w:t xml:space="preserve"> </w:t>
      </w:r>
      <w:r>
        <w:rPr>
          <w:rStyle w:val="VerbatimChar"/>
        </w:rPr>
        <w:t xml:space="preserve">cellMethod</w:t>
      </w:r>
      <w:r>
        <w:t xml:space="preserve"> </w:t>
      </w:r>
      <w:r>
        <w:t xml:space="preserve">is set to</w:t>
      </w:r>
      <w:r>
        <w:t xml:space="preserve"> </w:t>
      </w:r>
      <w:r>
        <w:rPr>
          <w:rStyle w:val="VerbatimChar"/>
        </w:rPr>
        <w:t xml:space="preserve">POINT</w:t>
      </w:r>
      <w:r>
        <w:t xml:space="preserve">, the measurement represents an instantaneous value and</w:t>
      </w:r>
      <w:r>
        <w:t xml:space="preserve"> </w:t>
      </w:r>
      <w:r>
        <w:rPr>
          <w:rStyle w:val="VerbatimChar"/>
        </w:rPr>
        <w:t xml:space="preserve">cellPeriodSeconds</w:t>
      </w:r>
      <w:r>
        <w:t xml:space="preserve"> </w:t>
      </w:r>
      <w:r>
        <w:t xml:space="preserve">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87"/>
    <w:bookmarkStart w:id="88" w:name="Xb7de51b3da708336552a4e1b020231bf3fa1856"/>
    <w:p>
      <w:pPr>
        <w:pStyle w:val="Heading3"/>
      </w:pPr>
      <w:r>
        <w:t xml:space="preserve">Cell period</w:t>
      </w:r>
    </w:p>
    <w:p>
      <w:pPr>
        <w:pStyle w:val="FirstParagraph"/>
      </w:pPr>
      <w:r>
        <w:t xml:space="preserve">The</w:t>
      </w:r>
      <w:r>
        <w:t xml:space="preserve"> </w:t>
      </w:r>
      <w:r>
        <w:rPr>
          <w:rStyle w:val="VerbatimChar"/>
        </w:rPr>
        <w:t xml:space="preserve">cellPeriodSeconds</w:t>
      </w:r>
      <w:r>
        <w:t xml:space="preserve"> </w:t>
      </w:r>
      <w:r>
        <w:t xml:space="preserve">field specifies the time period in seconds over which the cell method is applied.</w:t>
      </w:r>
    </w:p>
    <w:p>
      <w:pPr>
        <w:numPr>
          <w:ilvl w:val="0"/>
          <w:numId w:val="1009"/>
        </w:numPr>
      </w:pPr>
      <w:r>
        <w:t xml:space="preserve">When</w:t>
      </w:r>
      <w:r>
        <w:t xml:space="preserve"> </w:t>
      </w:r>
      <w:r>
        <w:rPr>
          <w:rStyle w:val="VerbatimChar"/>
        </w:rPr>
        <w:t xml:space="preserve">cellMethod</w:t>
      </w:r>
      <w:r>
        <w:t xml:space="preserve"> </w:t>
      </w:r>
      <w:r>
        <w:t xml:space="preserve">is</w:t>
      </w:r>
      <w:r>
        <w:t xml:space="preserve"> </w:t>
      </w:r>
      <w:r>
        <w:rPr>
          <w:rStyle w:val="VerbatimChar"/>
        </w:rPr>
        <w:t xml:space="preserve">POINT</w:t>
      </w:r>
      <w:r>
        <w:t xml:space="preserve">, the value shall be 0, indicating an instantaneous measurement.</w:t>
      </w:r>
    </w:p>
    <w:p>
      <w:pPr>
        <w:numPr>
          <w:ilvl w:val="0"/>
          <w:numId w:val="1009"/>
        </w:numPr>
      </w:pPr>
      <w:r>
        <w:t xml:space="preserve">For all other cell methods, the value shall be greater than 0, indicating the duration of the aggregation period.</w:t>
      </w:r>
    </w:p>
    <w:p>
      <w:pPr>
        <w:pStyle w:val="FirstParagraph"/>
      </w:pPr>
      <w:r>
        <w:t xml:space="preserve">For example:</w:t>
      </w:r>
      <w:r>
        <w:t xml:space="preserve"> </w:t>
      </w:r>
      <w:r>
        <w:t xml:space="preserve">* A 30-second mean temperature would have</w:t>
      </w:r>
      <w:r>
        <w:t xml:space="preserve"> </w:t>
      </w:r>
      <w:r>
        <w:rPr>
          <w:rStyle w:val="VerbatimChar"/>
        </w:rPr>
        <w:t xml:space="preserve">cellMethod</w:t>
      </w:r>
      <w:r>
        <w:t xml:space="preserve"> </w:t>
      </w:r>
      <w:r>
        <w:t xml:space="preserve">=</w:t>
      </w:r>
      <w:r>
        <w:t xml:space="preserve"> </w:t>
      </w:r>
      <w:r>
        <w:rPr>
          <w:rStyle w:val="VerbatimChar"/>
        </w:rPr>
        <w:t xml:space="preserve">MEAN</w:t>
      </w:r>
      <w:r>
        <w:t xml:space="preserve"> </w:t>
      </w:r>
      <w:r>
        <w:t xml:space="preserve">and</w:t>
      </w:r>
      <w:r>
        <w:t xml:space="preserve"> </w:t>
      </w:r>
      <w:r>
        <w:rPr>
          <w:rStyle w:val="VerbatimChar"/>
        </w:rPr>
        <w:t xml:space="preserve">cellPeriodSeconds</w:t>
      </w:r>
      <w:r>
        <w:t xml:space="preserve"> </w:t>
      </w:r>
      <w:r>
        <w:t xml:space="preserve">= 30</w:t>
      </w:r>
      <w:r>
        <w:t xml:space="preserve"> </w:t>
      </w:r>
      <w:r>
        <w:t xml:space="preserve">* An instantaneous wind direction would have</w:t>
      </w:r>
      <w:r>
        <w:t xml:space="preserve"> </w:t>
      </w:r>
      <w:r>
        <w:rPr>
          <w:rStyle w:val="VerbatimChar"/>
        </w:rPr>
        <w:t xml:space="preserve">cellMethod</w:t>
      </w:r>
      <w:r>
        <w:t xml:space="preserve"> </w:t>
      </w:r>
      <w:r>
        <w:t xml:space="preserve">=</w:t>
      </w:r>
      <w:r>
        <w:t xml:space="preserve"> </w:t>
      </w:r>
      <w:r>
        <w:rPr>
          <w:rStyle w:val="VerbatimChar"/>
        </w:rPr>
        <w:t xml:space="preserve">POINT</w:t>
      </w:r>
      <w:r>
        <w:t xml:space="preserve"> </w:t>
      </w:r>
      <w:r>
        <w:t xml:space="preserve">and</w:t>
      </w:r>
      <w:r>
        <w:t xml:space="preserve"> </w:t>
      </w:r>
      <w:r>
        <w:rPr>
          <w:rStyle w:val="VerbatimChar"/>
        </w:rPr>
        <w:t xml:space="preserve">cellPeriodSeconds</w:t>
      </w:r>
      <w:r>
        <w:t xml:space="preserve"> </w:t>
      </w:r>
      <w:r>
        <w:t xml:space="preserve">= 0</w:t>
      </w:r>
      <w:r>
        <w:t xml:space="preserve"> </w:t>
      </w:r>
      <w:r>
        <w:t xml:space="preserve">* A 5-minute maximum wind gust would have</w:t>
      </w:r>
      <w:r>
        <w:t xml:space="preserve"> </w:t>
      </w:r>
      <w:r>
        <w:rPr>
          <w:rStyle w:val="VerbatimChar"/>
        </w:rPr>
        <w:t xml:space="preserve">cellMethod</w:t>
      </w:r>
      <w:r>
        <w:t xml:space="preserve"> </w:t>
      </w:r>
      <w:r>
        <w:t xml:space="preserve">=</w:t>
      </w:r>
      <w:r>
        <w:t xml:space="preserve"> </w:t>
      </w:r>
      <w:r>
        <w:rPr>
          <w:rStyle w:val="VerbatimChar"/>
        </w:rPr>
        <w:t xml:space="preserve">MAXIMUM</w:t>
      </w:r>
      <w:r>
        <w:t xml:space="preserve"> </w:t>
      </w:r>
      <w:r>
        <w:t xml:space="preserve">and</w:t>
      </w:r>
      <w:r>
        <w:t xml:space="preserve"> </w:t>
      </w:r>
      <w:r>
        <w:rPr>
          <w:rStyle w:val="VerbatimChar"/>
        </w:rPr>
        <w:t xml:space="preserve">cellPeriodSeconds</w:t>
      </w:r>
      <w:r>
        <w:t xml:space="preserve"> </w:t>
      </w:r>
      <w:r>
        <w:t xml:space="preserve">= 300</w:t>
      </w:r>
    </w:p>
    <w:bookmarkEnd w:id="88"/>
    <w:bookmarkStart w:id="89" w:name="X7201f3c19528d29b377a44b93e144237b09ec5f"/>
    <w:p>
      <w:pPr>
        <w:pStyle w:val="Heading3"/>
      </w:pPr>
      <w:r>
        <w:t xml:space="preserve">Device reference</w:t>
      </w:r>
    </w:p>
    <w:p>
      <w:pPr>
        <w:pStyle w:val="FirstParagraph"/>
      </w:pPr>
      <w:r>
        <w:t xml:space="preserve">The</w:t>
      </w:r>
      <w:r>
        <w:t xml:space="preserve"> </w:t>
      </w:r>
      <w:r>
        <w:rPr>
          <w:rStyle w:val="VerbatimChar"/>
        </w:rPr>
        <w:t xml:space="preserve">DeviceRef</w:t>
      </w:r>
      <w:r>
        <w:t xml:space="preserve"> </w:t>
      </w:r>
      <w:r>
        <w:t xml:space="preserve">message associates a parameter with the device that measures it. This message uses a</w:t>
      </w:r>
      <w:r>
        <w:t xml:space="preserve"> </w:t>
      </w:r>
      <w:r>
        <w:rPr>
          <w:rStyle w:val="VerbatimChar"/>
        </w:rPr>
        <w:t xml:space="preserve">oneof</w:t>
      </w:r>
      <w:r>
        <w:t xml:space="preserve"> </w:t>
      </w:r>
      <w:r>
        <w:t xml:space="preserve">field to reference either the node device or a specific observer device.</w:t>
      </w:r>
    </w:p>
    <w:p>
      <w:pPr>
        <w:pStyle w:val="BodyText"/>
      </w:pPr>
      <w:r>
        <w:t xml:space="preserve">The</w:t>
      </w:r>
      <w:r>
        <w:t xml:space="preserve"> </w:t>
      </w:r>
      <w:r>
        <w:rPr>
          <w:rStyle w:val="VerbatimChar"/>
        </w:rPr>
        <w:t xml:space="preserve">DeviceRef</w:t>
      </w:r>
      <w:r>
        <w:t xml:space="preserve"> </w:t>
      </w:r>
      <w:r>
        <w:t xml:space="preserve">message contains exactly one of the following fields: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jc w:val="left"/>
            </w:pPr>
            <w:r>
              <w:t xml:space="preserve">node</w:t>
            </w:r>
          </w:p>
        </w:tc>
        <w:tc>
          <w:tcPr/>
          <w:p>
            <w:pPr>
              <w:jc w:val="left"/>
            </w:pPr>
            <w:r>
              <w:t xml:space="preserve">google.protobuf.Empty</w:t>
            </w:r>
          </w:p>
        </w:tc>
        <w:tc>
          <w:tcPr/>
          <w:p>
            <w:pPr>
              <w:jc w:val="left"/>
            </w:pPr>
            <w:r>
              <w:t xml:space="preserve">References the node device; the presence of this field (even though empty) indicates the parameter is measured by the node</w:t>
            </w:r>
          </w:p>
        </w:tc>
      </w:tr>
      <w:tr>
        <w:tc>
          <w:tcPr/>
          <w:p>
            <w:pPr>
              <w:jc w:val="left"/>
            </w:pPr>
            <w:r>
              <w:t xml:space="preserve">observerId</w:t>
            </w:r>
          </w:p>
        </w:tc>
        <w:tc>
          <w:tcPr/>
          <w:p>
            <w:pPr>
              <w:jc w:val="left"/>
            </w:pPr>
            <w:r>
              <w:t xml:space="preserve">uint32</w:t>
            </w:r>
          </w:p>
        </w:tc>
        <w:tc>
          <w:tcPr/>
          <w:p>
            <w:pPr>
              <w:jc w:val="left"/>
            </w:pPr>
            <w:r>
              <w:t xml:space="preserve">References an observer device by its</w:t>
            </w:r>
            <w:r>
              <w:t xml:space="preserve"> </w:t>
            </w:r>
            <w:r>
              <w:rPr>
                <w:rStyle w:val="VerbatimChar"/>
              </w:rPr>
              <w:t xml:space="preserve">ObserverDevice.id</w:t>
            </w:r>
            <w:r>
              <w:t xml:space="preserve"> </w:t>
            </w:r>
            <w:r>
              <w:t xml:space="preserve">value</w:t>
            </w:r>
          </w:p>
        </w:tc>
      </w:tr>
    </w:tbl>
    <w:p>
      <w:pPr>
        <w:pStyle w:val="BodyText"/>
      </w:pPr>
      <w:r>
        <w:t xml:space="preserve">The</w:t>
      </w:r>
      <w:r>
        <w:t xml:space="preserve"> </w:t>
      </w:r>
      <w:r>
        <w:rPr>
          <w:rStyle w:val="VerbatimChar"/>
        </w:rPr>
        <w:t xml:space="preserve">oneof</w:t>
      </w:r>
      <w:r>
        <w:t xml:space="preserve"> </w:t>
      </w:r>
      <w:r>
        <w:t xml:space="preserve">constraint ensures that exactly one of these fields is set, unambiguously identifying which device performs the measurement.</w:t>
      </w:r>
    </w:p>
    <w:p>
      <w:pPr>
        <w:pStyle w:val="BodyText"/>
      </w:pPr>
      <w:r>
        <w:t xml:space="preserve">When the</w:t>
      </w:r>
      <w:r>
        <w:t xml:space="preserve"> </w:t>
      </w:r>
      <w:r>
        <w:rPr>
          <w:rStyle w:val="VerbatimChar"/>
        </w:rPr>
        <w:t xml:space="preserve">node</w:t>
      </w:r>
      <w:r>
        <w:t xml:space="preserve"> </w:t>
      </w:r>
      <w:r>
        <w:t xml:space="preserve">field is present, the parameter is measured by the Node Device itself (such as internal voltage or temperature of a datalogger). When the</w:t>
      </w:r>
      <w:r>
        <w:t xml:space="preserve"> </w:t>
      </w:r>
      <w:r>
        <w:rPr>
          <w:rStyle w:val="VerbatimChar"/>
        </w:rPr>
        <w:t xml:space="preserve">observerId</w:t>
      </w:r>
      <w:r>
        <w:t xml:space="preserve"> </w:t>
      </w:r>
      <w:r>
        <w:t xml:space="preserve">field is set, it shall match the</w:t>
      </w:r>
      <w:r>
        <w:t xml:space="preserve"> </w:t>
      </w:r>
      <w:r>
        <w:rPr>
          <w:rStyle w:val="VerbatimChar"/>
        </w:rPr>
        <w:t xml:space="preserve">id</w:t>
      </w:r>
      <w:r>
        <w:t xml:space="preserve"> </w:t>
      </w:r>
      <w:r>
        <w:t xml:space="preserve">of an</w:t>
      </w:r>
      <w:r>
        <w:t xml:space="preserve"> </w:t>
      </w:r>
      <w:r>
        <w:rPr>
          <w:rStyle w:val="VerbatimChar"/>
        </w:rPr>
        <w:t xml:space="preserve">ObserverDevice</w:t>
      </w:r>
      <w:r>
        <w:t xml:space="preserve"> </w:t>
      </w:r>
      <w:r>
        <w:t xml:space="preserve">defined in the</w:t>
      </w:r>
      <w:r>
        <w:t xml:space="preserve"> </w:t>
      </w:r>
      <w:r>
        <w:rPr>
          <w:rStyle w:val="VerbatimChar"/>
        </w:rPr>
        <w:t xml:space="preserve">Metadata</w:t>
      </w:r>
      <w:r>
        <w:t xml:space="preserve"> </w:t>
      </w:r>
      <w:r>
        <w:t xml:space="preserve">message.</w:t>
      </w:r>
    </w:p>
    <w:bookmarkEnd w:id="89"/>
    <w:bookmarkEnd w:id="90"/>
    <w:bookmarkEnd w:id="91"/>
    <w:bookmarkStart w:id="100" w:name="Xdd7eb3629e434f7b7e0591ed0ba3c4fbe841976"/>
    <w:p>
      <w:pPr>
        <w:pStyle w:val="Heading1"/>
      </w:pPr>
      <w:r>
        <w:t xml:space="preserve">Standard name binding</w:t>
      </w:r>
    </w:p>
    <w:bookmarkStart w:id="92" w:name="X322101054fd636c32d6869f7cfec83424c5280c"/>
    <w:p>
      <w:pPr>
        <w:pStyle w:val="Heading2"/>
      </w:pPr>
      <w:r>
        <w:t xml:space="preserve">Overview</w:t>
      </w:r>
    </w:p>
    <w:p>
      <w:pPr>
        <w:pStyle w:val="FirstParagraph"/>
      </w:pPr>
      <w:r>
        <w:t xml:space="preserve">Standard name binding enables</w:t>
      </w:r>
      <w:r>
        <w:t xml:space="preserve"> </w:t>
      </w:r>
      <w:r>
        <w:rPr>
          <w:rStyle w:val="VerbatimChar"/>
        </w:rPr>
        <w:t xml:space="preserve">Parameter</w:t>
      </w:r>
      <w:r>
        <w:t xml:space="preserve"> </w:t>
      </w:r>
      <w:r>
        <w:t xml:space="preserve">definitions within a</w:t>
      </w:r>
      <w:r>
        <w:t xml:space="preserve"> </w:t>
      </w:r>
      <w:r>
        <w:rPr>
          <w:rStyle w:val="VerbatimChar"/>
        </w:rPr>
        <w:t xml:space="preserve">Metadata</w:t>
      </w:r>
      <w:r>
        <w:t xml:space="preserve"> </w:t>
      </w:r>
      <w:r>
        <w:t xml:space="preserve">message to be associated with controlled vocabulary entries from external naming conventions. This allows observation data to be unambiguously interpreted by Hubs and downstream systems without dependence on the</w:t>
      </w:r>
      <w:r>
        <w:t xml:space="preserve"> </w:t>
      </w:r>
      <w:r>
        <w:rPr>
          <w:rStyle w:val="VerbatimChar"/>
        </w:rPr>
        <w:t xml:space="preserve">Parameter.longName</w:t>
      </w:r>
      <w:r>
        <w:t xml:space="preserve"> </w:t>
      </w:r>
      <w:r>
        <w:t xml:space="preserve">field, which is a human-readable label and not guaranteed to be unique or machine-interpretable.</w:t>
      </w:r>
    </w:p>
    <w:p>
      <w:pPr>
        <w:pStyle w:val="BodyText"/>
      </w:pPr>
      <w:r>
        <w:t xml:space="preserve">The binding mechanism uses two related fields in the data model:</w:t>
      </w:r>
    </w:p>
    <w:p>
      <w:pPr>
        <w:numPr>
          <w:ilvl w:val="0"/>
          <w:numId w:val="1010"/>
        </w:numPr>
      </w:pPr>
      <w:r>
        <w:rPr>
          <w:rStyle w:val="VerbatimChar"/>
        </w:rPr>
        <w:t xml:space="preserve">Metadata.namespaces</w:t>
      </w:r>
      <w:r>
        <w:t xml:space="preserve"> </w:t>
      </w:r>
      <w:r>
        <w:t xml:space="preserve">— declares the naming convention vocabularies in use, associating a short namespace key with a URI that identifies the vocabulary</w:t>
      </w:r>
    </w:p>
    <w:p>
      <w:pPr>
        <w:numPr>
          <w:ilvl w:val="0"/>
          <w:numId w:val="1010"/>
        </w:numPr>
      </w:pPr>
      <w:r>
        <w:rPr>
          <w:rStyle w:val="VerbatimChar"/>
        </w:rPr>
        <w:t xml:space="preserve">Parameter.standardNames</w:t>
      </w:r>
      <w:r>
        <w:t xml:space="preserve"> </w:t>
      </w:r>
      <w:r>
        <w:t xml:space="preserve">— associates each namespace key with the corresponding standard name for the parameter within that vocabulary</w:t>
      </w:r>
    </w:p>
    <w:p>
      <w:pPr>
        <w:pStyle w:val="FirstParagraph"/>
      </w:pPr>
      <w:r>
        <w:t xml:space="preserve">Standard name binding follows a three-level hierarchy of vocabularies, described in</w:t>
      </w:r>
      <w:r>
        <w:t xml:space="preserve"> </w:t>
      </w:r>
      <w:hyperlink w:anchor="standard-name-hierarchy">
        <w:r>
          <w:rPr>
            <w:rStyle w:val="Hyperlink"/>
          </w:rPr>
          <w:t xml:space="preserve">Standard name hierarchy</w:t>
        </w:r>
      </w:hyperlink>
      <w:r>
        <w:t xml:space="preserve">. The use of standard names is optional but recommended where machine-to-machine interoperability is required. A Node may bind a single parameter to standard names from multiple vocabularies simultaneously.</w:t>
      </w:r>
    </w:p>
    <w:bookmarkEnd w:id="92"/>
    <w:bookmarkStart w:id="93" w:name="X57ee570b2ca57c2f3cc7ed08a75d7506e62098e"/>
    <w:p>
      <w:pPr>
        <w:pStyle w:val="Heading2"/>
      </w:pPr>
      <w:r>
        <w:t xml:space="preserve">Namespace declaration</w:t>
      </w:r>
    </w:p>
    <w:p>
      <w:pPr>
        <w:pStyle w:val="FirstParagraph"/>
      </w:pPr>
      <w:r>
        <w:t xml:space="preserve">The</w:t>
      </w:r>
      <w:r>
        <w:t xml:space="preserve"> </w:t>
      </w:r>
      <w:r>
        <w:rPr>
          <w:rStyle w:val="VerbatimChar"/>
        </w:rPr>
        <w:t xml:space="preserve">Metadata.namespaces</w:t>
      </w:r>
      <w:r>
        <w:t xml:space="preserve"> </w:t>
      </w:r>
      <w:r>
        <w:t xml:space="preserve">field declares the naming convention vocabularies used by the Node. It is a map from namespace key to namespace URI.</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jc w:val="left"/>
            </w:pPr>
            <w:r>
              <w:t xml:space="preserve">Map entry</w:t>
            </w:r>
          </w:p>
        </w:tc>
        <w:tc>
          <w:tcPr/>
          <w:p>
            <w:pPr>
              <w:pStyle w:val="Compact"/>
              <w:jc w:val="left"/>
            </w:pPr>
            <w:r>
              <w:t xml:space="preserve">Type</w:t>
            </w:r>
          </w:p>
        </w:tc>
        <w:tc>
          <w:tcPr/>
          <w:p>
            <w:pPr>
              <w:pStyle w:val="Compact"/>
              <w:jc w:val="left"/>
            </w:pPr>
            <w:r>
              <w:t xml:space="preserve">Description</w:t>
            </w:r>
          </w:p>
        </w:tc>
      </w:tr>
      <w:tr>
        <w:tc>
          <w:tcPr/>
          <w:p>
            <w:pPr>
              <w:jc w:val="left"/>
            </w:pPr>
            <w:r>
              <w:t xml:space="preserve">key</w:t>
            </w:r>
          </w:p>
        </w:tc>
        <w:tc>
          <w:tcPr/>
          <w:p>
            <w:pPr>
              <w:jc w:val="left"/>
            </w:pPr>
            <w:r>
              <w:t xml:space="preserve">string</w:t>
            </w:r>
          </w:p>
        </w:tc>
        <w:tc>
          <w:tcPr/>
          <w:p>
            <w:pPr>
              <w:jc w:val="left"/>
            </w:pPr>
            <w:r>
              <w:t xml:space="preserve">A short identifier used to reference this namespace in</w:t>
            </w:r>
            <w:r>
              <w:t xml:space="preserve"> </w:t>
            </w:r>
            <w:r>
              <w:rPr>
                <w:rStyle w:val="VerbatimChar"/>
              </w:rPr>
              <w:t xml:space="preserve">Parameter.standardNames</w:t>
            </w:r>
            <w:r>
              <w:t xml:space="preserve"> </w:t>
            </w:r>
            <w:r>
              <w:t xml:space="preserve">entries (e.g.,</w:t>
            </w:r>
            <w:r>
              <w:t xml:space="preserve"> </w:t>
            </w:r>
            <w:r>
              <w:rPr>
                <w:rStyle w:val="VerbatimChar"/>
              </w:rPr>
              <w:t xml:space="preserve">"cf"</w:t>
            </w:r>
            <w:r>
              <w:t xml:space="preserve">,</w:t>
            </w:r>
            <w:r>
              <w:t xml:space="preserve"> </w:t>
            </w:r>
            <w:r>
              <w:rPr>
                <w:rStyle w:val="VerbatimChar"/>
              </w:rPr>
              <w:t xml:space="preserve">"wmo"</w:t>
            </w:r>
            <w:r>
              <w:t xml:space="preserve">)</w:t>
            </w:r>
          </w:p>
        </w:tc>
      </w:tr>
      <w:tr>
        <w:tc>
          <w:tcPr/>
          <w:p>
            <w:pPr>
              <w:jc w:val="left"/>
            </w:pPr>
            <w:r>
              <w:t xml:space="preserve">value</w:t>
            </w:r>
          </w:p>
        </w:tc>
        <w:tc>
          <w:tcPr/>
          <w:p>
            <w:pPr>
              <w:jc w:val="left"/>
            </w:pPr>
            <w:r>
              <w:t xml:space="preserve">string</w:t>
            </w:r>
          </w:p>
        </w:tc>
        <w:tc>
          <w:tcPr/>
          <w:p>
            <w:pPr>
              <w:jc w:val="left"/>
            </w:pPr>
            <w:r>
              <w:t xml:space="preserve">A URI that uniquely and durably identifies the vocabulary (e.g.,</w:t>
            </w:r>
            <w:r>
              <w:t xml:space="preserve"> </w:t>
            </w:r>
            <w:r>
              <w:rPr>
                <w:rStyle w:val="VerbatimChar"/>
              </w:rPr>
              <w:t xml:space="preserve">"https://vocab.nerc.ac.uk/collection/P07/current/"</w:t>
            </w:r>
            <w:r>
              <w:t xml:space="preserve">)</w:t>
            </w:r>
          </w:p>
        </w:tc>
      </w:tr>
    </w:tbl>
    <w:p>
      <w:pPr>
        <w:pStyle w:val="BodyText"/>
      </w:pPr>
      <w:r>
        <w:t xml:space="preserve">Each namespace key shall be a non-empty string containing only alphanumeric characters and underscores. The namespace URI shall be a resolvable, publicly accessible URI that identifies the vocabulary in a dereferenceable way.</w:t>
      </w:r>
    </w:p>
    <w:p>
      <w:pPr>
        <w:pStyle w:val="BodyText"/>
      </w:pPr>
      <w:r>
        <w:t xml:space="preserve">A</w:t>
      </w:r>
      <w:r>
        <w:t xml:space="preserve"> </w:t>
      </w:r>
      <w:r>
        <w:rPr>
          <w:rStyle w:val="VerbatimChar"/>
        </w:rPr>
        <w:t xml:space="preserve">Metadata</w:t>
      </w:r>
      <w:r>
        <w:t xml:space="preserve"> </w:t>
      </w:r>
      <w:r>
        <w:t xml:space="preserve">message may declare zero or more namespace entries. When no standard names are used, the</w:t>
      </w:r>
      <w:r>
        <w:t xml:space="preserve"> </w:t>
      </w:r>
      <w:r>
        <w:rPr>
          <w:rStyle w:val="VerbatimChar"/>
        </w:rPr>
        <w:t xml:space="preserve">namespaces</w:t>
      </w:r>
      <w:r>
        <w:t xml:space="preserve"> </w:t>
      </w:r>
      <w:r>
        <w:t xml:space="preserve">map may be empty or omitted.</w:t>
      </w:r>
    </w:p>
    <w:bookmarkEnd w:id="93"/>
    <w:bookmarkStart w:id="94" w:name="Xd1c302b8a82dd955e6c97d940af707ea0542cd4"/>
    <w:p>
      <w:pPr>
        <w:pStyle w:val="Heading2"/>
      </w:pPr>
      <w:r>
        <w:t xml:space="preserve">Standard name assignment</w:t>
      </w:r>
    </w:p>
    <w:p>
      <w:pPr>
        <w:pStyle w:val="FirstParagraph"/>
      </w:pPr>
      <w:r>
        <w:t xml:space="preserve">The</w:t>
      </w:r>
      <w:r>
        <w:t xml:space="preserve"> </w:t>
      </w:r>
      <w:r>
        <w:rPr>
          <w:rStyle w:val="VerbatimChar"/>
        </w:rPr>
        <w:t xml:space="preserve">Parameter.standardNames</w:t>
      </w:r>
      <w:r>
        <w:t xml:space="preserve"> </w:t>
      </w:r>
      <w:r>
        <w:t xml:space="preserve">field maps namespace keys to the standard name for that parameter within the corresponding vocabulary. It is a map from namespace key to standard name value.</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jc w:val="left"/>
            </w:pPr>
            <w:r>
              <w:t xml:space="preserve">Map entry</w:t>
            </w:r>
          </w:p>
        </w:tc>
        <w:tc>
          <w:tcPr/>
          <w:p>
            <w:pPr>
              <w:pStyle w:val="Compact"/>
              <w:jc w:val="left"/>
            </w:pPr>
            <w:r>
              <w:t xml:space="preserve">Type</w:t>
            </w:r>
          </w:p>
        </w:tc>
        <w:tc>
          <w:tcPr/>
          <w:p>
            <w:pPr>
              <w:pStyle w:val="Compact"/>
              <w:jc w:val="left"/>
            </w:pPr>
            <w:r>
              <w:t xml:space="preserve">Description</w:t>
            </w:r>
          </w:p>
        </w:tc>
      </w:tr>
      <w:tr>
        <w:tc>
          <w:tcPr/>
          <w:p>
            <w:pPr>
              <w:jc w:val="left"/>
            </w:pPr>
            <w:r>
              <w:t xml:space="preserve">key</w:t>
            </w:r>
          </w:p>
        </w:tc>
        <w:tc>
          <w:tcPr/>
          <w:p>
            <w:pPr>
              <w:jc w:val="left"/>
            </w:pPr>
            <w:r>
              <w:t xml:space="preserve">string</w:t>
            </w:r>
          </w:p>
        </w:tc>
        <w:tc>
          <w:tcPr/>
          <w:p>
            <w:pPr>
              <w:jc w:val="left"/>
            </w:pPr>
            <w:r>
              <w:t xml:space="preserve">A namespace key that shall match a key declared in</w:t>
            </w:r>
            <w:r>
              <w:t xml:space="preserve"> </w:t>
            </w:r>
            <w:r>
              <w:rPr>
                <w:rStyle w:val="VerbatimChar"/>
              </w:rPr>
              <w:t xml:space="preserve">Metadata.namespaces</w:t>
            </w:r>
          </w:p>
        </w:tc>
      </w:tr>
      <w:tr>
        <w:tc>
          <w:tcPr/>
          <w:p>
            <w:pPr>
              <w:jc w:val="left"/>
            </w:pPr>
            <w:r>
              <w:t xml:space="preserve">value</w:t>
            </w:r>
          </w:p>
        </w:tc>
        <w:tc>
          <w:tcPr/>
          <w:p>
            <w:pPr>
              <w:jc w:val="left"/>
            </w:pPr>
            <w:r>
              <w:t xml:space="preserve">string</w:t>
            </w:r>
          </w:p>
        </w:tc>
        <w:tc>
          <w:tcPr/>
          <w:p>
            <w:pPr>
              <w:jc w:val="left"/>
            </w:pPr>
            <w:r>
              <w:t xml:space="preserve">The standard name for this parameter in the vocabulary identified by the namespace key (e.g.,</w:t>
            </w:r>
            <w:r>
              <w:t xml:space="preserve"> </w:t>
            </w:r>
            <w:r>
              <w:rPr>
                <w:rStyle w:val="VerbatimChar"/>
              </w:rPr>
              <w:t xml:space="preserve">"air_temperature"</w:t>
            </w:r>
            <w:r>
              <w:t xml:space="preserve">)</w:t>
            </w:r>
          </w:p>
        </w:tc>
      </w:tr>
    </w:tbl>
    <w:p>
      <w:pPr>
        <w:pStyle w:val="BodyText"/>
      </w:pPr>
      <w:r>
        <w:t xml:space="preserve">Each key in</w:t>
      </w:r>
      <w:r>
        <w:t xml:space="preserve"> </w:t>
      </w:r>
      <w:r>
        <w:rPr>
          <w:rStyle w:val="VerbatimChar"/>
        </w:rPr>
        <w:t xml:space="preserve">Parameter.standardNames</w:t>
      </w:r>
      <w:r>
        <w:t xml:space="preserve"> </w:t>
      </w:r>
      <w:r>
        <w:t xml:space="preserve">shall match a key declared in</w:t>
      </w:r>
      <w:r>
        <w:t xml:space="preserve"> </w:t>
      </w:r>
      <w:r>
        <w:rPr>
          <w:rStyle w:val="VerbatimChar"/>
        </w:rPr>
        <w:t xml:space="preserve">Metadata.namespaces</w:t>
      </w:r>
      <w:r>
        <w:t xml:space="preserve">. A Node shall not include a standard name entry for a namespace that is not declared in the corresponding</w:t>
      </w:r>
      <w:r>
        <w:t xml:space="preserve"> </w:t>
      </w:r>
      <w:r>
        <w:rPr>
          <w:rStyle w:val="VerbatimChar"/>
        </w:rPr>
        <w:t xml:space="preserve">Metadata</w:t>
      </w:r>
      <w:r>
        <w:t xml:space="preserve"> </w:t>
      </w:r>
      <w:r>
        <w:t xml:space="preserve">message.</w:t>
      </w:r>
    </w:p>
    <w:p>
      <w:pPr>
        <w:pStyle w:val="BodyText"/>
      </w:pPr>
      <w:r>
        <w:t xml:space="preserve">A parameter may carry zero, one, or multiple standard name entries. When multiple entries are present, each entry associates the parameter with the equivalent standard name in a different vocabulary.</w:t>
      </w:r>
    </w:p>
    <w:p>
      <w:pPr>
        <w:pStyle w:val="BodyText"/>
      </w:pPr>
      <w:r>
        <w:t xml:space="preserve">Standard name binding is applied at the</w:t>
      </w:r>
      <w:r>
        <w:t xml:space="preserve"> </w:t>
      </w:r>
      <w:r>
        <w:rPr>
          <w:rStyle w:val="VerbatimChar"/>
        </w:rPr>
        <w:t xml:space="preserve">Parameter</w:t>
      </w:r>
      <w:r>
        <w:t xml:space="preserve"> </w:t>
      </w:r>
      <w:r>
        <w:t xml:space="preserve">level, not the</w:t>
      </w:r>
      <w:r>
        <w:t xml:space="preserve"> </w:t>
      </w:r>
      <w:r>
        <w:rPr>
          <w:rStyle w:val="VerbatimChar"/>
        </w:rPr>
        <w:t xml:space="preserve">ParameterDefinition</w:t>
      </w:r>
      <w:r>
        <w:t xml:space="preserve"> </w:t>
      </w:r>
      <w:r>
        <w:t xml:space="preserve">level. When a</w:t>
      </w:r>
      <w:r>
        <w:t xml:space="preserve"> </w:t>
      </w:r>
      <w:r>
        <w:rPr>
          <w:rStyle w:val="VerbatimChar"/>
        </w:rPr>
        <w:t xml:space="preserve">ParameterDefinition</w:t>
      </w:r>
      <w:r>
        <w:t xml:space="preserve"> </w:t>
      </w:r>
      <w:r>
        <w:t xml:space="preserve">contains multiple</w:t>
      </w:r>
      <w:r>
        <w:t xml:space="preserve"> </w:t>
      </w:r>
      <w:r>
        <w:rPr>
          <w:rStyle w:val="VerbatimChar"/>
        </w:rPr>
        <w:t xml:space="preserve">Parameter</w:t>
      </w:r>
      <w:r>
        <w:t xml:space="preserve"> </w:t>
      </w:r>
      <w:r>
        <w:t xml:space="preserve">entries, each parameter independently carries its own standard name bindings appropriate for the variable it represents.</w:t>
      </w:r>
    </w:p>
    <w:bookmarkEnd w:id="94"/>
    <w:bookmarkStart w:id="98" w:name="standard-name-hierarchy"/>
    <w:p>
      <w:pPr>
        <w:pStyle w:val="Heading2"/>
      </w:pPr>
      <w:r>
        <w:t xml:space="preserve">Standard name hierarchy</w:t>
      </w:r>
    </w:p>
    <w:p>
      <w:pPr>
        <w:pStyle w:val="FirstParagraph"/>
      </w:pPr>
      <w:r>
        <w:t xml:space="preserve">Standard names shall be drawn from the following three-level hierarchy, in order of precedence. A higher-level vocabulary shall be used wherever it provides a suitable standard name for the parameter in question.</w:t>
      </w:r>
    </w:p>
    <w:bookmarkStart w:id="95" w:name="level-1-cf"/>
    <w:p>
      <w:pPr>
        <w:pStyle w:val="Heading3"/>
      </w:pPr>
      <w:r>
        <w:t xml:space="preserve">Level 1: CF Metadata Conventions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r>
        <w:rPr>
          <w:rStyle w:val="VerbatimChar"/>
        </w:rPr>
        <w:t xml:space="preserve">https://cfconventions.org/Data/cf-standard-names/current/build/cf-standard-name-table.html</w:t>
      </w:r>
      <w:r>
        <w:t xml:space="preserve">.</w:t>
      </w:r>
    </w:p>
    <w:p>
      <w:pPr>
        <w:pStyle w:val="BodyText"/>
      </w:pPr>
      <w:r>
        <w:t xml:space="preserve">Where a CF standard name exists for a parameter, the Node shall use it in preference to any lower-level vocabulary entry.</w:t>
      </w:r>
    </w:p>
    <w:p>
      <w:pPr>
        <w:pStyle w:val="BodyText"/>
      </w:pPr>
      <w:r>
        <w:t xml:space="preserve">The CF namespace shall be declared using the reserved key</w:t>
      </w:r>
      <w:r>
        <w:t xml:space="preserve"> </w:t>
      </w:r>
      <w:r>
        <w:rPr>
          <w:rStyle w:val="VerbatimChar"/>
        </w:rPr>
        <w:t xml:space="preserve">"cf"</w:t>
      </w:r>
      <w:r>
        <w:t xml:space="preserve">. The value shall be a URI that resolves to a machine-readable vocabulary server endpoint publishing the CF standard name table.</w:t>
      </w:r>
    </w:p>
    <w:p>
      <w:pPr>
        <w:pStyle w:val="BodyText"/>
      </w:pPr>
      <w:r>
        <w:t xml:space="preserve">The CF Conventions community does not currently operate a vocabulary server. Until an official CF vocabulary server endpoint is available, the NERC Vocabulary Server mirror of the CF standard name table (collection P07) should be used:</w:t>
      </w:r>
    </w:p>
    <w:p>
      <w:pPr>
        <w:pStyle w:val="SourceCode"/>
      </w:pPr>
      <w:r>
        <w:rPr>
          <w:rStyle w:val="ErrorTok"/>
        </w:rPr>
        <w:t xml:space="preserve">"namespaces":</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"https://vocab.nerc.ac.uk/collection/P07/current/"</w:t>
      </w:r>
      <w:r>
        <w:br/>
      </w:r>
      <w:r>
        <w:rPr>
          <w:rStyle w:val="FunctionTok"/>
        </w:rPr>
        <w:t xml:space="preserve">}</w:t>
      </w:r>
    </w:p>
    <w:p>
      <w:pPr>
        <w:pStyle w:val="FirstParagraph"/>
      </w:pPr>
      <w:r>
        <w:t xml:space="preserve">If the CF Conventions community publishes an official vocabulary server endpoint in the future, that URI should be used in preference to the NERC mirror. Hubs should be prepared to recognise URIs from recognised CF standard name vocabulary server mirrors as equivalent for the purposes of name resolution.</w:t>
      </w:r>
    </w:p>
    <w:p>
      <w:pPr>
        <w:pStyle w:val="BodyText"/>
      </w:pPr>
      <w:r>
        <w:t xml:space="preserve">CF standard names are lower-case strings with words separated by underscores (e.g.,</w:t>
      </w:r>
      <w:r>
        <w:t xml:space="preserve"> </w:t>
      </w:r>
      <w:r>
        <w:rPr>
          <w:rStyle w:val="VerbatimChar"/>
        </w:rPr>
        <w:t xml:space="preserve">"air_temperature"</w:t>
      </w:r>
      <w:r>
        <w:t xml:space="preserve">,</w:t>
      </w:r>
      <w:r>
        <w:t xml:space="preserve"> </w:t>
      </w:r>
      <w:r>
        <w:rPr>
          <w:rStyle w:val="VerbatimChar"/>
        </w:rPr>
        <w:t xml:space="preserve">"wind_speed"</w:t>
      </w:r>
      <w:r>
        <w:t xml:space="preserve">,</w:t>
      </w:r>
      <w:r>
        <w:t xml:space="preserve"> </w:t>
      </w:r>
      <w:r>
        <w:rPr>
          <w:rStyle w:val="VerbatimChar"/>
        </w:rPr>
        <w:t xml:space="preserve">"relative_humidity"</w:t>
      </w:r>
      <w:r>
        <w:t xml:space="preserve">). The CF standard name table at cfconventions.org is the authoritative reference for name validity and definitions, regardless of which vocabulary server URI is used as the namespace identifier.</w:t>
      </w:r>
    </w:p>
    <w:bookmarkEnd w:id="95"/>
    <w:bookmarkStart w:id="96" w:name="level-2-wmo"/>
    <w:p>
      <w:pPr>
        <w:pStyle w:val="Heading3"/>
      </w:pPr>
      <w:r>
        <w:t xml:space="preserve">Level 2: WMO First Mile parameter registry</w:t>
      </w:r>
    </w:p>
    <w:p>
      <w:pPr>
        <w:pStyle w:val="FirstParagraph"/>
      </w:pPr>
      <w:r>
        <w:t xml:space="preserve">Parameters that are not covered by the CF standard name vocabulary but are common to first-mile observation deployments are governed by a centrally managed registry maintained by WMO and hosted at</w:t>
      </w:r>
      <w:r>
        <w:t xml:space="preserve"> </w:t>
      </w:r>
      <w:r>
        <w:rPr>
          <w:rStyle w:val="VerbatimChar"/>
        </w:rPr>
        <w:t xml:space="preserve">https://codes.wmo.int</w:t>
      </w:r>
      <w:r>
        <w:t xml:space="preserve">.</w:t>
      </w:r>
    </w:p>
    <w:p>
      <w:pPr>
        <w:pStyle w:val="BodyText"/>
      </w:pPr>
      <w:r>
        <w:t xml:space="preserve">Where a parameter is not covered by CF but is included in the WMO First Mile parameter registry, the Node shall use the registry entry in preference to any locally managed vocabulary.</w:t>
      </w:r>
    </w:p>
    <w:p>
      <w:pPr>
        <w:pStyle w:val="BodyText"/>
      </w:pPr>
      <w:r>
        <w:t xml:space="preserve">The WMO First Mile registry namespace shall be declared using the reserved key</w:t>
      </w:r>
      <w:r>
        <w:t xml:space="preserve"> </w:t>
      </w:r>
      <w:r>
        <w:rPr>
          <w:rStyle w:val="VerbatimChar"/>
        </w:rPr>
        <w:t xml:space="preserve">"wmo"</w:t>
      </w:r>
      <w:r>
        <w:t xml:space="preserve"> </w:t>
      </w:r>
      <w:r>
        <w:t xml:space="preserve">with the URI of the registry collection.</w:t>
      </w:r>
    </w:p>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r>
        <w:rPr>
          <w:rStyle w:val="VerbatimChar"/>
        </w:rPr>
        <w:t xml:space="preserve">https://codes.wmo.int</w:t>
      </w:r>
      <w:r>
        <w:t xml:space="preserve"> </w:t>
      </w:r>
      <w:r>
        <w:t xml:space="preserve">for the current list of registered entries.</w:t>
      </w:r>
    </w:p>
    <w:bookmarkEnd w:id="96"/>
    <w:bookmarkStart w:id="97" w:name="level-3-local"/>
    <w:p>
      <w:pPr>
        <w:pStyle w:val="Heading3"/>
      </w:pPr>
      <w:r>
        <w:t xml:space="preserve">Level 3: Locally managed vocabularies</w:t>
      </w:r>
    </w:p>
    <w:p>
      <w:pPr>
        <w:pStyle w:val="FirstParagraph"/>
      </w:pPr>
      <w:r>
        <w:t xml:space="preserve">Where a parameter is not covered by either the CF standard name vocabulary (</w:t>
      </w:r>
      <w:hyperlink w:anchor="level-1-cf">
        <w:r>
          <w:rPr>
            <w:rStyle w:val="Hyperlink"/>
          </w:rPr>
          <w:t xml:space="preserve">Level 1: CF Metadata Conventions</w:t>
        </w:r>
      </w:hyperlink>
      <w:r>
        <w:t xml:space="preserve">) or the WMO First Mile parameter registry (</w:t>
      </w:r>
      <w:hyperlink w:anchor="level-2-wmo">
        <w:r>
          <w:rPr>
            <w:rStyle w:val="Hyperlink"/>
          </w:rPr>
          <w:t xml:space="preserve">Level 2: WMO First Mile parameter registry</w:t>
        </w:r>
      </w:hyperlink>
      <w:r>
        <w:t xml:space="preserve">), a Node may use a locally managed vocabulary.</w:t>
      </w:r>
    </w:p>
    <w:p>
      <w:pPr>
        <w:pStyle w:val="BodyText"/>
      </w:pPr>
      <w:r>
        <w:t xml:space="preserve">Locally managed vocabularies shall conform to the FAIR Guiding Principles for scientific data management (Findable, Accessible, Interoperable, Reusable). In particular:</w:t>
      </w:r>
    </w:p>
    <w:p>
      <w:pPr>
        <w:numPr>
          <w:ilvl w:val="0"/>
          <w:numId w:val="1011"/>
        </w:numPr>
      </w:pPr>
      <w:r>
        <w:t xml:space="preserve">The vocabulary shall be findable via a persistent, unique identifier (the namespace URI)</w:t>
      </w:r>
    </w:p>
    <w:p>
      <w:pPr>
        <w:numPr>
          <w:ilvl w:val="0"/>
          <w:numId w:val="1011"/>
        </w:numPr>
      </w:pPr>
      <w:r>
        <w:t xml:space="preserve">The vocabulary shall be accessible at that URI to all parties participating in the data exchange</w:t>
      </w:r>
    </w:p>
    <w:p>
      <w:pPr>
        <w:numPr>
          <w:ilvl w:val="0"/>
          <w:numId w:val="1011"/>
        </w:numPr>
      </w:pPr>
      <w:r>
        <w:t xml:space="preserve">The vocabulary shall use an open, standardised representation (e.g., SKOS/RDF)</w:t>
      </w:r>
    </w:p>
    <w:p>
      <w:pPr>
        <w:numPr>
          <w:ilvl w:val="0"/>
          <w:numId w:val="1011"/>
        </w:numPr>
      </w:pPr>
      <w:r>
        <w:t xml:space="preserve">Entries shall be stable; their identifiers and meanings shall remain unchanged once published</w:t>
      </w:r>
    </w:p>
    <w:p>
      <w:pPr>
        <w:pStyle w:val="FirstParagraph"/>
      </w:pPr>
      <w:r>
        <w:t xml:space="preserve">A conformant Hub shall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Local namespace entries may be included alongside Level 1 or Level 2 standard names. A Hub shall be able to identify and interpret any parameter using the standard names alone.</w:t>
      </w:r>
    </w:p>
    <w:p>
      <w:pPr>
        <w:pStyle w:val="BodyText"/>
      </w:pPr>
      <w:r>
        <w:t xml:space="preserve">Where a standard name exists at Level 1 (CF) or Level 2 (WMO registry), that standard name shall be included in</w:t>
      </w:r>
      <w:r>
        <w:t xml:space="preserve"> </w:t>
      </w:r>
      <w:r>
        <w:rPr>
          <w:rStyle w:val="VerbatimChar"/>
        </w:rPr>
        <w:t xml:space="preserve">Parameter.standardNames</w:t>
      </w:r>
      <w:r>
        <w:t xml:space="preserve">. Any locally managed entries for the same parameter are supplementary to, not a replacement for, the applicable standard name.</w:t>
      </w:r>
    </w:p>
    <w:bookmarkEnd w:id="97"/>
    <w:bookmarkEnd w:id="98"/>
    <w:bookmarkStart w:id="99" w:name="X1d2d8b2f82e594e73dcfe546d3edc50106a5dfc"/>
    <w:p>
      <w:pPr>
        <w:pStyle w:val="Heading2"/>
      </w:pPr>
      <w:r>
        <w:t xml:space="preserve">Informative example</w:t>
      </w:r>
    </w:p>
    <w:p>
      <w:pPr>
        <w:pStyle w:val="FirstParagraph"/>
      </w:pPr>
      <w:r>
        <w:t xml:space="preserve">The following example shows a</w:t>
      </w:r>
      <w:r>
        <w:t xml:space="preserve"> </w:t>
      </w:r>
      <w:r>
        <w:rPr>
          <w:rStyle w:val="VerbatimChar"/>
        </w:rPr>
        <w:t xml:space="preserve">Metadata</w:t>
      </w:r>
      <w:r>
        <w:t xml:space="preserve"> </w:t>
      </w:r>
      <w:r>
        <w:t xml:space="preserve">message extract demonstrating standard name binding across multiple vocabulary levels for a meteorological and hydrological station.</w:t>
      </w:r>
    </w:p>
    <w:p>
      <w:pPr>
        <w:pStyle w:val="SourceCode"/>
      </w:pP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meteorological observations"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"Air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"°C"</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"air_temperature"</w:t>
      </w:r>
      <w:r>
        <w:rPr>
          <w:rStyle w:val="NormalTok"/>
        </w:rPr>
        <w:t xml:space="preserve"> </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Speed"</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"m/s"</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"wind_speed"</w:t>
      </w:r>
      <w:r>
        <w:rPr>
          <w:rStyle w:val="NormalTok"/>
        </w:rPr>
        <w:t xml:space="preserve"> </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"Station power and diagnostics"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"Supply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"wmo"</w:t>
      </w:r>
      <w:r>
        <w:rPr>
          <w:rStyle w:val="FunctionTok"/>
        </w:rPr>
        <w:t xml:space="preserve">:</w:t>
      </w:r>
      <w:r>
        <w:rPr>
          <w:rStyle w:val="NormalTok"/>
        </w:rPr>
        <w:t xml:space="preserve"> </w:t>
      </w:r>
      <w:r>
        <w:rPr>
          <w:rStyle w:val="StringTok"/>
        </w:rPr>
        <w:t xml:space="preserve">"supply_voltage"</w:t>
      </w:r>
      <w:r>
        <w:rPr>
          <w:rStyle w:val="NormalTok"/>
        </w:rPr>
        <w:t xml:space="preserve"> </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"host"</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"namespaces"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"https://vocab.nerc.ac.uk/collection/P07/current/"</w:t>
      </w:r>
      <w:r>
        <w:rPr>
          <w:rStyle w:val="FunctionTok"/>
        </w:rPr>
        <w:t xml:space="preserve">,</w:t>
      </w:r>
      <w:r>
        <w:br/>
      </w:r>
      <w:r>
        <w:rPr>
          <w:rStyle w:val="NormalTok"/>
        </w:rPr>
        <w:t xml:space="preserve">    </w:t>
      </w:r>
      <w:r>
        <w:rPr>
          <w:rStyle w:val="DataTypeTok"/>
        </w:rPr>
        <w:t xml:space="preserve">"wmo"</w:t>
      </w:r>
      <w:r>
        <w:rPr>
          <w:rStyle w:val="FunctionTok"/>
        </w:rPr>
        <w:t xml:space="preserve">:</w:t>
      </w:r>
      <w:r>
        <w:rPr>
          <w:rStyle w:val="NormalTok"/>
        </w:rPr>
        <w:t xml:space="preserve"> </w:t>
      </w:r>
      <w:r>
        <w:rPr>
          <w:rStyle w:val="StringTok"/>
        </w:rPr>
        <w:t xml:space="preserve">"https://codes.wmo.int/first-mile/standard-names/"</w:t>
      </w:r>
      <w:r>
        <w:br/>
      </w:r>
      <w:r>
        <w:rPr>
          <w:rStyle w:val="NormalTok"/>
        </w:rPr>
        <w:t xml:space="preserve">  </w:t>
      </w:r>
      <w:r>
        <w:rPr>
          <w:rStyle w:val="FunctionTok"/>
        </w:rPr>
        <w:t xml:space="preserve">}</w:t>
      </w:r>
      <w:r>
        <w:br/>
      </w:r>
      <w:r>
        <w:rPr>
          <w:rStyle w:val="FunctionTok"/>
        </w:rPr>
        <w:t xml:space="preserve">}</w:t>
      </w:r>
    </w:p>
    <w:bookmarkEnd w:id="99"/>
    <w:bookmarkEnd w:id="100"/>
    <w:bookmarkStart w:id="109" w:name="Xada6c7dac768733be52cb0d6a068e1fee1abfc7"/>
    <w:p>
      <w:pPr>
        <w:pStyle w:val="Heading1"/>
      </w:pPr>
      <w:r>
        <w:t xml:space="preserve">Protocol binding</w:t>
      </w:r>
    </w:p>
    <w:bookmarkStart w:id="101" w:name="X983c4aa7ef28fb7032ae84e3fd3376f6e50726d"/>
    <w:p>
      <w:pPr>
        <w:pStyle w:val="Heading2"/>
      </w:pPr>
      <w:r>
        <w:t xml:space="preserve">Overview</w:t>
      </w:r>
    </w:p>
    <w:bookmarkEnd w:id="101"/>
    <w:bookmarkStart w:id="102" w:name="Xbc70952558536d95467b743ffb3c32263f27a0c"/>
    <w:p>
      <w:pPr>
        <w:pStyle w:val="Heading2"/>
      </w:pPr>
      <w:r>
        <w:t xml:space="preserve">MQTT version requirements</w:t>
      </w:r>
    </w:p>
    <w:bookmarkEnd w:id="102"/>
    <w:bookmarkStart w:id="105" w:name="Xf67ac0e21d813604a0ad8d5ee7433b863ecda37"/>
    <w:p>
      <w:pPr>
        <w:pStyle w:val="Heading2"/>
      </w:pPr>
      <w:r>
        <w:t xml:space="preserve">Topic structure</w:t>
      </w:r>
    </w:p>
    <w:bookmarkStart w:id="103" w:name="X1ebaac39602a0920fd1eeef5bf8f59f06e2cdc1"/>
    <w:p>
      <w:pPr>
        <w:pStyle w:val="Heading3"/>
      </w:pPr>
      <w:r>
        <w:t xml:space="preserve">Topic pattern</w:t>
      </w:r>
    </w:p>
    <w:bookmarkEnd w:id="103"/>
    <w:bookmarkStart w:id="104" w:name="X7faf01397d8ce93a55fbc2f8b1b1595228b5dc5"/>
    <w:p>
      <w:pPr>
        <w:pStyle w:val="Heading3"/>
      </w:pPr>
      <w:r>
        <w:t xml:space="preserve">Level definitions and allowed values</w:t>
      </w:r>
    </w:p>
    <w:bookmarkEnd w:id="104"/>
    <w:bookmarkEnd w:id="105"/>
    <w:bookmarkStart w:id="108" w:name="Xf197fc8fce37bef5c2310702576b8c8da542d6f"/>
    <w:p>
      <w:pPr>
        <w:pStyle w:val="Heading2"/>
      </w:pPr>
      <w:r>
        <w:t xml:space="preserve">Quality of service</w:t>
      </w:r>
    </w:p>
    <w:bookmarkStart w:id="106" w:name="X90c2196e95cddca2e2775025e961f1650e41363"/>
    <w:p>
      <w:pPr>
        <w:pStyle w:val="Heading3"/>
      </w:pPr>
      <w:r>
        <w:t xml:space="preserve">Metadata messages</w:t>
      </w:r>
    </w:p>
    <w:bookmarkEnd w:id="106"/>
    <w:bookmarkStart w:id="107" w:name="Xd6c757e32fed425b3a7adf6ea311ffaa6b43755"/>
    <w:p>
      <w:pPr>
        <w:pStyle w:val="Heading3"/>
      </w:pPr>
      <w:r>
        <w:t xml:space="preserve">Data messages</w:t>
      </w:r>
    </w:p>
    <w:bookmarkEnd w:id="107"/>
    <w:bookmarkEnd w:id="108"/>
    <w:bookmarkEnd w:id="109"/>
    <w:bookmarkStart w:id="115" w:name="X3d9fbe32488adb44e92c19e07af663f6426d741"/>
    <w:p>
      <w:pPr>
        <w:pStyle w:val="Heading1"/>
      </w:pPr>
      <w:r>
        <w:t xml:space="preserve">Data sender</w:t>
      </w:r>
    </w:p>
    <w:bookmarkStart w:id="114" w:name="Xfe9d8bc29604d61eb0b0c2aa97197afd523e1ad"/>
    <w:p>
      <w:pPr>
        <w:pStyle w:val="Heading2"/>
      </w:pPr>
      <w:r>
        <w:t xml:space="preserve">Metadata publication</w:t>
      </w:r>
    </w:p>
    <w:p>
      <w:pPr>
        <w:pStyle w:val="FirstParagraph"/>
      </w:pPr>
      <w:r>
        <w:t xml:space="preserve">A key feature of the First Mile Format, is the structured inclusion of metadata. This enables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Benefit</w:t>
            </w:r>
          </w:p>
        </w:tc>
        <w:tc>
          <w:tcPr/>
          <w:p>
            <w:pPr>
              <w:jc w:val="left"/>
            </w:pPr>
            <w:r>
              <w:t xml:space="preserve">Definition</w:t>
            </w:r>
          </w:p>
        </w:tc>
        <w:tc>
          <w:tcPr/>
          <w:p>
            <w:pPr>
              <w:jc w:val="left"/>
            </w:pPr>
            <w:r>
              <w:t xml:space="preserve">Required in implementation</w:t>
            </w:r>
          </w:p>
        </w:tc>
      </w:tr>
      <w:tr>
        <w:tc>
          <w:tcPr/>
          <w:p>
            <w:pPr>
              <w:jc w:val="left"/>
            </w:pPr>
            <w:r>
              <w:t xml:space="preserve">Machine Translation</w:t>
            </w:r>
          </w:p>
        </w:tc>
        <w:tc>
          <w:tcPr/>
          <w:p>
            <w:pPr>
              <w:jc w:val="left"/>
            </w:pPr>
            <w:r>
              <w:t xml:space="preserve">Received data can be correctly assigned to observations in database/products/services without human interpretation/intervention</w:t>
            </w:r>
          </w:p>
        </w:tc>
        <w:tc>
          <w:tcPr/>
          <w:p>
            <w:pPr>
              <w:jc w:val="left"/>
            </w:pPr>
            <w:r>
              <w:t xml:space="preserve">Standard Names</w:t>
            </w:r>
          </w:p>
        </w:tc>
      </w:tr>
      <w:tr>
        <w:tc>
          <w:tcPr/>
          <w:p>
            <w:pPr>
              <w:jc w:val="left"/>
            </w:pPr>
            <w:r>
              <w:t xml:space="preserve">Stranger Interpretation</w:t>
            </w:r>
          </w:p>
        </w:tc>
        <w:tc>
          <w:tcPr/>
          <w:p>
            <w:pPr>
              <w:jc w:val="left"/>
            </w:pPr>
            <w:r>
              <w:t xml:space="preserve">Siting (particularly location and height of observations) and equipment can be deduced from data, enabling assessment of observation quality without access to other information</w:t>
            </w:r>
          </w:p>
        </w:tc>
        <w:tc>
          <w:tcPr/>
          <w:p>
            <w:pPr>
              <w:jc w:val="left"/>
            </w:pPr>
            <w:r>
              <w:t xml:space="preserve">Location, URL (for additional information)</w:t>
            </w:r>
          </w:p>
        </w:tc>
      </w:tr>
      <w:tr>
        <w:tc>
          <w:tcPr/>
          <w:p>
            <w:pPr>
              <w:jc w:val="left"/>
            </w:pPr>
            <w:r>
              <w:t xml:space="preserve">Efficient Communication</w:t>
            </w:r>
          </w:p>
        </w:tc>
        <w:tc>
          <w:tcPr/>
          <w:p>
            <w:pPr>
              <w:jc w:val="left"/>
            </w:pPr>
            <w:r>
              <w:t xml:space="preserve">Metadata is not included in every message (reducing bandwidth requirements), only to ensure efficient processing by the Receiver</w:t>
            </w:r>
          </w:p>
        </w:tc>
        <w:tc>
          <w:tcPr/>
          <w:p>
            <w:pPr>
              <w:jc w:val="left"/>
            </w:pPr>
            <w:r>
              <w:t xml:space="preserve">Transmission Triggers</w:t>
            </w:r>
          </w:p>
        </w:tc>
      </w:tr>
    </w:tbl>
    <w:bookmarkStart w:id="110" w:name="Xa1cc973d00deb16b989bfc71644be982f61edeb"/>
    <w:p>
      <w:pPr>
        <w:pStyle w:val="Heading3"/>
      </w:pPr>
      <w:r>
        <w:t xml:space="preserve">Mandatory fields</w:t>
      </w:r>
    </w:p>
    <w:p>
      <w:pPr>
        <w:pStyle w:val="FirstParagraph"/>
      </w:pPr>
      <w:r>
        <w:t xml:space="preserve">To enable evolution of the First Mile Standard, while maximising backward compatability, the Protobuf</w:t>
      </w:r>
      <w:r>
        <w:t xml:space="preserve"> </w:t>
      </w:r>
      <w:r>
        <w:rPr>
          <w:bCs/>
          <w:b/>
        </w:rPr>
        <w:t xml:space="preserve">REQUIRED</w:t>
      </w:r>
      <w:r>
        <w:t xml:space="preserve"> </w:t>
      </w:r>
      <w:r>
        <w:t xml:space="preserve">keyword is not used. However, omission of key values can render the other included information unusable as it is ambiguous as to how it is related to the other content.</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Message</w:t>
            </w:r>
          </w:p>
        </w:tc>
        <w:tc>
          <w:tcPr/>
          <w:p>
            <w:pPr>
              <w:jc w:val="left"/>
            </w:pPr>
            <w:r>
              <w:t xml:space="preserve">Field</w:t>
            </w:r>
          </w:p>
        </w:tc>
        <w:tc>
          <w:tcPr/>
          <w:p>
            <w:pPr>
              <w:jc w:val="left"/>
            </w:pPr>
            <w:r>
              <w:t xml:space="preserve">Justification</w:t>
            </w:r>
          </w:p>
        </w:tc>
      </w:tr>
      <w:tr>
        <w:tc>
          <w:tcPr/>
          <w:p>
            <w:pPr>
              <w:jc w:val="left"/>
            </w:pPr>
            <w:r>
              <w:t xml:space="preserve">Node</w:t>
            </w:r>
          </w:p>
        </w:tc>
        <w:tc>
          <w:tcPr/>
          <w:p>
            <w:pPr>
              <w:jc w:val="left"/>
            </w:pPr>
            <w:r>
              <w:t xml:space="preserve">name</w:t>
            </w:r>
          </w:p>
        </w:tc>
        <w:tc>
          <w:tcPr/>
          <w:p>
            <w:pPr>
              <w:jc w:val="left"/>
            </w:pPr>
            <w:r>
              <w:t xml:space="preserve">Enables the identification of the end node</w:t>
            </w:r>
          </w:p>
        </w:tc>
      </w:tr>
      <w:tr>
        <w:tc>
          <w:tcPr/>
          <w:p>
            <w:pPr>
              <w:jc w:val="left"/>
            </w:pPr>
            <w:r>
              <w:t xml:space="preserve">ObserverDevice</w:t>
            </w:r>
          </w:p>
        </w:tc>
        <w:tc>
          <w:tcPr/>
          <w:p>
            <w:pPr>
              <w:jc w:val="left"/>
            </w:pPr>
            <w:r>
              <w:t xml:space="preserve">id</w:t>
            </w:r>
          </w:p>
        </w:tc>
        <w:tc>
          <w:tcPr/>
          <w:p>
            <w:pPr>
              <w:jc w:val="left"/>
            </w:pPr>
            <w:r>
              <w:t xml:space="preserve">Enables parameters (observation data) to be matched to the sensing/observing/measuring device</w:t>
            </w:r>
          </w:p>
        </w:tc>
      </w:tr>
      <w:tr>
        <w:tc>
          <w:tcPr/>
          <w:p>
            <w:pPr>
              <w:jc w:val="left"/>
            </w:pPr>
            <w:r>
              <w:t xml:space="preserve">ParameterDefinition</w:t>
            </w:r>
          </w:p>
        </w:tc>
        <w:tc>
          <w:tcPr/>
          <w:p>
            <w:pPr>
              <w:jc w:val="left"/>
            </w:pPr>
            <w:r>
              <w:t xml:space="preserve">id</w:t>
            </w:r>
          </w:p>
        </w:tc>
        <w:tc>
          <w:tcPr/>
          <w:p>
            <w:pPr>
              <w:jc w:val="left"/>
            </w:pPr>
            <w:r>
              <w:t xml:space="preserve">Enables content from Data messages to be interpreted</w:t>
            </w:r>
          </w:p>
        </w:tc>
      </w:tr>
      <w:tr>
        <w:tc>
          <w:tcPr/>
          <w:p>
            <w:pPr>
              <w:jc w:val="left"/>
            </w:pPr>
            <w:r>
              <w:t xml:space="preserve">Parameter</w:t>
            </w:r>
          </w:p>
        </w:tc>
        <w:tc>
          <w:tcPr/>
          <w:p>
            <w:pPr>
              <w:jc w:val="left"/>
            </w:pPr>
            <w:r>
              <w:t xml:space="preserve">unit</w:t>
            </w:r>
          </w:p>
        </w:tc>
        <w:tc>
          <w:tcPr/>
          <w:p>
            <w:pPr>
              <w:jc w:val="left"/>
            </w:pPr>
            <w:r>
              <w:t xml:space="preserve">Critical to hub interpretation of received data</w:t>
            </w:r>
          </w:p>
        </w:tc>
      </w:tr>
      <w:tr>
        <w:tc>
          <w:tcPr/>
          <w:p>
            <w:pPr>
              <w:jc w:val="left"/>
            </w:pPr>
            <w:r>
              <w:t xml:space="preserve">Parameter</w:t>
            </w:r>
          </w:p>
        </w:tc>
        <w:tc>
          <w:tcPr/>
          <w:p>
            <w:pPr>
              <w:jc w:val="left"/>
            </w:pPr>
            <w:r>
              <w:t xml:space="preserve">DeviceRef</w:t>
            </w:r>
          </w:p>
        </w:tc>
        <w:tc>
          <w:tcPr/>
          <w:p>
            <w:pPr>
              <w:jc w:val="left"/>
            </w:pPr>
            <w:r>
              <w:t xml:space="preserve">Enables sensors/observers to be matched to their data</w:t>
            </w:r>
          </w:p>
        </w:tc>
      </w:tr>
    </w:tbl>
    <w:p>
      <w:pPr>
        <w:pStyle w:val="BodyText"/>
      </w:pPr>
      <w:r>
        <w:t xml:space="preserve">If machine to machine translation is expected, then the following following additional fields must be included</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Message</w:t>
            </w:r>
          </w:p>
        </w:tc>
        <w:tc>
          <w:tcPr/>
          <w:p>
            <w:pPr>
              <w:jc w:val="left"/>
            </w:pPr>
            <w:r>
              <w:t xml:space="preserve">Field</w:t>
            </w:r>
          </w:p>
        </w:tc>
        <w:tc>
          <w:tcPr/>
          <w:p>
            <w:pPr>
              <w:jc w:val="left"/>
            </w:pPr>
            <w:r>
              <w:t xml:space="preserve">Justification</w:t>
            </w:r>
          </w:p>
        </w:tc>
      </w:tr>
      <w:tr>
        <w:tc>
          <w:tcPr/>
          <w:p>
            <w:pPr>
              <w:jc w:val="left"/>
            </w:pPr>
            <w:r>
              <w:t xml:space="preserve">Parameter</w:t>
            </w:r>
          </w:p>
        </w:tc>
        <w:tc>
          <w:tcPr/>
          <w:p>
            <w:pPr>
              <w:jc w:val="left"/>
            </w:pPr>
            <w:r>
              <w:t xml:space="preserve">standardNames</w:t>
            </w:r>
          </w:p>
        </w:tc>
        <w:tc>
          <w:tcPr/>
          <w:p>
            <w:pPr>
              <w:jc w:val="left"/>
            </w:pPr>
            <w:r>
              <w:t xml:space="preserve">Enables machine to machine translation of definition, irrespective of parameter name</w:t>
            </w:r>
          </w:p>
        </w:tc>
      </w:tr>
      <w:tr>
        <w:tc>
          <w:tcPr/>
          <w:p>
            <w:pPr>
              <w:jc w:val="left"/>
            </w:pPr>
            <w:r>
              <w:t xml:space="preserve">Parameter</w:t>
            </w:r>
          </w:p>
        </w:tc>
        <w:tc>
          <w:tcPr/>
          <w:p>
            <w:pPr>
              <w:jc w:val="left"/>
            </w:pPr>
            <w:r>
              <w:t xml:space="preserve">CellMethod</w:t>
            </w:r>
          </w:p>
        </w:tc>
        <w:tc>
          <w:tcPr/>
          <w:p>
            <w:pPr>
              <w:jc w:val="left"/>
            </w:pPr>
            <w:r>
              <w:t xml:space="preserve">If any data processing is done at the edge, this enables, for example, the mean and standard deviation to be differentiated (as they will have the same standardNames, units)</w:t>
            </w:r>
          </w:p>
        </w:tc>
      </w:tr>
    </w:tbl>
    <w:bookmarkEnd w:id="110"/>
    <w:bookmarkStart w:id="111" w:name="X2d24584098e18fb4e4815069e90e0c66f76d4bf"/>
    <w:p>
      <w:pPr>
        <w:pStyle w:val="Heading3"/>
      </w:pPr>
      <w:r>
        <w:t xml:space="preserve">Transmission triggers</w:t>
      </w:r>
    </w:p>
    <w:p>
      <w:pPr>
        <w:pStyle w:val="FirstParagraph"/>
      </w:pPr>
      <w:r>
        <w:t xml:space="preserve">The hub is unable to process any Data Messages without a current Metadata Message.</w:t>
      </w:r>
    </w:p>
    <w:p>
      <w:pPr>
        <w:pStyle w:val="BodyText"/>
      </w:pPr>
      <w:r>
        <w:t xml:space="preserve">As a minimum, a new/updated Metadata Message must be transmitted whenever the Metadata changes. This is particularly important when:</w:t>
      </w:r>
    </w:p>
    <w:p>
      <w:pPr>
        <w:numPr>
          <w:ilvl w:val="0"/>
          <w:numId w:val="1012"/>
        </w:numPr>
      </w:pPr>
      <w:r>
        <w:t xml:space="preserve">Sensors are added or removed</w:t>
      </w:r>
    </w:p>
    <w:p>
      <w:pPr>
        <w:numPr>
          <w:ilvl w:val="0"/>
          <w:numId w:val="1012"/>
        </w:numPr>
      </w:pPr>
      <w:r>
        <w:t xml:space="preserve">New Observations (or statistics on existing observations, for example max/min values) are provided.</w:t>
      </w:r>
    </w:p>
    <w:p>
      <w:pPr>
        <w:pStyle w:val="FirstParagraph"/>
      </w:pPr>
      <w:r>
        <w:t xml:space="preserve">To balance network transmission costs for Metadata Messages (which are typically significantly larger than Data Messages) with overhead of storing Data messages until the relevant Metadata message is received and the Data Messages can be understood, recommended practice is (re)sending of the Metadata Message:</w:t>
      </w:r>
    </w:p>
    <w:p>
      <w:pPr>
        <w:numPr>
          <w:ilvl w:val="0"/>
          <w:numId w:val="1013"/>
        </w:numPr>
      </w:pPr>
      <w:r>
        <w:t xml:space="preserve">on power-on/restart of hub</w:t>
      </w:r>
    </w:p>
    <w:p>
      <w:pPr>
        <w:numPr>
          <w:ilvl w:val="0"/>
          <w:numId w:val="1013"/>
        </w:numPr>
      </w:pPr>
      <w:r>
        <w:t xml:space="preserve">on a "heartbeat" schedule of at least once per day.</w:t>
      </w:r>
    </w:p>
    <w:bookmarkEnd w:id="111"/>
    <w:bookmarkStart w:id="113" w:name="Xc08c3f97358665ad80e052d359aa8e7d740399f"/>
    <w:p>
      <w:pPr>
        <w:pStyle w:val="Heading3"/>
      </w:pPr>
      <w:r>
        <w:t xml:space="preserve">Retained messages</w:t>
      </w:r>
    </w:p>
    <w:p>
      <w:pPr>
        <w:pStyle w:val="FirstParagraph"/>
      </w:pPr>
      <w:r>
        <w:t xml:space="preserve">The Data Messages cannot be understood without their associated Metadata Message. To meet Archiving requirements</w:t>
      </w:r>
      <w:r>
        <w:t xml:space="preserve"> </w:t>
      </w:r>
      <w:r>
        <w:rPr>
          <w:rStyle w:val="FootnoteReference"/>
        </w:rPr>
        <w:footnoteReference w:id="112"/>
      </w:r>
      <w:r>
        <w:t xml:space="preserve"> </w:t>
      </w:r>
      <w:r>
        <w:t xml:space="preserve">in most jurisdictions the Data Messages, and associated Metadata Messages must both be retained. Typically, this can be a one (Metadata Message) to many (Data Messages) relationship</w:t>
      </w:r>
    </w:p>
    <w:bookmarkEnd w:id="113"/>
    <w:bookmarkEnd w:id="114"/>
    <w:bookmarkEnd w:id="115"/>
    <w:bookmarkStart w:id="119" w:name="X94c42d1026bc9cbf875ef27a8ee5aa2115c489b"/>
    <w:p>
      <w:pPr>
        <w:pStyle w:val="Heading1"/>
      </w:pPr>
      <w:r>
        <w:t xml:space="preserve">Data publication</w:t>
      </w:r>
    </w:p>
    <w:p>
      <w:pPr>
        <w:pStyle w:val="FirstParagraph"/>
      </w:pPr>
      <w:r>
        <w:t xml:space="preserve">The First Mile Format enables efficient communication of Data:</w:t>
      </w:r>
    </w:p>
    <w:p>
      <w:pPr>
        <w:numPr>
          <w:ilvl w:val="0"/>
          <w:numId w:val="1014"/>
        </w:numPr>
      </w:pPr>
      <w:r>
        <w:t xml:space="preserve">the message is a compact/efficient binary format.</w:t>
      </w:r>
    </w:p>
    <w:p>
      <w:pPr>
        <w:numPr>
          <w:ilvl w:val="0"/>
          <w:numId w:val="1014"/>
        </w:numPr>
      </w:pPr>
      <w:r>
        <w:t xml:space="preserve">only the Observation/Data values are transmitted [as the less often transmitted Metadata Message carries the information to understand the values]</w:t>
      </w:r>
    </w:p>
    <w:bookmarkStart w:id="116" w:name="Xf012bb4b62f95090cab5ed31e75e9747030e6d6"/>
    <w:p>
      <w:pPr>
        <w:pStyle w:val="Heading2"/>
      </w:pPr>
      <w:r>
        <w:t xml:space="preserve">Mandatory fields</w:t>
      </w:r>
    </w:p>
    <w:p>
      <w:pPr>
        <w:pStyle w:val="FirstParagraph"/>
      </w:pPr>
      <w:r>
        <w:t xml:space="preserve">Every Data message must contain at least:</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parameterDefinitionId</w:t>
            </w:r>
          </w:p>
        </w:tc>
        <w:tc>
          <w:tcPr/>
          <w:p>
            <w:pPr>
              <w:jc w:val="left"/>
            </w:pPr>
            <w:r>
              <w:t xml:space="preserve">Enables the Data to be matched to the definition from the Metadata Message</w:t>
            </w:r>
          </w:p>
        </w:tc>
      </w:tr>
      <w:tr>
        <w:tc>
          <w:tcPr/>
          <w:p>
            <w:pPr>
              <w:jc w:val="left"/>
            </w:pPr>
            <w:r>
              <w:t xml:space="preserve">time</w:t>
            </w:r>
          </w:p>
        </w:tc>
        <w:tc>
          <w:tcPr/>
          <w:p>
            <w:pPr>
              <w:pStyle w:val="Compact"/>
            </w:pPr>
          </w:p>
        </w:tc>
      </w:tr>
      <w:tr>
        <w:tc>
          <w:tcPr/>
          <w:p>
            <w:pPr>
              <w:jc w:val="left"/>
            </w:pPr>
            <w:r>
              <w:t xml:space="preserve">(at least one) value</w:t>
            </w:r>
          </w:p>
        </w:tc>
        <w:tc>
          <w:tcPr/>
          <w:p>
            <w:pPr>
              <w:pStyle w:val="Compact"/>
            </w:pPr>
          </w:p>
        </w:tc>
      </w:tr>
    </w:tbl>
    <w:bookmarkEnd w:id="116"/>
    <w:bookmarkStart w:id="117" w:name="X6b08de6163defc77c2126fb4126eda12a7d5c5a"/>
    <w:p>
      <w:pPr>
        <w:pStyle w:val="Heading2"/>
      </w:pPr>
      <w:r>
        <w:t xml:space="preserve">Observation timestamps</w:t>
      </w:r>
    </w:p>
    <w:p>
      <w:pPr>
        <w:pStyle w:val="FirstParagraph"/>
      </w:pPr>
      <w:r>
        <w:t xml:space="preserve">The Data (Observation) Timestamp uses the google.protobuf.Timestamp structure for each observation.</w:t>
      </w:r>
    </w:p>
    <w:p>
      <w:pPr>
        <w:pStyle w:val="SourceCode"/>
      </w:pPr>
      <w:r>
        <w:rPr>
          <w:rStyle w:val="VerbatimChar"/>
        </w:rPr>
        <w:t xml:space="preserve">message Timestamp {</w:t>
      </w:r>
      <w:r>
        <w:br/>
      </w:r>
      <w:r>
        <w:rPr>
          <w:rStyle w:val="VerbatimChar"/>
        </w:rPr>
        <w:t xml:space="preserve">    int64 seconds = 1; // seconds since UTC (Unix) epoch (1/1/1970)</w:t>
      </w:r>
      <w:r>
        <w:br/>
      </w:r>
      <w:r>
        <w:rPr>
          <w:rStyle w:val="VerbatimChar"/>
        </w:rPr>
        <w:t xml:space="preserve">    int32 nanos = 2; // non-negative nanosecond fractions</w:t>
      </w:r>
      <w:r>
        <w:br/>
      </w:r>
      <w:r>
        <w:rPr>
          <w:rStyle w:val="VerbatimChar"/>
        </w:rPr>
        <w:t xml:space="preserve">}</w:t>
      </w:r>
    </w:p>
    <w:p>
      <w:pPr>
        <w:pStyle w:val="FirstParagraph"/>
      </w:pPr>
      <w:r>
        <w:t xml:space="preserve">The structure enables date/time resolutions to nanoseconds for observations.</w:t>
      </w:r>
    </w:p>
    <w:bookmarkEnd w:id="117"/>
    <w:bookmarkStart w:id="118" w:name="Xdd844d57cc79a12bd29f40a093d0e39ad0685da"/>
    <w:p>
      <w:pPr>
        <w:pStyle w:val="Heading2"/>
      </w:pPr>
      <w:r>
        <w:t xml:space="preserve">Device identification</w:t>
      </w:r>
    </w:p>
    <w:p>
      <w:pPr>
        <w:pStyle w:val="FirstParagraph"/>
      </w:pPr>
      <w:r>
        <w:t xml:space="preserve">The Data Message does not contain any Station/Device information in the message. Instead, the MQTT topic hierarchy NodeID (Level 4) [and possibly GroupID (Level 3)] would be used for Station/Device Identification and should be archived with the Data Message.</w:t>
      </w:r>
    </w:p>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55">
    <w:p>
      <w:pPr>
        <w:pStyle w:val="FootnoteText"/>
      </w:pPr>
      <w:r>
        <w:rPr>
          <w:rStyle w:val="FootnoteReference"/>
        </w:rPr>
        <w:footnoteRef/>
      </w:r>
      <w:r>
        <w:t xml:space="preserve"> </w:t>
      </w:r>
      <w:r>
        <w:t xml:space="preserve">See MQTT Specifications:</w:t>
      </w:r>
      <w:r>
        <w:t xml:space="preserve"> </w:t>
      </w:r>
      <w:hyperlink r:id="rId56">
        <w:r>
          <w:rPr>
            <w:rStyle w:val="Hyperlink"/>
          </w:rPr>
          <w:t xml:space="preserve">https://mqtt.org/mqtt-specification/</w:t>
        </w:r>
      </w:hyperlink>
      <w:r>
        <w:t xml:space="preserve">.</w:t>
      </w:r>
    </w:p>
  </w:footnote>
  <w:footnote w:id="112">
    <w:p>
      <w:pPr>
        <w:pStyle w:val="FootnoteText"/>
      </w:pPr>
      <w:r>
        <w:rPr>
          <w:rStyle w:val="FootnoteReference"/>
        </w:rPr>
        <w:footnoteRef/>
      </w:r>
      <w:r>
        <w:t xml:space="preserve"> </w:t>
      </w:r>
      <w:r>
        <w:t xml:space="preserve">For Example WMO 1238 (2023) 2.5.5</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wis.wmo.int/spec/fmth/1/req/cor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59" Target="https://docs.oasis-open.org/mqtt/mqtt/v3.1.1/os/mqtt-v3.1.1-os.html" TargetMode="External" /><Relationship Type="http://schemas.openxmlformats.org/officeDocument/2006/relationships/hyperlink" Id="rId58" Target="https://docs.oasis-open.org/mqtt/mqtt/v5.0/mqtt-v5.0.html" TargetMode="External" /><Relationship Type="http://schemas.openxmlformats.org/officeDocument/2006/relationships/hyperlink" Id="rId56" Target="https://mqtt.org/mqtt-specification/" TargetMode="External" /><Relationship Type="http://schemas.openxmlformats.org/officeDocument/2006/relationships/hyperlink" Id="rId20" Target="https://wmo-im.github.io/first-mile-guide/first-mile-guide/first-mile-guide-DRAFT.html" TargetMode="External" /></Relationships>
</file>

<file path=word/_rels/footnotes.xml.rels><?xml version="1.0" encoding="UTF-8"?><Relationships xmlns="http://schemas.openxmlformats.org/package/2006/relationships"><Relationship Type="http://schemas.openxmlformats.org/officeDocument/2006/relationships/hyperlink" Id="rId57" Target="http://wis.wmo.int/spec/fmth/1/req/cor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59" Target="https://docs.oasis-open.org/mqtt/mqtt/v3.1.1/os/mqtt-v3.1.1-os.html" TargetMode="External" /><Relationship Type="http://schemas.openxmlformats.org/officeDocument/2006/relationships/hyperlink" Id="rId58" Target="https://docs.oasis-open.org/mqtt/mqtt/v5.0/mqtt-v5.0.html" TargetMode="External" /><Relationship Type="http://schemas.openxmlformats.org/officeDocument/2006/relationships/hyperlink" Id="rId56" Target="https://mqtt.org/mqtt-specification/" TargetMode="External" /><Relationship Type="http://schemas.openxmlformats.org/officeDocument/2006/relationships/hyperlink" Id="rId20" Target="https://wmo-im.github.io/first-mile-guide/first-mile-guide/first-mile-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Collection Guide</dc:title>
  <dc:creator/>
  <cp:keywords/>
  <dcterms:created xsi:type="dcterms:W3CDTF">2026-06-15T23:57:41Z</dcterms:created>
  <dcterms:modified xsi:type="dcterms:W3CDTF">2026-06-15T23:57:41Z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2026-06-15</vt:lpwstr>
  </property>
</Properties>
</file>