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2026-06-10</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210e1ddb5a427d34d8ca39d5ea656454ce5451a"/>
    <w:p>
      <w:pPr>
        <w:pStyle w:val="Heading3"/>
      </w:pPr>
      <w:r>
        <w:t xml:space="preserve">Requirements Class: Data Sender</w:t>
      </w:r>
    </w:p>
    <w:bookmarkEnd w:id="29"/>
    <w:bookmarkStart w:id="30" w:name="Xd379c7ab982fb19e45359a39b7e989df040948a"/>
    <w:p>
      <w:pPr>
        <w:pStyle w:val="Heading3"/>
      </w:pPr>
      <w:r>
        <w:t xml:space="preserve">Requirements Class: Data Receiver</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7116b729cd7ce925c52e8fb5602491f2a548ddb"/>
    <w:p>
      <w:pPr>
        <w:pStyle w:val="Heading3"/>
      </w:pPr>
      <w:r>
        <w:t xml:space="preserve">Host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Data Sender transmitting protobuf payloads over MQTT to the Data Receiver.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Data Sender represents the remote station or logger through a Host Device and may describe attached sensors as Observer Device entries. The</w:t>
      </w:r>
      <w:r>
        <w:t xml:space="preserve"> </w:t>
      </w:r>
      <w:r>
        <w:rPr>
          <w:rStyle w:val="VerbatimChar"/>
        </w:rPr>
        <w:t xml:space="preserve">Metadata</w:t>
      </w:r>
      <w:r>
        <w:t xml:space="preserve"> </w:t>
      </w:r>
      <w:r>
        <w:t xml:space="preserve">message carries the Host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Data Sender A     |            | Data Sender B     |</w:t>
      </w:r>
      <w:r>
        <w:br/>
      </w:r>
      <w:r>
        <w:rPr>
          <w:rStyle w:val="VerbatimChar"/>
        </w:rPr>
        <w:t xml:space="preserve">    | Host Device       |            | Host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Data Receiver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Data Senders may publish</w:t>
      </w:r>
      <w:r>
        <w:br/>
      </w:r>
      <w:r>
        <w:rPr>
          <w:rStyle w:val="VerbatimChar"/>
        </w:rPr>
        <w:t xml:space="preserve">                                        to a single Data Receiver.</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Data Sender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Data Sender and Data Receiver.</w:t>
            </w:r>
          </w:p>
        </w:tc>
      </w:tr>
      <w:tr>
        <w:tc>
          <w:tcPr/>
          <w:p>
            <w:pPr>
              <w:jc w:val="left"/>
            </w:pPr>
            <w:r>
              <w:t xml:space="preserve">Data Sender</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Data Receiver</w:t>
            </w:r>
          </w:p>
        </w:tc>
        <w:tc>
          <w:tcPr/>
          <w:p>
            <w:pPr>
              <w:jc w:val="left"/>
            </w:pPr>
            <w:r>
              <w:t xml:space="preserve">Covers the receiver-side behavior for accepting, decoding, and interpreting payloads received from the Data Sender.</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Data Sender to the Data Receiver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Data Sender transmits measurement values collected from sensors</w:t>
      </w:r>
    </w:p>
    <w:p>
      <w:pPr>
        <w:numPr>
          <w:ilvl w:val="0"/>
          <w:numId w:val="1002"/>
        </w:numPr>
      </w:pPr>
      <w:r>
        <w:rPr>
          <w:bCs/>
          <w:b/>
        </w:rPr>
        <w:t xml:space="preserve">Transmission of metadata</w:t>
      </w:r>
      <w:r>
        <w:t xml:space="preserve"> </w:t>
      </w:r>
      <w:r>
        <w:t xml:space="preserve">- The Data Sender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Data Sender to the Data Receiver. The Data Sender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Data Sender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Data Receiver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Host Device (data sender)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Data Sender, including descriptions of devices and the parameters they measure. This message shall be transmitted at least once after Data Sender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host</w:t>
            </w:r>
          </w:p>
        </w:tc>
        <w:tc>
          <w:tcPr/>
          <w:p>
            <w:pPr>
              <w:jc w:val="left"/>
            </w:pPr>
            <w:r>
              <w:t xml:space="preserve">HostDevice</w:t>
            </w:r>
          </w:p>
        </w:tc>
        <w:tc>
          <w:tcPr/>
          <w:p>
            <w:pPr>
              <w:jc w:val="left"/>
            </w:pPr>
            <w:r>
              <w:t xml:space="preserve">required</w:t>
            </w:r>
          </w:p>
        </w:tc>
        <w:tc>
          <w:tcPr/>
          <w:p>
            <w:pPr>
              <w:jc w:val="left"/>
            </w:pPr>
            <w:r>
              <w:t xml:space="preserve">Description of the Data Sender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host</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Data Sender to the Data Receiver.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Data Sender may transmit</w:t>
      </w:r>
      <w:r>
        <w:t xml:space="preserve"> </w:t>
      </w:r>
      <w:r>
        <w:rPr>
          <w:rStyle w:val="VerbatimChar"/>
        </w:rPr>
        <w:t xml:space="preserve">Data</w:t>
      </w:r>
      <w:r>
        <w:t xml:space="preserve"> </w:t>
      </w:r>
      <w:r>
        <w:t xml:space="preserve">messages containing observations that reference parameter definitions not yet received by the Data Receiver. In this case, the Data Receiver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5e49d8ef035452dbad9c93a4c5db7e58391042c"/>
    <w:p>
      <w:pPr>
        <w:pStyle w:val="Heading3"/>
      </w:pPr>
      <w:r>
        <w:t xml:space="preserve">Host device</w:t>
      </w:r>
    </w:p>
    <w:p>
      <w:pPr>
        <w:pStyle w:val="FirstParagraph"/>
      </w:pPr>
      <w:r>
        <w:t xml:space="preserve">The</w:t>
      </w:r>
      <w:r>
        <w:t xml:space="preserve"> </w:t>
      </w:r>
      <w:r>
        <w:rPr>
          <w:rStyle w:val="VerbatimChar"/>
        </w:rPr>
        <w:t xml:space="preserve">HostDevice</w:t>
      </w:r>
      <w:r>
        <w:t xml:space="preserve"> </w:t>
      </w:r>
      <w:r>
        <w:t xml:space="preserve">message describes the Data Sender device itself, typically a datalogger or observation station.</w:t>
      </w:r>
    </w:p>
    <w:p>
      <w:pPr>
        <w:pStyle w:val="BodyText"/>
      </w:pPr>
      <w:r>
        <w:t xml:space="preserve">The</w:t>
      </w:r>
      <w:r>
        <w:t xml:space="preserve"> </w:t>
      </w:r>
      <w:r>
        <w:rPr>
          <w:rStyle w:val="VerbatimChar"/>
        </w:rPr>
        <w:t xml:space="preserve">HostDevice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host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host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Host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host</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host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Data Sender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host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Data Senders.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(host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Data Sender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host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Data Senders.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host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host</w:t>
            </w:r>
          </w:p>
        </w:tc>
        <w:tc>
          <w:tcPr/>
          <w:p>
            <w:pPr>
              <w:jc w:val="left"/>
            </w:pPr>
            <w:r>
              <w:t xml:space="preserve">google.protobuf.Empty</w:t>
            </w:r>
          </w:p>
        </w:tc>
        <w:tc>
          <w:tcPr/>
          <w:p>
            <w:pPr>
              <w:jc w:val="left"/>
            </w:pPr>
            <w:r>
              <w:t xml:space="preserve">References the host device; the presence of this field (even though empty) indicates the parameter is measured by the host</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host</w:t>
      </w:r>
      <w:r>
        <w:t xml:space="preserve"> </w:t>
      </w:r>
      <w:r>
        <w:t xml:space="preserve">field is present, the parameter is measured by the Host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79" w:name="Xdd7eb3629e434f7b7e0591ed0ba3c4fbe841976"/>
    <w:p>
      <w:pPr>
        <w:pStyle w:val="Heading1"/>
      </w:pPr>
      <w:r>
        <w:t xml:space="preserve">Standard name binding</w:t>
      </w:r>
    </w:p>
    <w:bookmarkStart w:id="76" w:name="X57ee570b2ca57c2f3cc7ed08a75d7506e62098e"/>
    <w:p>
      <w:pPr>
        <w:pStyle w:val="Heading2"/>
      </w:pPr>
      <w:r>
        <w:t xml:space="preserve">Namespace declaration</w:t>
      </w:r>
    </w:p>
    <w:bookmarkEnd w:id="76"/>
    <w:bookmarkStart w:id="77" w:name="Xd1c302b8a82dd955e6c97d940af707ea0542cd4"/>
    <w:p>
      <w:pPr>
        <w:pStyle w:val="Heading2"/>
      </w:pPr>
      <w:r>
        <w:t xml:space="preserve">Standard name assignment</w:t>
      </w:r>
    </w:p>
    <w:bookmarkEnd w:id="77"/>
    <w:bookmarkStart w:id="78" w:name="Xa9be577073435e3c70102b49402444bbf1b9dbe"/>
    <w:p>
      <w:pPr>
        <w:pStyle w:val="Heading2"/>
      </w:pPr>
      <w:r>
        <w:t xml:space="preserve">Recommended: CF Conventions binding</w:t>
      </w:r>
    </w:p>
    <w:bookmarkEnd w:id="78"/>
    <w:bookmarkEnd w:id="79"/>
    <w:bookmarkStart w:id="88" w:name="Xada6c7dac768733be52cb0d6a068e1fee1abfc7"/>
    <w:p>
      <w:pPr>
        <w:pStyle w:val="Heading1"/>
      </w:pPr>
      <w:r>
        <w:t xml:space="preserve">Protocol binding</w:t>
      </w:r>
    </w:p>
    <w:bookmarkStart w:id="80" w:name="X322101054fd636c32d6869f7cfec83424c5280c"/>
    <w:p>
      <w:pPr>
        <w:pStyle w:val="Heading2"/>
      </w:pPr>
      <w:r>
        <w:t xml:space="preserve">Overview</w:t>
      </w:r>
    </w:p>
    <w:bookmarkEnd w:id="80"/>
    <w:bookmarkStart w:id="81" w:name="Xbc70952558536d95467b743ffb3c32263f27a0c"/>
    <w:p>
      <w:pPr>
        <w:pStyle w:val="Heading2"/>
      </w:pPr>
      <w:r>
        <w:t xml:space="preserve">MQTT version requirements</w:t>
      </w:r>
    </w:p>
    <w:bookmarkEnd w:id="81"/>
    <w:bookmarkStart w:id="84" w:name="Xf67ac0e21d813604a0ad8d5ee7433b863ecda37"/>
    <w:p>
      <w:pPr>
        <w:pStyle w:val="Heading2"/>
      </w:pPr>
      <w:r>
        <w:t xml:space="preserve">Topic structure</w:t>
      </w:r>
    </w:p>
    <w:bookmarkStart w:id="82" w:name="X1ebaac39602a0920fd1eeef5bf8f59f06e2cdc1"/>
    <w:p>
      <w:pPr>
        <w:pStyle w:val="Heading3"/>
      </w:pPr>
      <w:r>
        <w:t xml:space="preserve">Topic pattern</w:t>
      </w:r>
    </w:p>
    <w:bookmarkEnd w:id="82"/>
    <w:bookmarkStart w:id="83" w:name="X7faf01397d8ce93a55fbc2f8b1b1595228b5dc5"/>
    <w:p>
      <w:pPr>
        <w:pStyle w:val="Heading3"/>
      </w:pPr>
      <w:r>
        <w:t xml:space="preserve">Level definitions and allowed values</w:t>
      </w:r>
    </w:p>
    <w:bookmarkEnd w:id="83"/>
    <w:bookmarkEnd w:id="84"/>
    <w:bookmarkStart w:id="87" w:name="Xf197fc8fce37bef5c2310702576b8c8da542d6f"/>
    <w:p>
      <w:pPr>
        <w:pStyle w:val="Heading2"/>
      </w:pPr>
      <w:r>
        <w:t xml:space="preserve">Quality of service</w:t>
      </w:r>
    </w:p>
    <w:bookmarkStart w:id="85" w:name="X90c2196e95cddca2e2775025e961f1650e41363"/>
    <w:p>
      <w:pPr>
        <w:pStyle w:val="Heading3"/>
      </w:pPr>
      <w:r>
        <w:t xml:space="preserve">Metadata messages</w:t>
      </w:r>
    </w:p>
    <w:bookmarkEnd w:id="85"/>
    <w:bookmarkStart w:id="86" w:name="Xd6c757e32fed425b3a7adf6ea311ffaa6b43755"/>
    <w:p>
      <w:pPr>
        <w:pStyle w:val="Heading3"/>
      </w:pPr>
      <w:r>
        <w:t xml:space="preserve">Data messages</w:t>
      </w:r>
    </w:p>
    <w:bookmarkEnd w:id="86"/>
    <w:bookmarkEnd w:id="87"/>
    <w:bookmarkEnd w:id="88"/>
    <w:bookmarkStart w:id="94" w:name="X3d9fbe32488adb44e92c19e07af663f6426d741"/>
    <w:p>
      <w:pPr>
        <w:pStyle w:val="Heading1"/>
      </w:pPr>
      <w:r>
        <w:t xml:space="preserve">Data sender</w:t>
      </w:r>
    </w:p>
    <w:bookmarkStart w:id="93"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89"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HostDevice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89"/>
    <w:bookmarkStart w:id="90"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09"/>
        </w:numPr>
      </w:pPr>
      <w:r>
        <w:t xml:space="preserve">Sensors are added or removed</w:t>
      </w:r>
    </w:p>
    <w:p>
      <w:pPr>
        <w:numPr>
          <w:ilvl w:val="0"/>
          <w:numId w:val="1009"/>
        </w:numPr>
      </w:pPr>
      <w:r>
        <w:t xml:space="preserve">New Observations (or statistics on existing observations, for example max/min values) are provided.</w:t>
      </w:r>
    </w:p>
    <w:p>
      <w:pPr>
        <w:pStyle w:val="FirstParagraph"/>
      </w:pPr>
      <w:r>
        <w:t xml:space="preserve">To balance network transmission costs for Metadata Messages with impost of storing Data messages until the relevant Metadata message is received and the Data Messages can be understood, recommended practice is (re)sending of the Metadata Message:</w:t>
      </w:r>
    </w:p>
    <w:p>
      <w:pPr>
        <w:numPr>
          <w:ilvl w:val="0"/>
          <w:numId w:val="1010"/>
        </w:numPr>
      </w:pPr>
      <w:r>
        <w:t xml:space="preserve">on power-on/restart of hub</w:t>
      </w:r>
    </w:p>
    <w:p>
      <w:pPr>
        <w:numPr>
          <w:ilvl w:val="0"/>
          <w:numId w:val="1010"/>
        </w:numPr>
      </w:pPr>
      <w:r>
        <w:t xml:space="preserve">on a "heartbeat" schedule of at least once per day.</w:t>
      </w:r>
    </w:p>
    <w:bookmarkEnd w:id="90"/>
    <w:bookmarkStart w:id="92"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91"/>
      </w:r>
      <w:r>
        <w:t xml:space="preserve"> </w:t>
      </w:r>
      <w:r>
        <w:t xml:space="preserve">in most jurisdictions the Data Messages, and associated Metadata Messages must both be retained. Typically, this can be a one (Metadata Message) to many (Data Messages) relationship</w:t>
      </w:r>
    </w:p>
    <w:bookmarkEnd w:id="92"/>
    <w:bookmarkEnd w:id="93"/>
    <w:bookmarkEnd w:id="94"/>
    <w:bookmarkStart w:id="98"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1"/>
        </w:numPr>
      </w:pPr>
      <w:r>
        <w:t xml:space="preserve">the message is a compact/efficient binary format.</w:t>
      </w:r>
    </w:p>
    <w:p>
      <w:pPr>
        <w:numPr>
          <w:ilvl w:val="0"/>
          <w:numId w:val="1011"/>
        </w:numPr>
      </w:pPr>
      <w:r>
        <w:t xml:space="preserve">only the Observation/Data values are transmitted [as the less often transmitted Metadata Message carries the information to understand the values]</w:t>
      </w:r>
    </w:p>
    <w:bookmarkStart w:id="95"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95"/>
    <w:bookmarkStart w:id="96"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96"/>
    <w:bookmarkStart w:id="97"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would be used for Station/Device Identification and should be archived with the Data Message.</w:t>
      </w:r>
    </w:p>
    <w:bookmarkEnd w:id="97"/>
    <w:bookmarkEnd w:id="98"/>
    <w:bookmarkStart w:id="99" w:name="X87c94a1236b9a0be905993df5d58a43fd469646"/>
    <w:p>
      <w:pPr>
        <w:pStyle w:val="Heading1"/>
      </w:pPr>
      <w:r>
        <w:t xml:space="preserve">Data receiver (structure TBD)</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91">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2026-06-10T07:05:09Z</dcterms:created>
  <dcterms:modified xsi:type="dcterms:W3CDTF">2026-06-10T07:05:09Z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2026-06-10</vt:lpwstr>
  </property>
</Properties>
</file>