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Exchange</w:t>
      </w:r>
    </w:p>
    <w:p>
      <w:pPr>
        <w:pStyle w:val="Date"/>
      </w:pPr>
      <w:r>
        <w:t xml:space="preserve">2026-07-09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2026-07-09</w:t>
            </w:r>
          </w:p>
        </w:tc>
      </w:tr>
      <w:tr>
        <w:tc>
          <w:tcPr/>
          <w:p>
            <w:pPr>
              <w:jc w:val="left"/>
            </w:pPr>
            <w:r>
              <w:t xml:space="preserve">Version: 0.0.1-DRAFT-2026-07-09</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for allowing Prediction Centers (for Numerical Weather Prediction – NWP as well as climate and hydrological prediction) to produce reliable products. National Meteorological and Hydrological Services (NMHSs) use NWP products to monitor and predict the weather and hydrological conditions so they can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Exchange (message encoding, parameter standard names, transmission). Annex A defines the abstract test suite.</w:t>
      </w:r>
    </w:p>
    <w:p>
      <w:pPr>
        <w:pStyle w:val="BodyText"/>
      </w:pPr>
      <w:r>
        <w:t xml:space="preserve">This specification will be further expanded (2027) to also address the encoding and the transmission of configuration aspects from the central data collection system (Hub) to the remote monitoring stations (Nodes).</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Exchange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http://wis.wmo.int/spec/fmde/1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https://schemas.wmo.int/fmde/1.0.0/examples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https://schemas.wmo.int/fmde/1.0.0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This absence of standardization has led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8"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7"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http://wis.wmo.int/spec/fmde/1/req/message-encoding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relative to the</w:t>
            </w:r>
            <w:r>
              <w:t xml:space="preserve"> </w:t>
            </w:r>
            <w:r>
              <w:rPr>
                <w:rStyle w:val="VerbatimChar"/>
              </w:rPr>
              <w:t xml:space="preserve">referenceSurface</w:t>
            </w:r>
            <w:r>
              <w:t xml:space="preserve">, where a positive value represents the height above the reference surface, and a negative value represents the height below reference surface.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2"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one of the following codelists:</w:t>
            </w:r>
          </w:p>
          <w:p>
            <w:pPr>
              <w:numPr>
                <w:ilvl w:val="0"/>
                <w:numId w:val="1006"/>
              </w:numPr>
              <w:jc w:val="left"/>
            </w:pPr>
            <w:hyperlink r:id="rId60">
              <w:r>
                <w:rPr>
                  <w:rStyle w:val="Hyperlink"/>
                </w:rPr>
                <w:t xml:space="preserve">WMO Register: Code Table C-6: List of units for TDCFs</w:t>
              </w:r>
            </w:hyperlink>
          </w:p>
          <w:p>
            <w:pPr>
              <w:numPr>
                <w:ilvl w:val="0"/>
                <w:numId w:val="1006"/>
              </w:numPr>
              <w:jc w:val="left"/>
            </w:pPr>
            <w:hyperlink r:id="rId61">
              <w:r>
                <w:rPr>
                  <w:rStyle w:val="Hyperlink"/>
                </w:rPr>
                <w:t xml:space="preserve">WMO First Mile unit registry</w:t>
              </w:r>
            </w:hyperlink>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2"/>
    <w:bookmarkStart w:id="63"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3"/>
    <w:bookmarkStart w:id="64"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4"/>
    <w:bookmarkStart w:id="65"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5"/>
    <w:bookmarkStart w:id="66"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int32Value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uint32Value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7"/>
        </w:numPr>
      </w:pPr>
      <w:r>
        <w:t xml:space="preserve">binary data, including base64-encoded binary blobs</w:t>
      </w:r>
    </w:p>
    <w:p>
      <w:pPr>
        <w:numPr>
          <w:ilvl w:val="0"/>
          <w:numId w:val="1007"/>
        </w:numPr>
      </w:pPr>
      <w:r>
        <w:t xml:space="preserve">serialized objects or data structures</w:t>
      </w:r>
    </w:p>
    <w:p>
      <w:pPr>
        <w:numPr>
          <w:ilvl w:val="0"/>
          <w:numId w:val="1007"/>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8"/>
        </w:numPr>
      </w:pPr>
      <w:r>
        <w:t xml:space="preserve">numeric zero (0)</w:t>
      </w:r>
    </w:p>
    <w:p>
      <w:pPr>
        <w:numPr>
          <w:ilvl w:val="0"/>
          <w:numId w:val="1008"/>
        </w:numPr>
      </w:pPr>
      <w:r>
        <w:t xml:space="preserve">NaN (Not a Number)</w:t>
      </w:r>
    </w:p>
    <w:p>
      <w:pPr>
        <w:numPr>
          <w:ilvl w:val="0"/>
          <w:numId w:val="1008"/>
        </w:numPr>
      </w:pPr>
      <w:r>
        <w:t xml:space="preserve">omission from the values array</w:t>
      </w:r>
    </w:p>
    <w:p>
      <w:pPr>
        <w:numPr>
          <w:ilvl w:val="0"/>
          <w:numId w:val="1008"/>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6"/>
    <w:bookmarkEnd w:id="67"/>
    <w:bookmarkEnd w:id="68"/>
    <w:bookmarkStart w:id="7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7" w:name="Xb83d80e9cf08478bd63550380a98a40b014163a"/>
    <w:p>
      <w:pPr>
        <w:pStyle w:val="Heading2"/>
      </w:pPr>
      <w:r>
        <w:t xml:space="preserve">Requirements Class "Parameter Standard Names"</w:t>
      </w:r>
    </w:p>
    <w:bookmarkStart w:id="70"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9"/>
        </w:numPr>
      </w:pPr>
      <w:r>
        <w:t xml:space="preserve">Metadata namespaces: declares the naming convention vocabularies in use, associating a short namespace key with a URI that identifies the vocabulary</w:t>
      </w:r>
    </w:p>
    <w:p>
      <w:pPr>
        <w:numPr>
          <w:ilvl w:val="0"/>
          <w:numId w:val="1009"/>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9">
              <w:r>
                <w:rPr>
                  <w:rStyle w:val="Hyperlink"/>
                </w:rPr>
                <w:t xml:space="preserve">http://wis.wmo.int/spec/fmde/1/req/parameter-standard-names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0"/>
    <w:bookmarkStart w:id="71"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1"/>
    <w:bookmarkStart w:id="72"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2"/>
    <w:bookmarkStart w:id="7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10"/>
        </w:numPr>
      </w:pPr>
      <w:r>
        <w:t xml:space="preserve">Level 1: CF Metadata Conventions</w:t>
      </w:r>
    </w:p>
    <w:p>
      <w:pPr>
        <w:numPr>
          <w:ilvl w:val="0"/>
          <w:numId w:val="1010"/>
        </w:numPr>
      </w:pPr>
      <w:r>
        <w:t xml:space="preserve">Level 2:</w:t>
      </w:r>
      <w:r>
        <w:t xml:space="preserve"> </w:t>
      </w:r>
      <w:hyperlink r:id="rId73">
        <w:r>
          <w:rPr>
            <w:rStyle w:val="Hyperlink"/>
          </w:rPr>
          <w:t xml:space="preserve">WMO First Mile parameter registry</w:t>
        </w:r>
      </w:hyperlink>
    </w:p>
    <w:p>
      <w:pPr>
        <w:numPr>
          <w:ilvl w:val="0"/>
          <w:numId w:val="1010"/>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5">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1"/>
              </w:numPr>
              <w:jc w:val="left"/>
            </w:pPr>
            <w:r>
              <w:t xml:space="preserve">Level 1: CF Metadata Conventions</w:t>
            </w:r>
          </w:p>
          <w:p>
            <w:pPr>
              <w:numPr>
                <w:ilvl w:val="0"/>
                <w:numId w:val="1011"/>
              </w:numPr>
              <w:jc w:val="left"/>
            </w:pPr>
            <w:r>
              <w:t xml:space="preserve">Level 2:</w:t>
            </w:r>
            <w:r>
              <w:t xml:space="preserve"> </w:t>
            </w:r>
            <w:hyperlink r:id="rId73">
              <w:r>
                <w:rPr>
                  <w:rStyle w:val="Hyperlink"/>
                </w:rPr>
                <w:t xml:space="preserve">WMO First Mile parameter registry</w:t>
              </w:r>
            </w:hyperlink>
          </w:p>
          <w:p>
            <w:pPr>
              <w:numPr>
                <w:ilvl w:val="0"/>
                <w:numId w:val="1011"/>
              </w:numPr>
              <w:jc w:val="left"/>
            </w:pPr>
            <w:r>
              <w:t xml:space="preserve">Level 3: Locally managed vocabularies</w:t>
            </w:r>
          </w:p>
        </w:tc>
      </w:tr>
      <w:tr>
        <w:tc>
          <w:tcPr/>
          <w:p>
            <w:pPr>
              <w:jc w:val="center"/>
            </w:pPr>
            <w:r>
              <w:t xml:space="preserve">B</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C</w:t>
            </w:r>
          </w:p>
        </w:tc>
        <w:tc>
          <w:tcPr/>
          <w:p>
            <w:pPr>
              <w:jc w:val="left"/>
            </w:pPr>
            <w:r>
              <w:t xml:space="preserve">The vocabulary SHALL be findable via a persistent, unique identifier (the namespace URI).</w:t>
            </w:r>
          </w:p>
        </w:tc>
      </w:tr>
      <w:tr>
        <w:tc>
          <w:tcPr/>
          <w:p>
            <w:pPr>
              <w:jc w:val="center"/>
            </w:pPr>
            <w:r>
              <w:t xml:space="preserve">D</w:t>
            </w:r>
          </w:p>
        </w:tc>
        <w:tc>
          <w:tcPr/>
          <w:p>
            <w:pPr>
              <w:jc w:val="left"/>
            </w:pPr>
            <w:r>
              <w:t xml:space="preserve">The vocabulary SHALL be accessible at that URI to all parties participating in the data exchange.</w:t>
            </w:r>
          </w:p>
        </w:tc>
      </w:tr>
      <w:tr>
        <w:tc>
          <w:tcPr/>
          <w:p>
            <w:pPr>
              <w:jc w:val="center"/>
            </w:pPr>
            <w:r>
              <w:t xml:space="preserve">E</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6"/>
    <w:bookmarkEnd w:id="77"/>
    <w:bookmarkEnd w:id="78"/>
    <w:bookmarkStart w:id="91"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90" w:name="Xd90759955ffb88c29314c94143cd27900a7ff40"/>
    <w:p>
      <w:pPr>
        <w:pStyle w:val="Heading2"/>
      </w:pPr>
      <w:r>
        <w:t xml:space="preserve">Requirements Class "Transmission"</w:t>
      </w:r>
    </w:p>
    <w:bookmarkStart w:id="80"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http://wis.wmo.int/spec/fmde/1/req/transmission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0"/>
    <w:bookmarkStart w:id="8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81">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2"/>
              </w:numPr>
              <w:jc w:val="left"/>
            </w:pPr>
            <w:r>
              <w:t xml:space="preserve">non-secure: 1883</w:t>
            </w:r>
          </w:p>
          <w:p>
            <w:pPr>
              <w:numPr>
                <w:ilvl w:val="0"/>
                <w:numId w:val="1012"/>
              </w:numPr>
              <w:jc w:val="left"/>
            </w:pPr>
            <w:r>
              <w:t xml:space="preserve">secure: 8883</w:t>
            </w:r>
          </w:p>
          <w:p>
            <w:pPr>
              <w:numPr>
                <w:ilvl w:val="0"/>
                <w:numId w:val="1012"/>
              </w:numPr>
              <w:jc w:val="left"/>
            </w:pPr>
            <w:r>
              <w:t xml:space="preserve">WebSockets: 443</w:t>
            </w:r>
          </w:p>
        </w:tc>
      </w:tr>
    </w:tbl>
    <w:bookmarkEnd w:id="82"/>
    <w:bookmarkStart w:id="83"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3"/>
    <w:bookmarkStart w:id="8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4"/>
    <w:bookmarkStart w:id="85"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5"/>
    <w:bookmarkStart w:id="8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6"/>
    <w:bookmarkStart w:id="88"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8"/>
    <w:bookmarkStart w:id="8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9"/>
    <w:bookmarkEnd w:id="90"/>
    <w:bookmarkEnd w:id="91"/>
    <w:bookmarkStart w:id="98" w:name="X78fdb1f4716baf4c26796c550dad0531813f831"/>
    <w:p>
      <w:pPr>
        <w:pStyle w:val="Heading1"/>
      </w:pPr>
      <w:r>
        <w:t xml:space="preserve">Conformance Class Abstract Test Suite (Normative)</w:t>
      </w:r>
    </w:p>
    <w:bookmarkStart w:id="93"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http://wis.wmo.int/spec/fmde/1/req/message-encoding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2"/>
    <w:bookmarkEnd w:id="93"/>
    <w:bookmarkStart w:id="95"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9">
        <w:r>
          <w:rPr>
            <w:rStyle w:val="Hyperlink"/>
          </w:rPr>
          <w:t xml:space="preserve">http://wis.wmo.int/spec/fmde/1/req/parameter-standard-names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4" w:name="X9e0a8bd10e03690b4283099fbf6931212327cb6"/>
    <w:p>
      <w:pPr>
        <w:pStyle w:val="Heading3"/>
      </w:pPr>
      <w:r>
        <w:t xml:space="preserve">Encoding</w:t>
      </w:r>
    </w:p>
    <w:bookmarkEnd w:id="94"/>
    <w:bookmarkEnd w:id="95"/>
    <w:bookmarkStart w:id="97" w:name="X25cfcbd45372219887f566f1ba18f9d8ea1e5b4"/>
    <w:p>
      <w:pPr>
        <w:pStyle w:val="Heading2"/>
      </w:pPr>
      <w:r>
        <w:t xml:space="preserve">Conformance Class: Transmission</w:t>
      </w:r>
    </w:p>
    <w:p>
      <w:pPr>
        <w:pStyle w:val="DefinitionTerm"/>
      </w:pPr>
      <w:r>
        <w:t xml:space="preserve">label</w:t>
      </w:r>
    </w:p>
    <w:p>
      <w:pPr>
        <w:pStyle w:val="Definition"/>
      </w:pPr>
      <w:hyperlink r:id="rId79">
        <w:r>
          <w:rPr>
            <w:rStyle w:val="Hyperlink"/>
          </w:rPr>
          <w:t xml:space="preserve">http://wis.wmo.int/spec/fmde/1/req/transmission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6" w:name="X1ce7b2faea04fdf0ff6d0a1b438774f6451b392"/>
    <w:p>
      <w:pPr>
        <w:pStyle w:val="Heading3"/>
      </w:pPr>
      <w:r>
        <w:t xml:space="preserve">Encoding</w:t>
      </w:r>
    </w:p>
    <w:bookmarkEnd w:id="96"/>
    <w:bookmarkEnd w:id="97"/>
    <w:bookmarkEnd w:id="98"/>
    <w:bookmarkStart w:id="103"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9"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int.wmo.wis.spec.fmde.v1.conf.message_encoding;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int32Value = 3;</w:t>
      </w:r>
      <w:r>
        <w:br/>
      </w:r>
      <w:r>
        <w:rPr>
          <w:rStyle w:val="AttributeTok"/>
        </w:rPr>
        <w:t xml:space="preserve">    uint32 uint32Value = 4;</w:t>
      </w:r>
      <w:r>
        <w:br/>
      </w:r>
      <w:r>
        <w:rPr>
          <w:rStyle w:val="AttributeTok"/>
        </w:rPr>
        <w:t xml:space="preserve">    int64 int64Value = 5;</w:t>
      </w:r>
      <w:r>
        <w:br/>
      </w:r>
      <w:r>
        <w:rPr>
          <w:rStyle w:val="AttributeTok"/>
        </w:rPr>
        <w:t xml:space="preserve">    uint64 uint64Value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9"/>
    <w:bookmarkStart w:id="102" w:name="Xdd1fe16469c2eadaa904f6e369398e4a8c19852"/>
    <w:p>
      <w:pPr>
        <w:pStyle w:val="Heading2"/>
      </w:pPr>
      <w:r>
        <w:t xml:space="preserve">Enumerations</w:t>
      </w:r>
    </w:p>
    <w:bookmarkStart w:id="100"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0"/>
    <w:bookmarkStart w:id="10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1"/>
    <w:bookmarkEnd w:id="102"/>
    <w:bookmarkEnd w:id="103"/>
    <w:bookmarkStart w:id="108" w:name="examples"/>
    <w:p>
      <w:pPr>
        <w:pStyle w:val="Heading1"/>
      </w:pPr>
      <w:r>
        <w:t xml:space="preserve">Examples (Informative)</w:t>
      </w:r>
    </w:p>
    <w:bookmarkStart w:id="104" w:name="X68ae7d3cf07904a2b65da44dbbe6172616b3505"/>
    <w:p>
      <w:pPr>
        <w:pStyle w:val="Heading2"/>
      </w:pPr>
      <w:r>
        <w:t xml:space="preserve">Transmission topics</w:t>
      </w:r>
    </w:p>
    <w:bookmarkEnd w:id="104"/>
    <w:bookmarkStart w:id="107"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5"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3"/>
        </w:numPr>
      </w:pPr>
      <w:r>
        <w:t xml:space="preserve">Node: the node/datalogger purely acts as a gateway, does not provide any internal diagnostics or measurements, and the metadata does not contain any specific information about the node device.</w:t>
      </w:r>
    </w:p>
    <w:p>
      <w:pPr>
        <w:numPr>
          <w:ilvl w:val="0"/>
          <w:numId w:val="1013"/>
        </w:numPr>
      </w:pPr>
      <w:r>
        <w:t xml:space="preserve">Observers: Geolux Radar (water level) and OTT Pluvio² (rainfall).</w:t>
      </w:r>
    </w:p>
    <w:p>
      <w:pPr>
        <w:pStyle w:val="FirstParagraph"/>
      </w:pPr>
      <w:r>
        <w:t xml:space="preserve">Key points:</w:t>
      </w:r>
    </w:p>
    <w:p>
      <w:pPr>
        <w:numPr>
          <w:ilvl w:val="0"/>
          <w:numId w:val="1014"/>
        </w:numPr>
      </w:pPr>
      <w:r>
        <w:t xml:space="preserve">Measures critical hydrological parameters: water level and rainfall intensity.</w:t>
      </w:r>
    </w:p>
    <w:p>
      <w:pPr>
        <w:numPr>
          <w:ilvl w:val="0"/>
          <w:numId w:val="1014"/>
        </w:numPr>
      </w:pPr>
      <w:r>
        <w:t xml:space="preserve">Data is grouped under a single parameter definition since all values represent hydrological measurements.</w:t>
      </w:r>
    </w:p>
    <w:p>
      <w:pPr>
        <w:numPr>
          <w:ilvl w:val="0"/>
          <w:numId w:val="1014"/>
        </w:numPr>
      </w:pPr>
      <w:r>
        <w:t xml:space="preserve">Metadata is minimal — there is no firmware version or serial number information from the observer instruments.</w:t>
      </w:r>
    </w:p>
    <w:p>
      <w:pPr>
        <w:numPr>
          <w:ilvl w:val="0"/>
          <w:numId w:val="1014"/>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5"/>
    <w:bookmarkStart w:id="106"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5"/>
        </w:numPr>
      </w:pPr>
      <w:r>
        <w:t xml:space="preserve">Node: Campbell CR3000 recording weather data plus internal system status.</w:t>
      </w:r>
    </w:p>
    <w:p>
      <w:pPr>
        <w:numPr>
          <w:ilvl w:val="0"/>
          <w:numId w:val="1015"/>
        </w:numPr>
      </w:pPr>
      <w:r>
        <w:t xml:space="preserve">Observers: Vaisala WXT536 measuring meteorological parameters.</w:t>
      </w:r>
    </w:p>
    <w:p>
      <w:pPr>
        <w:pStyle w:val="FirstParagraph"/>
      </w:pPr>
      <w:r>
        <w:t xml:space="preserve">Key points:</w:t>
      </w:r>
    </w:p>
    <w:p>
      <w:pPr>
        <w:numPr>
          <w:ilvl w:val="0"/>
          <w:numId w:val="1016"/>
        </w:numPr>
      </w:pPr>
      <w:r>
        <w:t xml:space="preserve">Weather parameters: air temperature, humidity, pressure, wind, rainfall.</w:t>
      </w:r>
    </w:p>
    <w:p>
      <w:pPr>
        <w:numPr>
          <w:ilvl w:val="0"/>
          <w:numId w:val="1016"/>
        </w:numPr>
      </w:pPr>
      <w:r>
        <w:t xml:space="preserve">The datalogger monitors battery voltage, solar input, and logger temperature.</w:t>
      </w:r>
    </w:p>
    <w:p>
      <w:pPr>
        <w:numPr>
          <w:ilvl w:val="0"/>
          <w:numId w:val="1016"/>
        </w:numPr>
      </w:pPr>
      <w:r>
        <w:t xml:space="preserve">The data block groups meteorological parameters and logger health separately.</w:t>
      </w:r>
    </w:p>
    <w:p>
      <w:pPr>
        <w:numPr>
          <w:ilvl w:val="0"/>
          <w:numId w:val="1016"/>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6"/>
    <w:bookmarkEnd w:id="107"/>
    <w:bookmarkEnd w:id="108"/>
    <w:bookmarkStart w:id="111" w:name="Bibliography"/>
    <w:p>
      <w:pPr>
        <w:pStyle w:val="Heading1"/>
      </w:pPr>
      <w:r>
        <w:t xml:space="preserve">Bibliography</w:t>
      </w:r>
    </w:p>
    <w:p>
      <w:pPr>
        <w:numPr>
          <w:ilvl w:val="0"/>
          <w:numId w:val="1017"/>
        </w:numPr>
      </w:pPr>
      <w:bookmarkStart w:id="109" w:name="link-relations"/>
      <w:bookmarkEnd w:id="109"/>
      <w:r>
        <w:t xml:space="preserve"> </w:t>
      </w:r>
      <w:r>
        <w:t xml:space="preserve">IANA: Link Relation Types,</w:t>
      </w:r>
      <w:r>
        <w:t xml:space="preserve"> </w:t>
      </w:r>
      <w:hyperlink r:id="rId110">
        <w:r>
          <w:rPr>
            <w:rStyle w:val="Hyperlink"/>
          </w:rPr>
          <w:t xml:space="preserve">https://www.iana.org/assignments/link-relations/link-relations.xml</w:t>
        </w:r>
      </w:hyperlink>
    </w:p>
    <w:bookmarkEnd w:id="111"/>
    <w:bookmarkStart w:id="11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https://community.wmo.int/site/knowledge-hub/governance/infcom/standing-committee-information-management-and-technology-sc-imt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https://community.wmo.int/site/knowledge-hub/governance/infcom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9" Target="http://wis.wmo.int/spec/fmde/1/req/parameter-standard-names" TargetMode="External" /><Relationship Type="http://schemas.openxmlformats.org/officeDocument/2006/relationships/hyperlink" Id="rId79" Target="http://wis.wmo.int/spec/fmde/1/req/transmission" TargetMode="External" /><Relationship Type="http://schemas.openxmlformats.org/officeDocument/2006/relationships/hyperlink" Id="rId74" Target="https://cfconventions.org/Data/cf-standard-names/current/build/cf-standard-name-table.html" TargetMode="External" /><Relationship Type="http://schemas.openxmlformats.org/officeDocument/2006/relationships/hyperlink" Id="rId75"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73" Target="https://codes.wmo.int/fmde/parameter" TargetMode="External" /><Relationship Type="http://schemas.openxmlformats.org/officeDocument/2006/relationships/hyperlink" Id="rId61" Target="https://codes.wmo.int/fmde/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8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10" Target="https://www.iana.org/assignments/link-relations/link-relations.xml" TargetMode="External" /><Relationship Type="http://schemas.openxmlformats.org/officeDocument/2006/relationships/hyperlink" Id="rId8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9" Target="http://wis.wmo.int/spec/fmde/1/req/parameter-standard-names" TargetMode="External" /><Relationship Type="http://schemas.openxmlformats.org/officeDocument/2006/relationships/hyperlink" Id="rId79" Target="http://wis.wmo.int/spec/fmde/1/req/transmission" TargetMode="External" /><Relationship Type="http://schemas.openxmlformats.org/officeDocument/2006/relationships/hyperlink" Id="rId74" Target="https://cfconventions.org/Data/cf-standard-names/current/build/cf-standard-name-table.html" TargetMode="External" /><Relationship Type="http://schemas.openxmlformats.org/officeDocument/2006/relationships/hyperlink" Id="rId75"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73" Target="https://codes.wmo.int/fmde/parameter" TargetMode="External" /><Relationship Type="http://schemas.openxmlformats.org/officeDocument/2006/relationships/hyperlink" Id="rId61" Target="https://codes.wmo.int/fmde/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8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10" Target="https://www.iana.org/assignments/link-relations/link-relations.xml" TargetMode="External" /><Relationship Type="http://schemas.openxmlformats.org/officeDocument/2006/relationships/hyperlink" Id="rId8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Exchange</dc:title>
  <dc:creator/>
  <cp:keywords/>
  <dcterms:created xsi:type="dcterms:W3CDTF">2026-07-09T12:02:12Z</dcterms:created>
  <dcterms:modified xsi:type="dcterms:W3CDTF">2026-07-09T12:02:12Z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2026-07-09</vt:lpwstr>
  </property>
</Properties>
</file>