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Exchange</w:t>
      </w:r>
    </w:p>
    <w:p>
      <w:pPr>
        <w:pStyle w:val="Date"/>
      </w:pPr>
      <w:r>
        <w:t xml:space="preserve">2026-07-09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2026-07-09</w:t>
            </w:r>
          </w:p>
        </w:tc>
      </w:tr>
      <w:tr>
        <w:tc>
          <w:tcPr/>
          <w:p>
            <w:pPr>
              <w:jc w:val="left"/>
            </w:pPr>
            <w:r>
              <w:t xml:space="preserve">Version: 0.0.1-DRAFT-2026-07-09</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for allowing Prediction Centers (for Numerical Weather Prediction – NWP as well as climate and hydrological prediction) to produce reliable products. National Meteorological and Hydrological Services (NMHSs) use NWP products to monitor and predict the weather and hydrological conditions so they can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Exchange (message encoding, parameter standard names, transmission). Annex A defines the abstract test suite.</w:t>
      </w:r>
    </w:p>
    <w:p>
      <w:pPr>
        <w:pStyle w:val="BodyText"/>
      </w:pPr>
      <w:r>
        <w:t xml:space="preserve">This specification will be further expanded (2027) to also address the encoding and the transmission of configuration aspects from the central data collection system (Hub) to the remote monitoring stations (Nodes).</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Exchange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"Message Encoding"</w:t>
      </w:r>
    </w:p>
    <w:p>
      <w:pPr>
        <w:numPr>
          <w:ilvl w:val="0"/>
          <w:numId w:val="1001"/>
        </w:numPr>
      </w:pPr>
      <w:r>
        <w:t xml:space="preserve">"Parameter Standard Names"</w:t>
      </w:r>
    </w:p>
    <w:p>
      <w:pPr>
        <w:numPr>
          <w:ilvl w:val="0"/>
          <w:numId w:val="1001"/>
        </w:numPr>
      </w:pPr>
      <w:r>
        <w:t xml:space="preserve">"Transmission"</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32"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p>
      <w:pPr>
        <w:pStyle w:val="BodyText"/>
      </w:pPr>
      <w:r>
        <w:rPr>
          <w:bCs/>
          <w:b/>
        </w:rPr>
        <w:t xml:space="preserve">Node</w:t>
      </w:r>
    </w:p>
    <w:p>
      <w:pPr>
        <w:pStyle w:val="BodyText"/>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p>
      <w:pPr>
        <w:pStyle w:val="BodyText"/>
      </w:pPr>
      <w:r>
        <w:rPr>
          <w:bCs/>
          <w:b/>
        </w:rPr>
        <w:t xml:space="preserve">Hub</w:t>
      </w:r>
    </w:p>
    <w:p>
      <w:pPr>
        <w:pStyle w:val="BodyText"/>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p>
      <w:pPr>
        <w:pStyle w:val="BodyText"/>
      </w:pPr>
      <w:r>
        <w:rPr>
          <w:bCs/>
          <w:b/>
        </w:rPr>
        <w:t xml:space="preserve">Protocol</w:t>
      </w:r>
    </w:p>
    <w:p>
      <w:pPr>
        <w:pStyle w:val="BodyText"/>
      </w:pPr>
      <w:r>
        <w:t xml:space="preserve">The IP-based set of rules that determine how data is transferred from the Node to the Hub.</w:t>
      </w:r>
    </w:p>
    <w:p>
      <w:pPr>
        <w:pStyle w:val="BodyText"/>
      </w:pPr>
      <w:r>
        <w:rPr>
          <w:bCs/>
          <w:b/>
        </w:rPr>
        <w:t xml:space="preserve">Observation</w:t>
      </w:r>
    </w:p>
    <w:p>
      <w:pPr>
        <w:pStyle w:val="BodyText"/>
      </w:pPr>
      <w:r>
        <w:t xml:space="preserve">A single set of one or more measured values captured at a specific point in time, referencing a ParameterDefinition. Observations are transmitted within Data messages.</w:t>
      </w:r>
    </w:p>
    <w:p>
      <w:pPr>
        <w:pStyle w:val="BodyText"/>
      </w:pPr>
      <w:r>
        <w:rPr>
          <w:bCs/>
          <w:b/>
        </w:rPr>
        <w:t xml:space="preserve">Metadata</w:t>
      </w:r>
    </w:p>
    <w:p>
      <w:pPr>
        <w:pStyle w:val="BodyText"/>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p>
      <w:pPr>
        <w:pStyle w:val="BodyText"/>
      </w:pPr>
      <w:r>
        <w:rPr>
          <w:bCs/>
          <w:b/>
        </w:rPr>
        <w:t xml:space="preserve">Cell method</w:t>
      </w:r>
    </w:p>
    <w:p>
      <w:pPr>
        <w:pStyle w:val="BodyText"/>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p>
      <w:pPr>
        <w:pStyle w:val="BodyText"/>
      </w:pPr>
      <w:r>
        <w:rPr>
          <w:bCs/>
          <w:b/>
        </w:rPr>
        <w:t xml:space="preserve">Cell period</w:t>
      </w:r>
    </w:p>
    <w:p>
      <w:pPr>
        <w:pStyle w:val="BodyText"/>
      </w:pPr>
      <w:r>
        <w:t xml:space="preserve">Duration in seconds over which measurements are aggregated using the cell method. A value of zero indicates an instantaneous (point) measurement with no aggregation interval.</w:t>
      </w:r>
    </w:p>
    <w:p>
      <w:pPr>
        <w:pStyle w:val="BodyText"/>
      </w:pPr>
      <w:r>
        <w:rPr>
          <w:bCs/>
          <w:b/>
        </w:rPr>
        <w:t xml:space="preserve">Empty value</w:t>
      </w:r>
    </w:p>
    <w:p>
      <w:pPr>
        <w:pStyle w:val="BodyText"/>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element rather than omitted, represented as zero, or represented as false. This ensures a clear distinction between a measurement that could not be obtained and a measurement with a value of zero.</w:t>
      </w:r>
    </w:p>
    <w:p>
      <w:pPr>
        <w:pStyle w:val="BodyText"/>
      </w:pPr>
      <w:r>
        <w:rPr>
          <w:bCs/>
          <w:b/>
        </w:rPr>
        <w:t xml:space="preserve">First mile</w:t>
      </w:r>
    </w:p>
    <w:p>
      <w:pPr>
        <w:pStyle w:val="BodyText"/>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p>
      <w:pPr>
        <w:pStyle w:val="BodyText"/>
      </w:pPr>
      <w:r>
        <w:rPr>
          <w:bCs/>
          <w:b/>
        </w:rPr>
        <w:t xml:space="preserve">Namespace</w:t>
      </w:r>
    </w:p>
    <w:p>
      <w:pPr>
        <w:pStyle w:val="BodyText"/>
      </w:pPr>
      <w:r>
        <w:t xml:space="preserve">Declaration that associates a short key with a URI identifying an external naming convention vocabulary. Namespaces are declared in the Metadata message</w:t>
      </w:r>
      <w:r>
        <w:t xml:space="preserve"> </w:t>
      </w:r>
      <w:r>
        <w:rPr>
          <w:rStyle w:val="VerbatimChar"/>
        </w:rPr>
        <w:t xml:space="preserve">namespaces</w:t>
      </w:r>
      <w:r>
        <w:t xml:space="preserve"> </w:t>
      </w:r>
      <w:r>
        <w:t xml:space="preserve">element and referenced in the Parameter message</w:t>
      </w:r>
      <w:r>
        <w:t xml:space="preserve"> </w:t>
      </w:r>
      <w:r>
        <w:rPr>
          <w:rStyle w:val="VerbatimChar"/>
        </w:rPr>
        <w:t xml:space="preserve">standardNames</w:t>
      </w:r>
      <w:r>
        <w:t xml:space="preserve"> </w:t>
      </w:r>
      <w:r>
        <w:t xml:space="preserve">elements. Example vocabularies include the CF Metadata Conventions and the WMO First Mile parameter registry.</w:t>
      </w:r>
    </w:p>
    <w:p>
      <w:pPr>
        <w:pStyle w:val="BodyText"/>
      </w:pPr>
      <w:r>
        <w:rPr>
          <w:bCs/>
          <w:b/>
        </w:rPr>
        <w:t xml:space="preserve">Node device</w:t>
      </w:r>
    </w:p>
    <w:p>
      <w:pPr>
        <w:pStyle w:val="BodyText"/>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message encoding.</w:t>
      </w:r>
    </w:p>
    <w:p>
      <w:pPr>
        <w:pStyle w:val="BodyText"/>
      </w:pPr>
      <w:r>
        <w:rPr>
          <w:bCs/>
          <w:b/>
        </w:rPr>
        <w:t xml:space="preserve">Observer device</w:t>
      </w:r>
    </w:p>
    <w:p>
      <w:pPr>
        <w:pStyle w:val="BodyText"/>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 Metadata message. Each Observer Device shall be assigned an identifier that is unique within the context of its Node Device.</w:t>
      </w:r>
    </w:p>
    <w:p>
      <w:pPr>
        <w:pStyle w:val="BodyText"/>
      </w:pPr>
      <w:r>
        <w:rPr>
          <w:bCs/>
          <w:b/>
        </w:rPr>
        <w:t xml:space="preserve">Parameter definition</w:t>
      </w:r>
    </w:p>
    <w:p>
      <w:pPr>
        <w:pStyle w:val="BodyText"/>
      </w:pPr>
      <w:r>
        <w:t xml:space="preserve">A named grouping of one or more related Parameters that share a common identifier and description. Parameter Definitions are declared in Metadata messages and referenced by identifier in Observation messages.</w:t>
      </w:r>
    </w:p>
    <w:p>
      <w:pPr>
        <w:pStyle w:val="BodyText"/>
      </w:pPr>
      <w:r>
        <w:rPr>
          <w:bCs/>
          <w:b/>
        </w:rPr>
        <w:t xml:space="preserve">Standard name</w:t>
      </w:r>
    </w:p>
    <w:p>
      <w:pPr>
        <w:pStyle w:val="BodyText"/>
      </w:pPr>
      <w:r>
        <w:t xml:space="preserve">A controlled vocabulary entry from an external naming convention that unambiguously identifies a measured parameter. Standard names are associated with Parameters through namespace-keyed mappings in the Parameter message</w:t>
      </w:r>
      <w:r>
        <w:t xml:space="preserve"> </w:t>
      </w:r>
      <w:r>
        <w:rPr>
          <w:rStyle w:val="VerbatimChar"/>
        </w:rPr>
        <w:t xml:space="preserve">standardNames</w:t>
      </w:r>
      <w:r>
        <w:t xml:space="preserve"> </w:t>
      </w:r>
      <w:r>
        <w:t xml:space="preserve">element.</w:t>
      </w:r>
    </w:p>
    <w:p>
      <w:pPr>
        <w:pStyle w:val="BodyText"/>
      </w:pPr>
      <w:r>
        <w:rPr>
          <w:bCs/>
          <w:b/>
        </w:rP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AWS</w:t>
            </w:r>
          </w:p>
        </w:tc>
        <w:tc>
          <w:tcPr/>
          <w:p>
            <w:pPr>
              <w:jc w:val="left"/>
            </w:pPr>
            <w:r>
              <w:t xml:space="preserve">Automated Weather Station</w:t>
            </w:r>
          </w:p>
        </w:tc>
      </w:tr>
      <w:tr>
        <w:tc>
          <w:tcPr/>
          <w:p>
            <w:pPr>
              <w:jc w:val="left"/>
            </w:pPr>
            <w:r>
              <w:t xml:space="preserve">CF</w:t>
            </w:r>
          </w:p>
        </w:tc>
        <w:tc>
          <w:tcPr/>
          <w:p>
            <w:pPr>
              <w:jc w:val="left"/>
            </w:pPr>
            <w:r>
              <w:t xml:space="preserve">Climate and Forecast (CF) Metadata Conventions</w:t>
            </w:r>
          </w:p>
        </w:tc>
      </w:tr>
      <w:tr>
        <w:tc>
          <w:tcPr/>
          <w:p>
            <w:pPr>
              <w:jc w:val="left"/>
            </w:pPr>
            <w:r>
              <w:t xml:space="preserve">FMTH</w:t>
            </w:r>
          </w:p>
        </w:tc>
        <w:tc>
          <w:tcPr/>
          <w:p>
            <w:pPr>
              <w:jc w:val="left"/>
            </w:pPr>
            <w:r>
              <w:t xml:space="preserve">First Mile Topic Hierarchy</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TCP/IP</w:t>
            </w:r>
          </w:p>
        </w:tc>
        <w:tc>
          <w:tcPr/>
          <w:p>
            <w:pPr>
              <w:jc w:val="left"/>
            </w:pPr>
            <w:r>
              <w:t xml:space="preserve">Transmission Control Protocol / Internet Protocol</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32"/>
    <w:bookmarkStart w:id="4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34"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33">
        <w:r>
          <w:rPr>
            <w:rStyle w:val="Hyperlink"/>
          </w:rPr>
          <w:t xml:space="preserve">http://wis.wmo.int/spec/fmde/1</w:t>
        </w:r>
      </w:hyperlink>
    </w:p>
    <w:p>
      <w:pPr>
        <w:pStyle w:val="BodyText"/>
      </w:pPr>
      <w:r>
        <w:t xml:space="preserve">All requirements and conformance tests that appear in this document are denoted by partial URIs which are relative to this base.</w:t>
      </w:r>
    </w:p>
    <w:bookmarkEnd w:id="34"/>
    <w:bookmarkStart w:id="36"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Protobuf Text Format Language.</w:t>
      </w:r>
    </w:p>
    <w:p>
      <w:pPr>
        <w:pStyle w:val="BodyText"/>
      </w:pPr>
      <w:r>
        <w:t xml:space="preserve">Complete examples can be found at</w:t>
      </w:r>
      <w:r>
        <w:t xml:space="preserve"> </w:t>
      </w:r>
      <w:hyperlink r:id="rId35">
        <w:r>
          <w:rPr>
            <w:rStyle w:val="Hyperlink"/>
          </w:rPr>
          <w:t xml:space="preserve">https://schemas.wmo.int/fmde/1.0.0/examples</w:t>
        </w:r>
      </w:hyperlink>
    </w:p>
    <w:bookmarkEnd w:id="36"/>
    <w:bookmarkStart w:id="38"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37">
        <w:r>
          <w:rPr>
            <w:rStyle w:val="Hyperlink"/>
          </w:rPr>
          <w:t xml:space="preserve">https://schemas.wmo.int/fmde/1.0.0</w:t>
        </w:r>
      </w:hyperlink>
    </w:p>
    <w:bookmarkEnd w:id="38"/>
    <w:bookmarkStart w:id="39"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represented in Protobuf Text Format Language.</w:t>
      </w:r>
    </w:p>
    <w:bookmarkEnd w:id="39"/>
    <w:bookmarkEnd w:id="40"/>
    <w:bookmarkStart w:id="50" w:name="Xc683cc3eb5f62f1b2665ffbeddec6924032d7d2"/>
    <w:p>
      <w:pPr>
        <w:pStyle w:val="Heading1"/>
      </w:pPr>
      <w:r>
        <w:t xml:space="preserve">Overview (informative)</w:t>
      </w:r>
    </w:p>
    <w:bookmarkStart w:id="44"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w:t>
      </w:r>
      <w:hyperlink w:anchor="fig-node-data-flow">
        <w:r>
          <w:rPr>
            <w:rStyle w:val="Hyperlink"/>
          </w:rPr>
          <w:t xml:space="preserve">Data Flow</w:t>
        </w:r>
      </w:hyperlink>
      <w:r>
        <w:t xml:space="preserve">). This absence of standardization has led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CaptionedFigure"/>
      </w:pPr>
      <w:r>
        <w:drawing>
          <wp:inline>
            <wp:extent cx="5334000" cy="2982595"/>
            <wp:effectExtent b="0" l="0" r="0" t="0"/>
            <wp:docPr descr="Data Flow" title="" id="42" name="Picture"/>
            <a:graphic>
              <a:graphicData uri="http://schemas.openxmlformats.org/drawingml/2006/picture">
                <pic:pic>
                  <pic:nvPicPr>
                    <pic:cNvPr descr="images/firstmile-data-flow.png" id="43" name="Picture"/>
                    <pic:cNvPicPr>
                      <a:picLocks noChangeArrowheads="1" noChangeAspect="1"/>
                    </pic:cNvPicPr>
                  </pic:nvPicPr>
                  <pic:blipFill>
                    <a:blip r:embed="rId41"/>
                    <a:stretch>
                      <a:fillRect/>
                    </a:stretch>
                  </pic:blipFill>
                  <pic:spPr bwMode="auto">
                    <a:xfrm>
                      <a:off x="0" y="0"/>
                      <a:ext cx="5334000" cy="2982595"/>
                    </a:xfrm>
                    <a:prstGeom prst="rect">
                      <a:avLst/>
                    </a:prstGeom>
                    <a:noFill/>
                    <a:ln w="9525">
                      <a:noFill/>
                      <a:headEnd/>
                      <a:tailEnd/>
                    </a:ln>
                  </pic:spPr>
                </pic:pic>
              </a:graphicData>
            </a:graphic>
          </wp:inline>
        </w:drawing>
      </w:r>
    </w:p>
    <w:p>
      <w:pPr>
        <w:pStyle w:val="ImageCaption"/>
      </w:pPr>
      <w:r>
        <w:t xml:space="preserve">Data Flow</w:t>
      </w:r>
    </w:p>
    <w:bookmarkEnd w:id="44"/>
    <w:bookmarkStart w:id="49"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 Data message, which carries Observation content, and the Metadata message, which carries the descriptive context needed to interpret those observations.</w:t>
      </w:r>
    </w:p>
    <w:p>
      <w:pPr>
        <w:pStyle w:val="CaptionedFigure"/>
      </w:pPr>
      <w:r>
        <w:drawing>
          <wp:inline>
            <wp:extent cx="5334000" cy="5600095"/>
            <wp:effectExtent b="0" l="0" r="0" t="0"/>
            <wp:docPr descr="Node and Hub architecture" title="" id="46" name="Picture"/>
            <a:graphic>
              <a:graphicData uri="http://schemas.openxmlformats.org/drawingml/2006/picture">
                <pic:pic>
                  <pic:nvPicPr>
                    <pic:cNvPr descr="images/firstmile-archi.png" id="47" name="Picture"/>
                    <pic:cNvPicPr>
                      <a:picLocks noChangeArrowheads="1" noChangeAspect="1"/>
                    </pic:cNvPicPr>
                  </pic:nvPicPr>
                  <pic:blipFill>
                    <a:blip r:embed="rId45"/>
                    <a:stretch>
                      <a:fillRect/>
                    </a:stretch>
                  </pic:blipFill>
                  <pic:spPr bwMode="auto">
                    <a:xfrm>
                      <a:off x="0" y="0"/>
                      <a:ext cx="5334000" cy="5600095"/>
                    </a:xfrm>
                    <a:prstGeom prst="rect">
                      <a:avLst/>
                    </a:prstGeom>
                    <a:noFill/>
                    <a:ln w="9525">
                      <a:noFill/>
                      <a:headEnd/>
                      <a:tailEnd/>
                    </a:ln>
                  </pic:spPr>
                </pic:pic>
              </a:graphicData>
            </a:graphic>
          </wp:inline>
        </w:drawing>
      </w:r>
    </w:p>
    <w:p>
      <w:pPr>
        <w:pStyle w:val="ImageCaption"/>
      </w:pPr>
      <w:r>
        <w:t xml:space="preserve">Node and Hub architecture</w:t>
      </w:r>
    </w:p>
    <w:bookmarkStart w:id="48" w:name="X770fa29b64d56b71c44a849f2807d40b1e1388b"/>
    <w:p>
      <w:pPr>
        <w:pStyle w:val="Heading3"/>
      </w:pPr>
      <w:r>
        <w:t xml:space="preserve">Message flow</w:t>
      </w:r>
    </w:p>
    <w:p>
      <w:pPr>
        <w:pStyle w:val="FirstParagraph"/>
      </w:pPr>
      <w:r>
        <w:t xml:space="preserve">In typical operation, the Metadata message is sent when the Node is initialized and whenever the station configuration changes, and the Data 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48"/>
    <w:bookmarkEnd w:id="49"/>
    <w:bookmarkEnd w:id="50"/>
    <w:bookmarkStart w:id="67" w:name="Xd094cb9e46932e0a1d453e6f3cf496cbe084a2a"/>
    <w:p>
      <w:pPr>
        <w:pStyle w:val="Heading1"/>
      </w:pPr>
      <w:r>
        <w:t xml:space="preserve">Message Encoding</w:t>
      </w:r>
    </w:p>
    <w:p>
      <w:pPr>
        <w:pStyle w:val="FirstParagraph"/>
      </w:pPr>
      <w:r>
        <w:t xml:space="preserve">The message encoding defines the structure and organization of information transmitted from the Node to the Hub using Protocol Buffers (Protobuf).</w:t>
      </w:r>
    </w:p>
    <w:p>
      <w:pPr>
        <w:pStyle w:val="BodyText"/>
      </w:pPr>
      <w:r>
        <w:t xml:space="preserve">The message encoding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66" w:name="X3405a2ad77080f4e6420abc592ee760f82741e3"/>
    <w:p>
      <w:pPr>
        <w:pStyle w:val="Heading2"/>
      </w:pPr>
      <w:r>
        <w:t xml:space="preserve">Requirements Class "Message Encoding"</w:t>
      </w:r>
    </w:p>
    <w:bookmarkStart w:id="52" w:name="X43f9398da9c2eb974194c1e60a2fdc80e1bfc87"/>
    <w:p>
      <w:pPr>
        <w:pStyle w:val="Heading3"/>
      </w:pPr>
      <w:r>
        <w:t xml:space="preserve">Overview</w:t>
      </w:r>
    </w:p>
    <w:p>
      <w:pPr>
        <w:pStyle w:val="FirstParagraph"/>
      </w:pPr>
      <w:r>
        <w:t xml:space="preserve">This Requirements Class provides requirements for the Message Encoding.</w:t>
      </w:r>
    </w:p>
    <w:p>
      <w:pPr>
        <w:pStyle w:val="BodyText"/>
      </w:pPr>
      <w:r>
        <w:t xml:space="preserve">The message encoding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51">
              <w:r>
                <w:rPr>
                  <w:rStyle w:val="Hyperlink"/>
                </w:rPr>
                <w:t xml:space="preserve">http://wis.wmo.int/spec/fmde/1/req/message-encoding</w:t>
              </w:r>
            </w:hyperlink>
          </w:p>
        </w:tc>
      </w:tr>
      <w:tr>
        <w:tc>
          <w:tcPr/>
          <w:p>
            <w:pPr>
              <w:jc w:val="left"/>
            </w:pPr>
            <w:r>
              <w:t xml:space="preserve">Target type</w:t>
            </w:r>
          </w:p>
        </w:tc>
        <w:tc>
          <w:tcPr/>
          <w:p>
            <w:pPr>
              <w:jc w:val="left"/>
            </w:pPr>
            <w:r>
              <w:t xml:space="preserve">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message conforms to the Protobuf specification.</w:t>
            </w:r>
          </w:p>
        </w:tc>
      </w:tr>
    </w:tbl>
    <w:bookmarkEnd w:id="52"/>
    <w:bookmarkStart w:id="53" w:name="Xd1407eb2acab85faf209ebb838d94cf5606e93f"/>
    <w:p>
      <w:pPr>
        <w:pStyle w:val="Heading3"/>
      </w:pPr>
      <w:r>
        <w:t xml:space="preserve">Design principles</w:t>
      </w:r>
    </w:p>
    <w:p>
      <w:pPr>
        <w:pStyle w:val="FirstParagraph"/>
      </w:pPr>
      <w:r>
        <w:t xml:space="preserve">The message encoding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53"/>
    <w:bookmarkStart w:id="54"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/req/message-encoding/first_mile_message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54"/>
    <w:bookmarkStart w:id="55"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/req/message-encoding/location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/rec/message-encoding/location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w:t>
            </w:r>
          </w:p>
        </w:tc>
      </w:tr>
      <w:tr>
        <w:tc>
          <w:tcPr/>
          <w:p>
            <w:pPr>
              <w:jc w:val="center"/>
            </w:pPr>
            <w:r>
              <w:t xml:space="preserve">C</w:t>
            </w:r>
          </w:p>
        </w:tc>
        <w:tc>
          <w:tcPr/>
          <w:p>
            <w:pPr>
              <w:jc w:val="left"/>
            </w:pPr>
            <w:r>
              <w:t xml:space="preserve">A Location message’s</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SHOULD have a level of precision of six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/per/message-encoding/location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55"/>
    <w:bookmarkStart w:id="56"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/req/message-encoding/metadata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namespaces</w:t>
            </w:r>
            <w:r>
              <w:t xml:space="preserve"> </w:t>
            </w:r>
            <w:r>
              <w:t xml:space="preserve">element to define a mapping of namespace prefixes to their corresponding URIs for standard name resolution.</w:t>
            </w:r>
          </w:p>
        </w:tc>
      </w:tr>
    </w:tbl>
    <w:bookmarkEnd w:id="56"/>
    <w:bookmarkStart w:id="57"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/req/message-encoding/node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/rec/message-encoding/node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/per/message-encoding/node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57"/>
    <w:bookmarkStart w:id="58"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are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/req/message-encoding/observer_device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/rec/message-encoding/observer_device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/per/message-encoding/observer_device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the firmware version of the device.</w:t>
            </w:r>
          </w:p>
        </w:tc>
      </w:tr>
    </w:tbl>
    <w:p>
      <w:pPr>
        <w:pStyle w:val="BodyText"/>
      </w:pPr>
      <w:r>
        <w:t xml:space="preserve">Observer device identifiers shall remain stable across Node restarts and metadata updates to ensure consistent parameter-to-device associations.</w:t>
      </w:r>
    </w:p>
    <w:bookmarkEnd w:id="58"/>
    <w:bookmarkStart w:id="59"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w:t>
      </w:r>
      <w:r>
        <w:t xml:space="preserve"> </w:t>
      </w:r>
      <w:r>
        <w:rPr>
          <w:rStyle w:val="VerbatimChar"/>
        </w:rPr>
        <w:t xml:space="preserve">parameters</w:t>
      </w:r>
      <w:r>
        <w:t xml:space="preserve"> </w:t>
      </w:r>
      <w:r>
        <w:t xml:space="preserve">element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/req/message-encoding/parameter_definition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59"/>
    <w:bookmarkStart w:id="61"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w:t>
      </w:r>
      <w:r>
        <w:t xml:space="preserve"> </w:t>
      </w:r>
      <w:r>
        <w:rPr>
          <w:rStyle w:val="VerbatimChar"/>
        </w:rPr>
        <w:t xml:space="preserve">standardNames</w:t>
      </w:r>
      <w:r>
        <w:t xml:space="preserve"> </w:t>
      </w:r>
      <w:r>
        <w:t xml:space="preserve">element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w:t>
      </w:r>
      <w:r>
        <w:t xml:space="preserve"> </w:t>
      </w:r>
      <w:r>
        <w:rPr>
          <w:rStyle w:val="VerbatimChar"/>
        </w:rPr>
        <w:t xml:space="preserve">device</w:t>
      </w:r>
      <w:r>
        <w:t xml:space="preserve"> </w:t>
      </w:r>
      <w:r>
        <w:t xml:space="preserve">element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/req/message-encoding/parameter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60">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zero or more namespace prefix and standard name mappings for the equivalent parameter name in an external vocabulary. // TODO: was "one or more"; changed to "zero or more" to align with /per/message-encoding/standard_name_binding_assignment Part A</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61"/>
    <w:bookmarkStart w:id="62"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element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/req/message-encoding/device-ref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w:t>
            </w:r>
            <w:r>
              <w:t xml:space="preserve"> </w:t>
            </w:r>
            <w:r>
              <w:rPr>
                <w:rStyle w:val="VerbatimChar"/>
              </w:rPr>
              <w:t xml:space="preserve">observerId</w:t>
            </w:r>
            <w:r>
              <w:t xml:space="preserve"> </w:t>
            </w:r>
            <w:r>
              <w:t xml:space="preserve">element is set, it SHALL match the id of an ObserverDevice defined in the Metadata message.</w:t>
            </w:r>
          </w:p>
        </w:tc>
      </w:tr>
    </w:tbl>
    <w:bookmarkEnd w:id="62"/>
    <w:bookmarkStart w:id="63"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 Metadata 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/req/message-encoding/data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63"/>
    <w:bookmarkStart w:id="64"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/req/message-encoding/observation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of type</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w:t>
      </w:r>
      <w:r>
        <w:t xml:space="preserve"> </w:t>
      </w:r>
      <w:r>
        <w:rPr>
          <w:rStyle w:val="VerbatimChar"/>
        </w:rPr>
        <w:t xml:space="preserve">values</w:t>
      </w:r>
      <w:r>
        <w:t xml:space="preserve"> </w:t>
      </w:r>
      <w:r>
        <w:t xml:space="preserve">element shall correspond to the number of parameters defined in the referenced ParameterDefinition.</w:t>
      </w:r>
    </w:p>
    <w:p>
      <w:pPr>
        <w:pStyle w:val="BodyText"/>
      </w:pPr>
      <w:r>
        <w:t xml:space="preserve">The</w:t>
      </w:r>
      <w:r>
        <w:t xml:space="preserve"> </w:t>
      </w:r>
      <w:r>
        <w:rPr>
          <w:rStyle w:val="VerbatimChar"/>
        </w:rPr>
        <w:t xml:space="preserve">time</w:t>
      </w:r>
      <w:r>
        <w:t xml:space="preserve"> </w:t>
      </w:r>
      <w:r>
        <w:t xml:space="preserve">element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64"/>
    <w:bookmarkStart w:id="65" w:name="Xfab5fa97ae3521ef5fab878ac897c1c9dd10da9"/>
    <w:p>
      <w:pPr>
        <w:pStyle w:val="Heading3"/>
      </w:pPr>
      <w:r>
        <w:t xml:space="preserve">Value</w:t>
      </w:r>
    </w:p>
    <w:p>
      <w:pPr>
        <w:pStyle w:val="FirstParagraph"/>
      </w:pPr>
      <w:r>
        <w:t xml:space="preserve">A Value message encodes a single measurement in one of several supported data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/req/message-encoding/value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Element</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rPr>
                      <w:rStyle w:val="VerbatimChar"/>
                    </w:rP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rPr>
                      <w:rStyle w:val="VerbatimChar"/>
                    </w:rP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rPr>
                      <w:rStyle w:val="VerbatimChar"/>
                    </w:rPr>
                    <w:t xml:space="preserve">int32Value</w:t>
                  </w:r>
                </w:p>
              </w:tc>
              <w:tc>
                <w:tcPr/>
                <w:p>
                  <w:pPr>
                    <w:jc w:val="left"/>
                    <w:jc w:val="left"/>
                  </w:pPr>
                  <w:r>
                    <w:t xml:space="preserve">int32</w:t>
                  </w:r>
                </w:p>
              </w:tc>
              <w:tc>
                <w:tcPr/>
                <w:p>
                  <w:pPr>
                    <w:jc w:val="left"/>
                    <w:jc w:val="left"/>
                  </w:pPr>
                  <w:r>
                    <w:t xml:space="preserve">32-bit signed integer</w:t>
                  </w:r>
                </w:p>
              </w:tc>
            </w:tr>
            <w:tr>
              <w:tc>
                <w:tcPr/>
                <w:p>
                  <w:pPr>
                    <w:jc w:val="left"/>
                    <w:jc w:val="left"/>
                  </w:pPr>
                  <w:r>
                    <w:rPr>
                      <w:rStyle w:val="VerbatimChar"/>
                    </w:rPr>
                    <w:t xml:space="preserve">uint32Value</w:t>
                  </w:r>
                </w:p>
              </w:tc>
              <w:tc>
                <w:tcPr/>
                <w:p>
                  <w:pPr>
                    <w:jc w:val="left"/>
                    <w:jc w:val="left"/>
                  </w:pPr>
                  <w:r>
                    <w:t xml:space="preserve">uint32</w:t>
                  </w:r>
                </w:p>
              </w:tc>
              <w:tc>
                <w:tcPr/>
                <w:p>
                  <w:pPr>
                    <w:jc w:val="left"/>
                    <w:jc w:val="left"/>
                  </w:pPr>
                  <w:r>
                    <w:t xml:space="preserve">32-bit unsigned integer</w:t>
                  </w:r>
                </w:p>
              </w:tc>
            </w:tr>
            <w:tr>
              <w:tc>
                <w:tcPr/>
                <w:p>
                  <w:pPr>
                    <w:jc w:val="left"/>
                    <w:jc w:val="left"/>
                  </w:pPr>
                  <w:r>
                    <w:rPr>
                      <w:rStyle w:val="VerbatimChar"/>
                    </w:rP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rPr>
                      <w:rStyle w:val="VerbatimChar"/>
                    </w:rPr>
                    <w:t xml:space="preserve">uint64Value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rPr>
                      <w:rStyle w:val="VerbatimChar"/>
                    </w:rP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rPr>
                      <w:rStyle w:val="VerbatimChar"/>
                    </w:rP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rPr>
                      <w:rStyle w:val="VerbatimChar"/>
                    </w:rP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w:t>
            </w:r>
            <w:r>
              <w:t xml:space="preserve"> </w:t>
            </w:r>
            <w:r>
              <w:rPr>
                <w:rStyle w:val="VerbatimChar"/>
              </w:rPr>
              <w:t xml:space="preserve">emptyValue</w:t>
            </w:r>
            <w:r>
              <w:t xml:space="preserve"> </w:t>
            </w:r>
            <w:r>
              <w:t xml:space="preserve">element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w:t>
      </w:r>
      <w:r>
        <w:t xml:space="preserve"> </w:t>
      </w:r>
      <w:r>
        <w:rPr>
          <w:rStyle w:val="VerbatimChar"/>
        </w:rPr>
        <w:t xml:space="preserve">doubleValue</w:t>
      </w:r>
      <w:r>
        <w:t xml:space="preserve"> </w:t>
      </w:r>
      <w:r>
        <w:t xml:space="preserve">or</w:t>
      </w:r>
      <w:r>
        <w:t xml:space="preserve"> </w:t>
      </w:r>
      <w:r>
        <w:rPr>
          <w:rStyle w:val="VerbatimChar"/>
        </w:rPr>
        <w:t xml:space="preserve">floatValue</w:t>
      </w:r>
      <w:r>
        <w:t xml:space="preserve">, while categorical observations may use</w:t>
      </w:r>
      <w:r>
        <w:t xml:space="preserve"> </w:t>
      </w:r>
      <w:r>
        <w:rPr>
          <w:rStyle w:val="VerbatimChar"/>
        </w:rPr>
        <w:t xml:space="preserve">stringValue</w:t>
      </w:r>
      <w:r>
        <w:t xml:space="preserve">. Boolean parameters (such as alarm states) use</w:t>
      </w:r>
      <w:r>
        <w:t xml:space="preserve"> </w:t>
      </w:r>
      <w:r>
        <w:rPr>
          <w:rStyle w:val="VerbatimChar"/>
        </w:rPr>
        <w:t xml:space="preserve">boolValue</w:t>
      </w:r>
      <w:r>
        <w:t xml:space="preserve">.</w:t>
      </w:r>
    </w:p>
    <w:p>
      <w:pPr>
        <w:pStyle w:val="BodyText"/>
      </w:pPr>
      <w:r>
        <w:t xml:space="preserve">The</w:t>
      </w:r>
      <w:r>
        <w:t xml:space="preserve"> </w:t>
      </w:r>
      <w:r>
        <w:rPr>
          <w:rStyle w:val="VerbatimChar"/>
        </w:rPr>
        <w:t xml:space="preserve">stringValue</w:t>
      </w:r>
      <w:r>
        <w:t xml:space="preserve"> </w:t>
      </w:r>
      <w:r>
        <w:t xml:space="preserve">element is intended for text data only and shall NOT be used to transmit:</w:t>
      </w:r>
    </w:p>
    <w:p>
      <w:pPr>
        <w:numPr>
          <w:ilvl w:val="0"/>
          <w:numId w:val="1006"/>
        </w:numPr>
      </w:pPr>
      <w:r>
        <w:t xml:space="preserve">binary data, including base64-encoded binary blobs</w:t>
      </w:r>
    </w:p>
    <w:p>
      <w:pPr>
        <w:numPr>
          <w:ilvl w:val="0"/>
          <w:numId w:val="1006"/>
        </w:numPr>
      </w:pPr>
      <w:r>
        <w:t xml:space="preserve">serialized objects or data structures</w:t>
      </w:r>
    </w:p>
    <w:p>
      <w:pPr>
        <w:numPr>
          <w:ilvl w:val="0"/>
          <w:numId w:val="1006"/>
        </w:numPr>
      </w:pPr>
      <w:r>
        <w:t xml:space="preserve">structured data formats such as JSON, XML, or similar encodings</w:t>
      </w:r>
    </w:p>
    <w:p>
      <w:pPr>
        <w:pStyle w:val="FirstParagraph"/>
      </w:pPr>
      <w:r>
        <w:t xml:space="preserve">Binary data transmission and complex structured data are outside the scope of this standard.</w:t>
      </w:r>
    </w:p>
    <w:p>
      <w:pPr>
        <w:pStyle w:val="BodyText"/>
      </w:pPr>
      <w:r>
        <w:t xml:space="preserve">Missing or unavailable measurement values shall NOT be represented as:</w:t>
      </w:r>
    </w:p>
    <w:p>
      <w:pPr>
        <w:numPr>
          <w:ilvl w:val="0"/>
          <w:numId w:val="1007"/>
        </w:numPr>
      </w:pPr>
      <w:r>
        <w:t xml:space="preserve">numeric zero (0)</w:t>
      </w:r>
    </w:p>
    <w:p>
      <w:pPr>
        <w:numPr>
          <w:ilvl w:val="0"/>
          <w:numId w:val="1007"/>
        </w:numPr>
      </w:pPr>
      <w:r>
        <w:t xml:space="preserve">NaN (Not a Number)</w:t>
      </w:r>
    </w:p>
    <w:p>
      <w:pPr>
        <w:numPr>
          <w:ilvl w:val="0"/>
          <w:numId w:val="1007"/>
        </w:numPr>
      </w:pPr>
      <w:r>
        <w:t xml:space="preserve">omission from the values array</w:t>
      </w:r>
    </w:p>
    <w:p>
      <w:pPr>
        <w:numPr>
          <w:ilvl w:val="0"/>
          <w:numId w:val="1007"/>
        </w:numPr>
      </w:pPr>
      <w:r>
        <w:t xml:space="preserve">any other numeric sentinel value</w:t>
      </w:r>
    </w:p>
    <w:p>
      <w:pPr>
        <w:pStyle w:val="FirstParagraph"/>
      </w:pPr>
      <w:r>
        <w:t xml:space="preserve">The</w:t>
      </w:r>
      <w:r>
        <w:t xml:space="preserve"> </w:t>
      </w:r>
      <w:r>
        <w:rPr>
          <w:rStyle w:val="VerbatimChar"/>
        </w:rPr>
        <w:t xml:space="preserve">emptyValue</w:t>
      </w:r>
      <w:r>
        <w:t xml:space="preserve"> </w:t>
      </w:r>
      <w:r>
        <w:t xml:space="preserve">element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 message</w:t>
      </w:r>
      <w:r>
        <w:t xml:space="preserve"> </w:t>
      </w:r>
      <w:r>
        <w:rPr>
          <w:rStyle w:val="VerbatimChar"/>
        </w:rPr>
        <w:t xml:space="preserve">parameters</w:t>
      </w:r>
      <w:r>
        <w:t xml:space="preserve"> </w:t>
      </w:r>
      <w:r>
        <w:t xml:space="preserve">element. It is not permitted to omit a value from the middle of the array, as this would cause misalignment with the parameter definitions. If a value is unavailable, the</w:t>
      </w:r>
      <w:r>
        <w:t xml:space="preserve"> </w:t>
      </w:r>
      <w:r>
        <w:rPr>
          <w:rStyle w:val="VerbatimChar"/>
        </w:rPr>
        <w:t xml:space="preserve">emptyValue</w:t>
      </w:r>
      <w:r>
        <w:t xml:space="preserve"> </w:t>
      </w:r>
      <w:r>
        <w:t xml:space="preserve">element shall be used at that position to maintain correct alignment.</w:t>
      </w:r>
    </w:p>
    <w:bookmarkEnd w:id="65"/>
    <w:bookmarkEnd w:id="66"/>
    <w:bookmarkEnd w:id="67"/>
    <w:bookmarkStart w:id="76" w:name="X6d3be79fdd62b5ac3df4be22b2324fcd18f0d31"/>
    <w:p>
      <w:pPr>
        <w:pStyle w:val="Heading1"/>
      </w:pPr>
      <w:r>
        <w:t xml:space="preserve">Parameter Standard Names</w:t>
      </w:r>
    </w:p>
    <w:p>
      <w:pPr>
        <w:pStyle w:val="FirstParagraph"/>
      </w:pPr>
      <w:r>
        <w:t xml:space="preserve">Standard name binding enables Parameter definitions within a Metadata message to be associated with controlled vocabulary entries from external naming conventions. This allows observation data to be unambiguously interpreted by Hubs and downstream systems without dependence on the Parameter</w:t>
      </w:r>
      <w:r>
        <w:t xml:space="preserve"> </w:t>
      </w:r>
      <w:r>
        <w:rPr>
          <w:rStyle w:val="VerbatimChar"/>
        </w:rPr>
        <w:t xml:space="preserve">longName</w:t>
      </w:r>
      <w:r>
        <w:t xml:space="preserve"> </w:t>
      </w:r>
      <w:r>
        <w:t xml:space="preserve">element, which is a human-readable label and not guaranteed to be unique or machine-interpretable.</w:t>
      </w:r>
    </w:p>
    <w:bookmarkStart w:id="75" w:name="Xb83d80e9cf08478bd63550380a98a40b014163a"/>
    <w:p>
      <w:pPr>
        <w:pStyle w:val="Heading2"/>
      </w:pPr>
      <w:r>
        <w:t xml:space="preserve">Requirements Class "Parameter Standard Names"</w:t>
      </w:r>
    </w:p>
    <w:bookmarkStart w:id="69" w:name="X322101054fd636c32d6869f7cfec83424c5280c"/>
    <w:p>
      <w:pPr>
        <w:pStyle w:val="Heading3"/>
      </w:pPr>
      <w:r>
        <w:t xml:space="preserve">Overview</w:t>
      </w:r>
    </w:p>
    <w:p>
      <w:pPr>
        <w:pStyle w:val="FirstParagraph"/>
      </w:pPr>
      <w:r>
        <w:t xml:space="preserve">This Requirements Class provides requirements for Parameter Standard Names.</w:t>
      </w:r>
    </w:p>
    <w:p>
      <w:pPr>
        <w:pStyle w:val="BodyText"/>
      </w:pPr>
      <w:r>
        <w:t xml:space="preserve">The binding mechanism uses two related fields in the message encoding:</w:t>
      </w:r>
    </w:p>
    <w:p>
      <w:pPr>
        <w:numPr>
          <w:ilvl w:val="0"/>
          <w:numId w:val="1008"/>
        </w:numPr>
      </w:pPr>
      <w:r>
        <w:t xml:space="preserve">Metadata namespaces: declares the naming convention vocabularies in use, associating a short namespace key with a URI that identifies the vocabulary</w:t>
      </w:r>
    </w:p>
    <w:p>
      <w:pPr>
        <w:numPr>
          <w:ilvl w:val="0"/>
          <w:numId w:val="1008"/>
        </w:numPr>
      </w:pPr>
      <w:r>
        <w:t xml:space="preserve">Parameter standardNames: associates each namespace key with the corresponding standard name for the parameter within that vocabulary</w:t>
      </w:r>
    </w:p>
    <w:p>
      <w:pPr>
        <w:pStyle w:val="FirstParagraph"/>
      </w:pPr>
      <w:r>
        <w:t xml:space="preserve">Standard name binding follows a three-level hierarchy of vocabularies, described in Standard name hierarchy. The use of standard names is optional but recommended where machine-to-machine interoperability is required. A Node may bind a single parameter to standard names from multiple vocabularies simultaneously.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8">
              <w:r>
                <w:rPr>
                  <w:rStyle w:val="Hyperlink"/>
                </w:rPr>
                <w:t xml:space="preserve">http://wis.wmo.int/spec/fmde/1/req/parameter-standard-names</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69"/>
    <w:bookmarkStart w:id="70" w:name="X9a2e6e21986a725586c5c1a35dc203f1b93999b"/>
    <w:p>
      <w:pPr>
        <w:pStyle w:val="Heading3"/>
      </w:pPr>
      <w:r>
        <w:t xml:space="preserve">Metadata namespace declaration</w:t>
      </w:r>
    </w:p>
    <w:p>
      <w:pPr>
        <w:pStyle w:val="FirstParagraph"/>
      </w:pPr>
      <w:r>
        <w:t xml:space="preserve">The Metadata message</w:t>
      </w:r>
      <w:r>
        <w:t xml:space="preserve"> </w:t>
      </w:r>
      <w:r>
        <w:rPr>
          <w:rStyle w:val="VerbatimChar"/>
        </w:rPr>
        <w:t xml:space="preserve">namespaces</w:t>
      </w:r>
      <w:r>
        <w:t xml:space="preserve"> </w:t>
      </w:r>
      <w:r>
        <w:t xml:space="preserve">element declares the naming convention vocabularies used by the Node. It is a map from namespace prefix to namespace URI.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/req/parameter-standard-names/declaration</w:t>
            </w:r>
          </w:p>
        </w:tc>
      </w:tr>
      <w:tr>
        <w:tc>
          <w:tcPr/>
          <w:p>
            <w:pPr>
              <w:jc w:val="center"/>
            </w:pPr>
            <w:r>
              <w:t xml:space="preserve">A</w:t>
            </w:r>
          </w:p>
        </w:tc>
        <w:tc>
          <w:tcPr/>
          <w:p>
            <w:pPr>
              <w:jc w:val="left"/>
            </w:pPr>
            <w:r>
              <w:t xml:space="preserve">The Metadata message</w:t>
            </w:r>
            <w:r>
              <w:t xml:space="preserve"> </w:t>
            </w:r>
            <w:r>
              <w:rPr>
                <w:rStyle w:val="VerbatimChar"/>
              </w:rPr>
              <w:t xml:space="preserve">namespaces</w:t>
            </w:r>
            <w:r>
              <w:t xml:space="preserve"> </w:t>
            </w:r>
            <w:r>
              <w:t xml:space="preserve">element SHALL define zero or more namespace maps.</w:t>
            </w:r>
          </w:p>
        </w:tc>
      </w:tr>
      <w:tr>
        <w:tc>
          <w:tcPr/>
          <w:p>
            <w:pPr>
              <w:jc w:val="center"/>
            </w:pPr>
            <w:r>
              <w:t xml:space="preserve">B</w:t>
            </w:r>
          </w:p>
        </w:tc>
        <w:tc>
          <w:tcPr/>
          <w:p>
            <w:pPr>
              <w:jc w:val="left"/>
            </w:pPr>
            <w:r>
              <w:t xml:space="preserve">Each namespace map SHALL consist of a namespace prefix and URI.</w:t>
            </w:r>
          </w:p>
        </w:tc>
      </w:tr>
      <w:tr>
        <w:tc>
          <w:tcPr/>
          <w:p>
            <w:pPr>
              <w:jc w:val="center"/>
            </w:pPr>
            <w:r>
              <w:t xml:space="preserve">C</w:t>
            </w:r>
          </w:p>
        </w:tc>
        <w:tc>
          <w:tcPr/>
          <w:p>
            <w:pPr>
              <w:jc w:val="left"/>
            </w:pPr>
            <w:r>
              <w:t xml:space="preserve">A namespace map prefix SHALL be a non-empty string containing only alphanumeric characters and underscores.</w:t>
            </w:r>
          </w:p>
        </w:tc>
      </w:tr>
      <w:tr>
        <w:tc>
          <w:tcPr/>
          <w:p>
            <w:pPr>
              <w:jc w:val="center"/>
            </w:pPr>
            <w:r>
              <w:t xml:space="preserve">D</w:t>
            </w:r>
          </w:p>
        </w:tc>
        <w:tc>
          <w:tcPr/>
          <w:p>
            <w:pPr>
              <w:jc w:val="left"/>
            </w:pPr>
            <w:r>
              <w:t xml:space="preserve">A namespace map URI SHALL be a resolvable, publicly accessible URI that can be dereferenced.</w:t>
            </w:r>
          </w:p>
        </w:tc>
      </w:tr>
      <w:tr>
        <w:tc>
          <w:tcPr/>
          <w:p>
            <w:pPr>
              <w:jc w:val="center"/>
            </w:pPr>
            <w:r>
              <w:t xml:space="preserve">E</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F</w:t>
            </w:r>
          </w:p>
        </w:tc>
        <w:tc>
          <w:tcPr/>
          <w:p>
            <w:pPr>
              <w:jc w:val="left"/>
            </w:pPr>
            <w:r>
              <w:t xml:space="preserve">The CF namespace URI value SHALL be a URI that resolves to a machine-readable vocabulary server endpoint publishing the CF standard name table.</w:t>
            </w:r>
          </w:p>
        </w:tc>
      </w:tr>
      <w:tr>
        <w:tc>
          <w:tcPr/>
          <w:p>
            <w:pPr>
              <w:jc w:val="center"/>
            </w:pPr>
            <w:r>
              <w:t xml:space="preserve">G</w:t>
            </w:r>
          </w:p>
        </w:tc>
        <w:tc>
          <w:tcPr/>
          <w:p>
            <w:pPr>
              <w:jc w:val="left"/>
            </w:pPr>
            <w:r>
              <w:t xml:space="preserve">The WMO First Mile registry namespace prefix SHALL be declared using the value</w:t>
            </w:r>
            <w:r>
              <w:t xml:space="preserve"> </w:t>
            </w:r>
            <w:r>
              <w:rPr>
                <w:rStyle w:val="VerbatimChar"/>
              </w:rPr>
              <w:t xml:space="preserve">wmo</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/rec/parameter-standard-names/declaration</w:t>
            </w:r>
          </w:p>
        </w:tc>
      </w:tr>
      <w:tr>
        <w:tc>
          <w:tcPr/>
          <w:p>
            <w:pPr>
              <w:jc w:val="center"/>
            </w:pPr>
            <w:r>
              <w:t xml:space="preserve">A</w:t>
            </w:r>
          </w:p>
        </w:tc>
        <w:tc>
          <w:tcPr/>
          <w:p>
            <w:pPr>
              <w:jc w:val="left"/>
            </w:pPr>
            <w:r>
              <w:t xml:space="preserve">For CF conventions, the namespace URI value SHOULD be set to the NERC Vocabulary Server mirror of the CF standard name table (collection P07):</w:t>
            </w:r>
            <w:r>
              <w:t xml:space="preserve"> </w:t>
            </w:r>
            <w:r>
              <w:rPr>
                <w:rStyle w:val="VerbatimChar"/>
              </w:rPr>
              <w:t xml:space="preserve">https://vocab.nerc.ac.uk/collection/P07/current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/per/parameter-standard-names/declaration</w:t>
            </w:r>
          </w:p>
        </w:tc>
      </w:tr>
      <w:tr>
        <w:tc>
          <w:tcPr/>
          <w:p>
            <w:pPr>
              <w:jc w:val="center"/>
            </w:pPr>
            <w:r>
              <w:t xml:space="preserve">A</w:t>
            </w:r>
          </w:p>
        </w:tc>
        <w:tc>
          <w:tcPr/>
          <w:p>
            <w:pPr>
              <w:jc w:val="left"/>
            </w:pPr>
            <w:r>
              <w:t xml:space="preserve">When no standard names are used, the</w:t>
            </w:r>
            <w:r>
              <w:t xml:space="preserve"> </w:t>
            </w:r>
            <w:r>
              <w:rPr>
                <w:rStyle w:val="VerbatimChar"/>
              </w:rPr>
              <w:t xml:space="preserve">namespaces</w:t>
            </w:r>
            <w:r>
              <w:t xml:space="preserve"> </w:t>
            </w:r>
            <w:r>
              <w:t xml:space="preserve">map MAY be either empty or omitted.</w:t>
            </w:r>
          </w:p>
        </w:tc>
      </w:tr>
    </w:tbl>
    <w:bookmarkEnd w:id="70"/>
    <w:bookmarkStart w:id="71" w:name="Xd1c302b8a82dd955e6c97d940af707ea0542cd4"/>
    <w:p>
      <w:pPr>
        <w:pStyle w:val="Heading3"/>
      </w:pPr>
      <w:r>
        <w:t xml:space="preserve">Standard name assignment</w:t>
      </w:r>
    </w:p>
    <w:p>
      <w:pPr>
        <w:pStyle w:val="FirstParagraph"/>
      </w:pPr>
      <w:r>
        <w:t xml:space="preserve">The Parameter message</w:t>
      </w:r>
      <w:r>
        <w:t xml:space="preserve"> </w:t>
      </w:r>
      <w:r>
        <w:rPr>
          <w:rStyle w:val="VerbatimChar"/>
        </w:rPr>
        <w:t xml:space="preserve">standardNames</w:t>
      </w:r>
      <w:r>
        <w:t xml:space="preserve"> </w:t>
      </w:r>
      <w:r>
        <w:t xml:space="preserve">element maps namespace keys to the standard name for that parameter within the corresponding vocabulary. It is a map from namespace key to standard name value.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/req/parameter-standard-names/assignment</w:t>
            </w:r>
          </w:p>
        </w:tc>
      </w:tr>
      <w:tr>
        <w:tc>
          <w:tcPr/>
          <w:p>
            <w:pPr>
              <w:jc w:val="center"/>
            </w:pPr>
            <w:r>
              <w:t xml:space="preserve">A</w:t>
            </w:r>
          </w:p>
        </w:tc>
        <w:tc>
          <w:tcPr/>
          <w:p>
            <w:pPr>
              <w:jc w:val="left"/>
            </w:pPr>
            <w:r>
              <w:t xml:space="preserve">A Node SHALL NOT include a standard name entry for a namespace that is not declared in the corresponding Metadata message.</w:t>
            </w:r>
          </w:p>
        </w:tc>
      </w:tr>
      <w:tr>
        <w:tc>
          <w:tcPr/>
          <w:p>
            <w:pPr>
              <w:jc w:val="center"/>
            </w:pPr>
            <w:r>
              <w:t xml:space="preserve">B</w:t>
            </w:r>
          </w:p>
        </w:tc>
        <w:tc>
          <w:tcPr/>
          <w:p>
            <w:pPr>
              <w:jc w:val="left"/>
            </w:pPr>
            <w:r>
              <w:t xml:space="preserve">Each namespace key SHALL have a corresponding key in the Metadata message</w:t>
            </w:r>
            <w:r>
              <w:t xml:space="preserve"> </w:t>
            </w:r>
            <w:r>
              <w:rPr>
                <w:rStyle w:val="VerbatimChar"/>
              </w:rPr>
              <w:t xml:space="preserve">namespaces</w:t>
            </w:r>
            <w:r>
              <w:t xml:space="preserve"> </w:t>
            </w:r>
            <w:r>
              <w:t xml:space="preserve">set of keys.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/per/parameter-standard-names/assignment</w:t>
            </w:r>
          </w:p>
        </w:tc>
      </w:tr>
      <w:tr>
        <w:tc>
          <w:tcPr/>
          <w:p>
            <w:pPr>
              <w:jc w:val="center"/>
            </w:pPr>
            <w:r>
              <w:t xml:space="preserve">A</w:t>
            </w:r>
          </w:p>
        </w:tc>
        <w:tc>
          <w:tcPr/>
          <w:p>
            <w:pPr>
              <w:jc w:val="left"/>
            </w:pPr>
            <w:r>
              <w:t xml:space="preserve">A parameter MAY carry zero or more standard name entries.</w:t>
            </w:r>
          </w:p>
        </w:tc>
      </w:tr>
    </w:tbl>
    <w:p>
      <w:pPr>
        <w:pStyle w:val="BodyText"/>
      </w:pPr>
      <w:r>
        <w:t xml:space="preserve">Standard name binding is applied in the Parameter message (not the ParameterDefinition message). When a ParameterDefinition message contains multiple Parameter messages, each parameter independently carries its own standard name bindings appropriate for the variable it represents.</w:t>
      </w:r>
    </w:p>
    <w:bookmarkEnd w:id="71"/>
    <w:bookmarkStart w:id="74" w:name="X1f8a267835683c050631ca2bd1f2371d717d77f"/>
    <w:p>
      <w:pPr>
        <w:pStyle w:val="Heading3"/>
      </w:pPr>
      <w:r>
        <w:t xml:space="preserve">Standard name hierarchy</w:t>
      </w:r>
    </w:p>
    <w:p>
      <w:pPr>
        <w:pStyle w:val="FirstParagraph"/>
      </w:pPr>
      <w:r>
        <w:t xml:space="preserve">Standard names are defined at three levels:</w:t>
      </w:r>
    </w:p>
    <w:p>
      <w:pPr>
        <w:numPr>
          <w:ilvl w:val="0"/>
          <w:numId w:val="1009"/>
        </w:numPr>
      </w:pPr>
      <w:r>
        <w:t xml:space="preserve">Level 1: CF Metadata Conventions</w:t>
      </w:r>
    </w:p>
    <w:p>
      <w:pPr>
        <w:numPr>
          <w:ilvl w:val="0"/>
          <w:numId w:val="1009"/>
        </w:numPr>
      </w:pPr>
      <w:r>
        <w:t xml:space="preserve">Level 2: WMO First Mile parameter registry</w:t>
      </w:r>
    </w:p>
    <w:p>
      <w:pPr>
        <w:numPr>
          <w:ilvl w:val="0"/>
          <w:numId w:val="1009"/>
        </w:numPr>
      </w:pPr>
      <w:r>
        <w:t xml:space="preserve">Level 3: Locally managed vocabularies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hyperlink r:id="rId72">
        <w:r>
          <w:rPr>
            <w:rStyle w:val="Hyperlink"/>
          </w:rPr>
          <w:t xml:space="preserve">https://cfconventions.org/Data/cf-standard-names/current/build/cf-standard-name-table.html</w:t>
        </w:r>
      </w:hyperlink>
      <w:r>
        <w:t xml:space="preserve">. CF standard names are lowercase strings with words separated by underscores (e.g., air_temperature, wind_speed, relative_humidity). The CF standard name table at cfconventions.org is the authoritative reference for name validity and definitions, regardless of which vocabulary server URI is used as the namespace identifier.</w:t>
      </w:r>
    </w:p>
    <w:p>
      <w:pPr>
        <w:pStyle w:val="BodyText"/>
      </w:pPr>
      <w:r>
        <w:t xml:space="preserve">Parameters that are not covered by the CF standard name vocabulary but are common to first-mile observation deployments are governed by a centrally managed registry maintained by WMO and hosted at</w:t>
      </w:r>
      <w:r>
        <w:t xml:space="preserve"> </w:t>
      </w:r>
      <w:hyperlink r:id="rId73">
        <w:r>
          <w:rPr>
            <w:rStyle w:val="Hyperlink"/>
          </w:rPr>
          <w:t xml:space="preserve">https://codes.wmo.int</w:t>
        </w:r>
      </w:hyperlink>
      <w:r>
        <w:t xml:space="preserve">.</w:t>
      </w:r>
    </w:p>
    <w:p>
      <w:pPr>
        <w:pStyle w:val="BodyText"/>
      </w:pPr>
      <w:r>
        <w:t xml:space="preserve">A locally managed vocabulary is used where a parameter is not covered by either Level 1 or Level 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/req/parameter-standard-names/hierarchy</w:t>
            </w:r>
          </w:p>
        </w:tc>
      </w:tr>
      <w:tr>
        <w:tc>
          <w:tcPr/>
          <w:p>
            <w:pPr>
              <w:jc w:val="center"/>
            </w:pPr>
            <w:r>
              <w:t xml:space="preserve">A</w:t>
            </w:r>
          </w:p>
        </w:tc>
        <w:tc>
          <w:tcPr/>
          <w:p>
            <w:pPr>
              <w:jc w:val="left"/>
            </w:pPr>
            <w:r>
              <w:t xml:space="preserve">Standard names SHALL be drawn from the following levels, in order of precedence:</w:t>
            </w:r>
          </w:p>
          <w:p>
            <w:pPr>
              <w:numPr>
                <w:ilvl w:val="0"/>
                <w:numId w:val="1010"/>
              </w:numPr>
              <w:jc w:val="left"/>
            </w:pPr>
            <w:r>
              <w:t xml:space="preserve">Level 1: CF Metadata Conventions</w:t>
            </w:r>
          </w:p>
          <w:p>
            <w:pPr>
              <w:numPr>
                <w:ilvl w:val="0"/>
                <w:numId w:val="1010"/>
              </w:numPr>
              <w:jc w:val="left"/>
            </w:pPr>
            <w:r>
              <w:t xml:space="preserve">Level 2: WMO First Mile parameter registry</w:t>
            </w:r>
          </w:p>
          <w:p>
            <w:pPr>
              <w:numPr>
                <w:ilvl w:val="0"/>
                <w:numId w:val="1010"/>
              </w:numPr>
              <w:jc w:val="left"/>
            </w:pPr>
            <w:r>
              <w:t xml:space="preserve">Level 3: Locally managed vocabularies</w:t>
            </w:r>
          </w:p>
        </w:tc>
      </w:tr>
      <w:tr>
        <w:tc>
          <w:tcPr/>
          <w:p>
            <w:pPr>
              <w:jc w:val="center"/>
            </w:pPr>
            <w:r>
              <w:t xml:space="preserve">B</w:t>
            </w:r>
          </w:p>
        </w:tc>
        <w:tc>
          <w:tcPr/>
          <w:p>
            <w:pPr>
              <w:jc w:val="left"/>
            </w:pPr>
            <w:r>
              <w:t xml:space="preserve">Locally managed vocabularies SHALL conform to the FAIR Guiding Principles for scientific data management (Findable, Accessible, Interoperable, Reusable). In particular:</w:t>
            </w:r>
          </w:p>
        </w:tc>
      </w:tr>
      <w:tr>
        <w:tc>
          <w:tcPr/>
          <w:p>
            <w:pPr>
              <w:jc w:val="center"/>
            </w:pPr>
            <w:r>
              <w:t xml:space="preserve">C</w:t>
            </w:r>
          </w:p>
        </w:tc>
        <w:tc>
          <w:tcPr/>
          <w:p>
            <w:pPr>
              <w:jc w:val="left"/>
            </w:pPr>
            <w:r>
              <w:t xml:space="preserve">The vocabulary SHALL be findable via a persistent, unique identifier (the namespace URI).</w:t>
            </w:r>
          </w:p>
        </w:tc>
      </w:tr>
      <w:tr>
        <w:tc>
          <w:tcPr/>
          <w:p>
            <w:pPr>
              <w:jc w:val="center"/>
            </w:pPr>
            <w:r>
              <w:t xml:space="preserve">D</w:t>
            </w:r>
          </w:p>
        </w:tc>
        <w:tc>
          <w:tcPr/>
          <w:p>
            <w:pPr>
              <w:jc w:val="left"/>
            </w:pPr>
            <w:r>
              <w:t xml:space="preserve">The vocabulary SHALL be accessible at that URI to all parties participating in the data exchange.</w:t>
            </w:r>
          </w:p>
        </w:tc>
      </w:tr>
      <w:tr>
        <w:tc>
          <w:tcPr/>
          <w:p>
            <w:pPr>
              <w:jc w:val="center"/>
            </w:pPr>
            <w:r>
              <w:t xml:space="preserve">E</w:t>
            </w:r>
          </w:p>
        </w:tc>
        <w:tc>
          <w:tcPr/>
          <w:p>
            <w:pPr>
              <w:jc w:val="left"/>
            </w:pPr>
            <w:r>
              <w:t xml:space="preserve">The vocabulary SHALL use an open, standardised representation (e.g., SKOS/RDF).</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/rec/parameter-standard-names/hierarchy</w:t>
            </w:r>
          </w:p>
        </w:tc>
      </w:tr>
      <w:tr>
        <w:tc>
          <w:tcPr/>
          <w:p>
            <w:pPr>
              <w:jc w:val="center"/>
            </w:pPr>
            <w:r>
              <w:t xml:space="preserve">A</w:t>
            </w:r>
          </w:p>
        </w:tc>
        <w:tc>
          <w:tcPr/>
          <w:p>
            <w:pPr>
              <w:jc w:val="left"/>
            </w:pPr>
            <w:r>
              <w:t xml:space="preserve">The highest vocabulary SHOULD be used when it provides a suitable standard name for a given parameter.</w:t>
            </w:r>
          </w:p>
        </w:tc>
      </w:tr>
      <w:tr>
        <w:tc>
          <w:tcPr/>
          <w:p>
            <w:pPr>
              <w:jc w:val="center"/>
            </w:pPr>
            <w:r>
              <w:t xml:space="preserve">B</w:t>
            </w:r>
          </w:p>
        </w:tc>
        <w:tc>
          <w:tcPr/>
          <w:p>
            <w:pPr>
              <w:jc w:val="left"/>
            </w:pPr>
            <w:r>
              <w:t xml:space="preserve">Where a CF standard name exists for a parameter, the Node SHOULD use it in preference to any lower-level vocabulary entry.</w:t>
            </w:r>
          </w:p>
        </w:tc>
      </w:tr>
      <w:tr>
        <w:tc>
          <w:tcPr/>
          <w:p>
            <w:pPr>
              <w:jc w:val="center"/>
            </w:pPr>
            <w:r>
              <w:t xml:space="preserve">C</w:t>
            </w:r>
          </w:p>
        </w:tc>
        <w:tc>
          <w:tcPr/>
          <w:p>
            <w:pPr>
              <w:jc w:val="left"/>
            </w:pPr>
            <w:r>
              <w:t xml:space="preserve">Where a parameter is not covered by CF, but a WMO First Mile standard name exists for a parameter, the Node SHOULD use it in preference to any lower-level vocabulary entry.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/per/parameter-standard-names/hierarchy</w:t>
            </w:r>
          </w:p>
        </w:tc>
      </w:tr>
      <w:tr>
        <w:tc>
          <w:tcPr/>
          <w:p>
            <w:pPr>
              <w:jc w:val="center"/>
            </w:pPr>
            <w:r>
              <w:t xml:space="preserve">A</w:t>
            </w:r>
          </w:p>
        </w:tc>
        <w:tc>
          <w:tcPr/>
          <w:p>
            <w:pPr>
              <w:jc w:val="left"/>
            </w:pPr>
            <w:r>
              <w:t xml:space="preserve">Where a parameter is not covered by either of Levels 1 or 2, a Node MAY use a locally managed vocabulary.</w:t>
            </w:r>
          </w:p>
        </w:tc>
      </w:tr>
      <w:tr>
        <w:tc>
          <w:tcPr/>
          <w:p>
            <w:pPr>
              <w:jc w:val="center"/>
            </w:pPr>
            <w:r>
              <w:t xml:space="preserve">B</w:t>
            </w:r>
          </w:p>
        </w:tc>
        <w:tc>
          <w:tcPr/>
          <w:p>
            <w:pPr>
              <w:jc w:val="left"/>
            </w:pPr>
            <w:r>
              <w:t xml:space="preserve">Local namespace entries MAY be included alongside Level 1 or Level 2 standard names.</w:t>
            </w:r>
          </w:p>
        </w:tc>
      </w:tr>
    </w:tbl>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hyperlink r:id="rId73">
        <w:r>
          <w:rPr>
            <w:rStyle w:val="Hyperlink"/>
          </w:rPr>
          <w:t xml:space="preserve">https://codes.wmo.int</w:t>
        </w:r>
      </w:hyperlink>
      <w:r>
        <w:t xml:space="preserve"> </w:t>
      </w:r>
      <w:r>
        <w:t xml:space="preserve">for the current list of registered entries.</w:t>
      </w:r>
    </w:p>
    <w:p>
      <w:pPr>
        <w:pStyle w:val="BodyText"/>
      </w:pPr>
      <w:r>
        <w:t xml:space="preserve">A conformant Hub should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Where a standard name exists at Level 1 or Level 2, that standard name is to be included in the Parameter message standardNames element. Any locally managed entries for the same parameter are supplementary to, not a replacement for, the applicable standard name. // TODO consider making a requirement (but note this is untestable)</w:t>
      </w:r>
    </w:p>
    <w:bookmarkEnd w:id="74"/>
    <w:bookmarkEnd w:id="75"/>
    <w:bookmarkEnd w:id="76"/>
    <w:bookmarkStart w:id="89" w:name="Xe13ae3854e7e1647433e2f6745793dd790f9f65"/>
    <w:p>
      <w:pPr>
        <w:pStyle w:val="Heading1"/>
      </w:pPr>
      <w:r>
        <w:t xml:space="preserve">Transmission</w:t>
      </w:r>
    </w:p>
    <w:p>
      <w:pPr>
        <w:pStyle w:val="FirstParagraph"/>
      </w:pPr>
      <w:r>
        <w:t xml:space="preserve">First Mile messages are transmitted and published according to the workflow defined in this clause.</w:t>
      </w:r>
    </w:p>
    <w:bookmarkStart w:id="88" w:name="Xd90759955ffb88c29314c94143cd27900a7ff40"/>
    <w:p>
      <w:pPr>
        <w:pStyle w:val="Heading2"/>
      </w:pPr>
      <w:r>
        <w:t xml:space="preserve">Requirements Class "Transmission"</w:t>
      </w:r>
    </w:p>
    <w:bookmarkStart w:id="78" w:name="X983c4aa7ef28fb7032ae84e3fd3376f6e50726d"/>
    <w:p>
      <w:pPr>
        <w:pStyle w:val="Heading3"/>
      </w:pPr>
      <w:r>
        <w:t xml:space="preserve">Overview</w:t>
      </w:r>
    </w:p>
    <w:p>
      <w:pPr>
        <w:pStyle w:val="FirstParagraph"/>
      </w:pPr>
      <w:r>
        <w:t xml:space="preserve">This Requirements Class provides requirements for Transmission.</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7">
              <w:r>
                <w:rPr>
                  <w:rStyle w:val="Hyperlink"/>
                </w:rPr>
                <w:t xml:space="preserve">http://wis.wmo.int/spec/fmde/1/req/transmission</w:t>
              </w:r>
            </w:hyperlink>
          </w:p>
        </w:tc>
      </w:tr>
      <w:tr>
        <w:tc>
          <w:tcPr/>
          <w:p>
            <w:pPr>
              <w:jc w:val="left"/>
            </w:pPr>
            <w:r>
              <w:t xml:space="preserve">Target type</w:t>
            </w:r>
          </w:p>
        </w:tc>
        <w:tc>
          <w:tcPr/>
          <w:p>
            <w:pPr>
              <w:jc w:val="left"/>
            </w:pPr>
            <w:r>
              <w:t xml:space="preserve">Transmission</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78"/>
    <w:bookmarkStart w:id="80" w:name="X25e95aefdb2d4fb8c75b602001aef8d2717b74f"/>
    <w:p>
      <w:pPr>
        <w:pStyle w:val="Heading3"/>
      </w:pPr>
      <w:r>
        <w:t xml:space="preserve">Protocol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/req/transmission/protocol</w:t>
            </w:r>
          </w:p>
        </w:tc>
      </w:tr>
      <w:tr>
        <w:tc>
          <w:tcPr/>
          <w:p>
            <w:pPr>
              <w:jc w:val="center"/>
            </w:pPr>
            <w:r>
              <w:t xml:space="preserve">A</w:t>
            </w:r>
          </w:p>
        </w:tc>
        <w:tc>
          <w:tcPr/>
          <w:p>
            <w:pPr>
              <w:jc w:val="left"/>
            </w:pPr>
            <w:r>
              <w:t xml:space="preserve">MQTT SHALL be used for all Publish-Subscribe workflows.</w:t>
            </w:r>
          </w:p>
        </w:tc>
      </w:tr>
      <w:tr>
        <w:tc>
          <w:tcPr/>
          <w:p>
            <w:pPr>
              <w:jc w:val="center"/>
            </w:pPr>
            <w:r>
              <w:t xml:space="preserve">B</w:t>
            </w:r>
          </w:p>
        </w:tc>
        <w:tc>
          <w:tcPr/>
          <w:p>
            <w:pPr>
              <w:jc w:val="left"/>
            </w:pPr>
            <w:r>
              <w:t xml:space="preserve">The version of MQTT used SHALL be</w:t>
            </w:r>
            <w:r>
              <w:t xml:space="preserve"> </w:t>
            </w:r>
            <w:hyperlink r:id="rId79">
              <w:r>
                <w:rPr>
                  <w:rStyle w:val="Hyperlink"/>
                </w:rPr>
                <w:t xml:space="preserve">v5.0.0</w:t>
              </w:r>
            </w:hyperlink>
            <w:r>
              <w:t xml:space="preserve">.</w:t>
            </w:r>
          </w:p>
        </w:tc>
      </w:tr>
      <w:tr>
        <w:tc>
          <w:tcPr/>
          <w:p>
            <w:pPr>
              <w:jc w:val="center"/>
            </w:pPr>
            <w:r>
              <w:t xml:space="preserve">C</w:t>
            </w:r>
          </w:p>
        </w:tc>
        <w:tc>
          <w:tcPr/>
          <w:p>
            <w:pPr>
              <w:jc w:val="left"/>
            </w:pPr>
            <w:r>
              <w:t xml:space="preserve">Message Encodings SHALL be published using a QoS level of</w:t>
            </w:r>
            <w:r>
              <w:t xml:space="preserve"> </w:t>
            </w:r>
            <w:r>
              <w:rPr>
                <w:bCs/>
                <w:b/>
              </w:rPr>
              <w:t xml:space="preserve">2</w:t>
            </w:r>
            <w:r>
              <w:t xml:space="preserve"> </w:t>
            </w:r>
            <w:r>
              <w:t xml:space="preserve">to ensure that they are delivered and received exactly once.</w:t>
            </w:r>
          </w:p>
        </w:tc>
      </w:tr>
      <w:tr>
        <w:tc>
          <w:tcPr/>
          <w:p>
            <w:pPr>
              <w:jc w:val="center"/>
            </w:pPr>
            <w:r>
              <w:t xml:space="preserve">D</w:t>
            </w:r>
          </w:p>
        </w:tc>
        <w:tc>
          <w:tcPr/>
          <w:p>
            <w:pPr>
              <w:jc w:val="left"/>
            </w:pPr>
            <w:r>
              <w:t xml:space="preserve">Client connections to a given MQTT broker SHALL set Receive Maximum to</w:t>
            </w:r>
            <w:r>
              <w:t xml:space="preserve"> </w:t>
            </w:r>
            <w:r>
              <w:rPr>
                <w:bCs/>
                <w:b/>
              </w:rPr>
              <w:t xml:space="preserve">1</w:t>
            </w:r>
            <w:r>
              <w:t xml:space="preserve"> </w:t>
            </w:r>
            <w:r>
              <w:t xml:space="preserve">when establishing the session.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/rec/transmission/protocol</w:t>
            </w:r>
          </w:p>
        </w:tc>
      </w:tr>
      <w:tr>
        <w:tc>
          <w:tcPr/>
          <w:p>
            <w:pPr>
              <w:jc w:val="center"/>
            </w:pPr>
            <w:r>
              <w:t xml:space="preserve">A</w:t>
            </w:r>
          </w:p>
        </w:tc>
        <w:tc>
          <w:tcPr/>
          <w:p>
            <w:pPr>
              <w:jc w:val="left"/>
            </w:pPr>
            <w:r>
              <w:t xml:space="preserve">To improve the overall level of the First Mile ecosystem, the secure version of the MQTT protocol SHOULD be implemented (in which case a valid certificate is required).</w:t>
            </w:r>
          </w:p>
        </w:tc>
      </w:tr>
      <w:tr>
        <w:tc>
          <w:tcPr/>
          <w:p>
            <w:pPr>
              <w:jc w:val="center"/>
            </w:pPr>
            <w:r>
              <w:t xml:space="preserve">B</w:t>
            </w:r>
          </w:p>
        </w:tc>
        <w:tc>
          <w:tcPr/>
          <w:p>
            <w:pPr>
              <w:jc w:val="left"/>
            </w:pPr>
            <w:r>
              <w:t xml:space="preserve">The following ports SHOULD be used for TCP provisioning:</w:t>
            </w:r>
          </w:p>
          <w:p>
            <w:pPr>
              <w:numPr>
                <w:ilvl w:val="0"/>
                <w:numId w:val="1011"/>
              </w:numPr>
              <w:jc w:val="left"/>
            </w:pPr>
            <w:r>
              <w:t xml:space="preserve">non-secure: 1883</w:t>
            </w:r>
          </w:p>
          <w:p>
            <w:pPr>
              <w:numPr>
                <w:ilvl w:val="0"/>
                <w:numId w:val="1011"/>
              </w:numPr>
              <w:jc w:val="left"/>
            </w:pPr>
            <w:r>
              <w:t xml:space="preserve">secure: 8883</w:t>
            </w:r>
          </w:p>
          <w:p>
            <w:pPr>
              <w:numPr>
                <w:ilvl w:val="0"/>
                <w:numId w:val="1011"/>
              </w:numPr>
              <w:jc w:val="left"/>
            </w:pPr>
            <w:r>
              <w:t xml:space="preserve">WebSockets: 443</w:t>
            </w:r>
          </w:p>
        </w:tc>
      </w:tr>
    </w:tbl>
    <w:bookmarkEnd w:id="80"/>
    <w:bookmarkStart w:id="81" w:name="X02db7699fa6ee24d03ecc88f45942d5d78f06b9"/>
    <w:p>
      <w:pPr>
        <w:pStyle w:val="Heading3"/>
      </w:pPr>
      <w:r>
        <w:t xml:space="preserve">Topic Hierarchy</w:t>
      </w:r>
    </w:p>
    <w:p>
      <w:pPr>
        <w:pStyle w:val="FirstParagraph"/>
      </w:pPr>
      <w:r>
        <w:t xml:space="preserve">The First Mile Topic Hierarchy is composed of five mandatory levels. The representation is encoded as a simple text string of values at each topic level, separated by a slash (</w:t>
      </w:r>
      <w:r>
        <w:rPr>
          <w:rStyle w:val="VerbatimChar"/>
        </w:rPr>
        <w:t xml:space="preserve">/</w:t>
      </w:r>
      <w:r>
        <w:t xml:space="preserve">).</w:t>
      </w:r>
    </w:p>
    <w:p>
      <w:pPr>
        <w:pStyle w:val="BodyText"/>
      </w:pPr>
      <w:r>
        <w:rPr>
          <w:iCs/>
          <w:i/>
        </w:rPr>
        <w:t xml:space="preserve">Examples</w:t>
      </w:r>
      <w:r>
        <w:t xml:space="preserve">:</w:t>
      </w:r>
    </w:p>
    <w:p>
      <w:pPr>
        <w:pStyle w:val="BodyText"/>
      </w:pPr>
      <w:r>
        <w:rPr>
          <w:rStyle w:val="VerbatimChar"/>
        </w:rPr>
        <w:t xml:space="preserve">firstmile/a/my-group/station-001/data</w:t>
      </w:r>
    </w:p>
    <w:p>
      <w:pPr>
        <w:pStyle w:val="BodyText"/>
      </w:pPr>
      <w:r>
        <w:rPr>
          <w:rStyle w:val="VerbatimChar"/>
        </w:rPr>
        <w:t xml:space="preserve">firstmile/a/my-group/station-001/metadata</w:t>
      </w:r>
    </w:p>
    <w:p>
      <w:pPr>
        <w:pStyle w:val="BodyText"/>
      </w:pPr>
      <w:r>
        <w:rPr>
          <w:rStyle w:val="VerbatimChar"/>
        </w:rPr>
        <w:t xml:space="preserve">firstmile/a/relief-ops/camp-alpha/data</w:t>
      </w:r>
    </w:p>
    <w:p>
      <w:pPr>
        <w:pStyle w:val="BodyText"/>
      </w:pPr>
      <w:r>
        <w:rPr>
          <w:rStyle w:val="VerbatimChar"/>
        </w:rPr>
        <w:t xml:space="preserve">firstmile/a/relief-ops/camp-alpha/metadata</w:t>
      </w:r>
    </w:p>
    <w:p>
      <w:pPr>
        <w:pStyle w:val="BodyText"/>
      </w:pPr>
      <w:r>
        <w:t xml:space="preserve">The table below provides an overview of the topic levels.</w:t>
      </w:r>
    </w:p>
    <w:p>
      <w:pPr>
        <w:pStyle w:val="TableCaption"/>
      </w:pPr>
      <w:r>
        <w:t xml:space="preserve">FMTH topic levels</w:t>
      </w:r>
    </w:p>
    <w:tbl>
      <w:tblPr>
        <w:tblStyle w:val="Table"/>
        <w:tblW w:type="pct" w:w="5000"/>
        <w:tblLook w:firstRow="1" w:lastRow="0" w:firstColumn="0" w:lastColumn="0" w:noHBand="0" w:noVBand="0" w:val="0020"/>
        <w:jc w:val="start"/>
        <w:tblCaption w:val="FMTH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Fixed value of</w:t>
            </w:r>
            <w:r>
              <w:t xml:space="preserve"> </w:t>
            </w:r>
            <w:r>
              <w:rPr>
                <w:rStyle w:val="VerbatimChar"/>
              </w:rPr>
              <w:t xml:space="preserve">firstmile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w:t>
            </w:r>
            <w:r>
              <w:t xml:space="preserve"> </w:t>
            </w:r>
            <w:r>
              <w:rPr>
                <w:rStyle w:val="VerbatimChar"/>
              </w:rPr>
              <w:t xml:space="preserve">a</w:t>
            </w:r>
          </w:p>
        </w:tc>
      </w:tr>
      <w:tr>
        <w:tc>
          <w:tcPr/>
          <w:p>
            <w:pPr>
              <w:jc w:val="left"/>
            </w:pPr>
            <w:r>
              <w:t xml:space="preserve">3</w:t>
            </w:r>
          </w:p>
        </w:tc>
        <w:tc>
          <w:tcPr/>
          <w:p>
            <w:pPr>
              <w:jc w:val="left"/>
            </w:pPr>
            <w:r>
              <w:t xml:space="preserve">group-id</w:t>
            </w:r>
          </w:p>
        </w:tc>
        <w:tc>
          <w:tcPr/>
          <w:p>
            <w:pPr>
              <w:jc w:val="left"/>
            </w:pPr>
            <w:r>
              <w:t xml:space="preserve">Identifier for the group or organisational entity responsible for one or more first-mile nodes</w:t>
            </w:r>
          </w:p>
        </w:tc>
      </w:tr>
      <w:tr>
        <w:tc>
          <w:tcPr/>
          <w:p>
            <w:pPr>
              <w:jc w:val="left"/>
            </w:pPr>
            <w:r>
              <w:t xml:space="preserve">4</w:t>
            </w:r>
          </w:p>
        </w:tc>
        <w:tc>
          <w:tcPr/>
          <w:p>
            <w:pPr>
              <w:jc w:val="left"/>
            </w:pPr>
            <w:r>
              <w:t xml:space="preserve">node-id</w:t>
            </w:r>
          </w:p>
        </w:tc>
        <w:tc>
          <w:tcPr/>
          <w:p>
            <w:pPr>
              <w:jc w:val="left"/>
            </w:pPr>
            <w:r>
              <w:t xml:space="preserve">Identifier for the individual first-mile node (e.g. gateway, automatic weather station, data logger)</w:t>
            </w:r>
          </w:p>
        </w:tc>
      </w:tr>
      <w:tr>
        <w:tc>
          <w:tcPr/>
          <w:p>
            <w:pPr>
              <w:jc w:val="left"/>
            </w:pPr>
            <w:r>
              <w:t xml:space="preserve">5</w:t>
            </w:r>
          </w:p>
        </w:tc>
        <w:tc>
          <w:tcPr/>
          <w:p>
            <w:pPr>
              <w:jc w:val="left"/>
            </w:pPr>
            <w:r>
              <w:t xml:space="preserve">notification-type</w:t>
            </w:r>
          </w:p>
        </w:tc>
        <w:tc>
          <w:tcPr/>
          <w:p>
            <w:pPr>
              <w:jc w:val="left"/>
            </w:pPr>
            <w:r>
              <w:t xml:space="preserve">The type of notification: either</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81"/>
    <w:bookmarkStart w:id="82" w:name="Xa3fa6ff4c80d85b7365d9bac9806ab0f7f77e49"/>
    <w:p>
      <w:pPr>
        <w:pStyle w:val="Heading3"/>
      </w:pPr>
      <w:r>
        <w:t xml:space="preserve">Publishing</w:t>
      </w:r>
    </w:p>
    <w:p>
      <w:pPr>
        <w:pStyle w:val="FirstParagraph"/>
      </w:pPr>
      <w:r>
        <w:t xml:space="preserve">Considering the solution used to exchange data, it is important to ensure that Metadata messages are always available at the Hub before any data is published. This is to ensure that client systems can access the necessary Metadata messages to interpret Data messages accordingly.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/req/transmission/publishing</w:t>
            </w:r>
          </w:p>
        </w:tc>
      </w:tr>
      <w:tr>
        <w:tc>
          <w:tcPr/>
          <w:p>
            <w:pPr>
              <w:jc w:val="center"/>
            </w:pPr>
            <w:r>
              <w:t xml:space="preserve">A</w:t>
            </w:r>
          </w:p>
        </w:tc>
        <w:tc>
          <w:tcPr/>
          <w:p>
            <w:pPr>
              <w:jc w:val="left"/>
            </w:pPr>
            <w:r>
              <w:t xml:space="preserve">A Data or Metadata message SHALL NOT be published with a topic that is not defined in the FMTH.</w:t>
            </w:r>
          </w:p>
        </w:tc>
      </w:tr>
      <w:tr>
        <w:tc>
          <w:tcPr/>
          <w:p>
            <w:pPr>
              <w:jc w:val="center"/>
            </w:pPr>
            <w:r>
              <w:t xml:space="preserve">B</w:t>
            </w:r>
          </w:p>
        </w:tc>
        <w:tc>
          <w:tcPr/>
          <w:p>
            <w:pPr>
              <w:jc w:val="left"/>
            </w:pPr>
            <w:r>
              <w:t xml:space="preserve">A Metadata message SHALL be published at exactly the level of the notification type (</w:t>
            </w:r>
            <w:r>
              <w:rPr>
                <w:rStyle w:val="VerbatimChar"/>
              </w:rPr>
              <w:t xml:space="preserve">metadata</w:t>
            </w:r>
            <w:r>
              <w:t xml:space="preserve">).</w:t>
            </w:r>
          </w:p>
        </w:tc>
      </w:tr>
      <w:tr>
        <w:tc>
          <w:tcPr/>
          <w:p>
            <w:pPr>
              <w:jc w:val="center"/>
            </w:pPr>
            <w:r>
              <w:t xml:space="preserve">C</w:t>
            </w:r>
          </w:p>
        </w:tc>
        <w:tc>
          <w:tcPr/>
          <w:p>
            <w:pPr>
              <w:jc w:val="left"/>
            </w:pPr>
            <w:r>
              <w:t xml:space="preserve">A Data message SHALL be published at exactly the level of the notification type (</w:t>
            </w:r>
            <w:r>
              <w:rPr>
                <w:rStyle w:val="VerbatimChar"/>
              </w:rPr>
              <w:t xml:space="preserve">data</w:t>
            </w:r>
            <w:r>
              <w:t xml:space="preserve">).</w:t>
            </w:r>
          </w:p>
        </w:tc>
      </w:tr>
      <w:tr>
        <w:tc>
          <w:tcPr/>
          <w:p>
            <w:pPr>
              <w:jc w:val="center"/>
            </w:pPr>
            <w:r>
              <w:t xml:space="preserve">D</w:t>
            </w:r>
          </w:p>
        </w:tc>
        <w:tc>
          <w:tcPr/>
          <w:p>
            <w:pPr>
              <w:jc w:val="left"/>
            </w:pPr>
            <w:r>
              <w:t xml:space="preserve">Metadata messages SHALL be published before any data notifications for the same Node id are published. This ensures that consuming systems have access to the necessary metadata to interpret the data correctly.</w:t>
            </w:r>
          </w:p>
        </w:tc>
      </w:tr>
      <w:tr>
        <w:tc>
          <w:tcPr/>
          <w:p>
            <w:pPr>
              <w:jc w:val="center"/>
            </w:pPr>
            <w:r>
              <w:t xml:space="preserve">E</w:t>
            </w:r>
          </w:p>
        </w:tc>
        <w:tc>
          <w:tcPr/>
          <w:p>
            <w:pPr>
              <w:jc w:val="left"/>
            </w:pPr>
            <w:r>
              <w:t xml:space="preserve">Metadata messages SHALL be published with the retain flag set to</w:t>
            </w:r>
            <w:r>
              <w:t xml:space="preserve"> </w:t>
            </w:r>
            <w:r>
              <w:rPr>
                <w:bCs/>
                <w:b/>
              </w:rPr>
              <w:t xml:space="preserve">true</w:t>
            </w:r>
            <w:r>
              <w:t xml:space="preserve">.</w:t>
            </w:r>
          </w:p>
        </w:tc>
      </w:tr>
      <w:tr>
        <w:tc>
          <w:tcPr/>
          <w:p>
            <w:pPr>
              <w:jc w:val="center"/>
            </w:pPr>
            <w:r>
              <w:t xml:space="preserve">F</w:t>
            </w:r>
          </w:p>
        </w:tc>
        <w:tc>
          <w:tcPr/>
          <w:p>
            <w:pPr>
              <w:jc w:val="left"/>
            </w:pPr>
            <w:r>
              <w:t xml:space="preserve">Metadata messages SHALL be published at least once every 24 hours and immediately after any change in the Node configuration that would affect the Metadata message content.</w:t>
            </w:r>
          </w:p>
        </w:tc>
      </w:tr>
    </w:tbl>
    <w:bookmarkEnd w:id="82"/>
    <w:bookmarkStart w:id="83" w:name="Xf529e0bc96b4772994bedaf4bdfcd80cde27ca5"/>
    <w:p>
      <w:pPr>
        <w:pStyle w:val="Heading3"/>
      </w:pPr>
      <w:r>
        <w:t xml:space="preserve">Management</w:t>
      </w:r>
    </w:p>
    <w:p>
      <w:pPr>
        <w:pStyle w:val="FirstParagraph"/>
      </w:pPr>
      <w:r>
        <w:t xml:space="preserve">Various levels of the FMTH are managed differently in order to maintain stable operations and allow for flexibility.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17</w:t>
            </w:r>
          </w:p>
        </w:tc>
        <w:tc>
          <w:tcPr/>
          <w:p>
            <w:pPr>
              <w:jc w:val="left"/>
            </w:pPr>
            <w:r>
              <w:rPr>
                <w:bCs/>
                <w:b/>
              </w:rPr>
              <w:t xml:space="preserve">/req/transmission/management</w:t>
            </w:r>
          </w:p>
        </w:tc>
      </w:tr>
      <w:tr>
        <w:tc>
          <w:tcPr/>
          <w:p>
            <w:pPr>
              <w:jc w:val="center"/>
            </w:pPr>
            <w:r>
              <w:t xml:space="preserve">A</w:t>
            </w:r>
          </w:p>
        </w:tc>
        <w:tc>
          <w:tcPr/>
          <w:p>
            <w:pPr>
              <w:jc w:val="left"/>
            </w:pPr>
            <w:r>
              <w:t xml:space="preserve">Levels 1, 2 and 5 of the FMTH SHALL be determined by WMO.</w:t>
            </w:r>
          </w:p>
        </w:tc>
      </w:tr>
      <w:tr>
        <w:tc>
          <w:tcPr/>
          <w:p>
            <w:pPr>
              <w:jc w:val="center"/>
            </w:pPr>
            <w:r>
              <w:t xml:space="preserve">B</w:t>
            </w:r>
          </w:p>
        </w:tc>
        <w:tc>
          <w:tcPr/>
          <w:p>
            <w:pPr>
              <w:jc w:val="left"/>
            </w:pPr>
            <w:r>
              <w:t xml:space="preserve">Levels 3 and 4 of the FMTH SHALL be determined and maintained by the operator of the first-mile broker.</w:t>
            </w:r>
          </w:p>
        </w:tc>
      </w:tr>
    </w:tbl>
    <w:bookmarkEnd w:id="83"/>
    <w:bookmarkStart w:id="84" w:name="X3f596c2a9b37176c0cac1294658bee0fb0ce144"/>
    <w:p>
      <w:pPr>
        <w:pStyle w:val="Heading3"/>
      </w:pPr>
      <w:r>
        <w:t xml:space="preserve">Versioning</w:t>
      </w:r>
    </w:p>
    <w:p>
      <w:pPr>
        <w:pStyle w:val="FirstParagraph"/>
      </w:pPr>
      <w:r>
        <w:t xml:space="preserve">The FMTH version supports change management and transition for operators and consuming systems.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/req/transmission/versioning</w:t>
            </w:r>
          </w:p>
        </w:tc>
      </w:tr>
      <w:tr>
        <w:tc>
          <w:tcPr/>
          <w:p>
            <w:pPr>
              <w:jc w:val="center"/>
            </w:pPr>
            <w:r>
              <w:t xml:space="preserve">A</w:t>
            </w:r>
          </w:p>
        </w:tc>
        <w:tc>
          <w:tcPr/>
          <w:p>
            <w:pPr>
              <w:jc w:val="left"/>
            </w:pPr>
            <w:r>
              <w:t xml:space="preserve">A minor version SHALL NOT result in any changes to the version level.</w:t>
            </w:r>
          </w:p>
        </w:tc>
      </w:tr>
      <w:tr>
        <w:tc>
          <w:tcPr/>
          <w:p>
            <w:pPr>
              <w:jc w:val="center"/>
            </w:pPr>
            <w:r>
              <w:t xml:space="preserve">B</w:t>
            </w:r>
          </w:p>
        </w:tc>
        <w:tc>
          <w:tcPr/>
          <w:p>
            <w:pPr>
              <w:jc w:val="left"/>
            </w:pPr>
            <w:r>
              <w:t xml:space="preserve">A major version SHALL result in a change to the version level (for example, a becomes b).</w:t>
            </w:r>
          </w:p>
        </w:tc>
      </w:tr>
      <w:tr>
        <w:tc>
          <w:tcPr/>
          <w:p>
            <w:pPr>
              <w:jc w:val="center"/>
            </w:pPr>
            <w:r>
              <w:t xml:space="preserve">C</w:t>
            </w:r>
          </w:p>
        </w:tc>
        <w:tc>
          <w:tcPr/>
          <w:p>
            <w:pPr>
              <w:jc w:val="left"/>
            </w:pPr>
            <w:r>
              <w:t xml:space="preserve">Addition of a topic at any level SHALL NOT result in any version update.</w:t>
            </w:r>
          </w:p>
        </w:tc>
      </w:tr>
      <w:tr>
        <w:tc>
          <w:tcPr/>
          <w:p>
            <w:pPr>
              <w:jc w:val="center"/>
            </w:pPr>
            <w:r>
              <w:t xml:space="preserve">D</w:t>
            </w:r>
          </w:p>
        </w:tc>
        <w:tc>
          <w:tcPr/>
          <w:p>
            <w:pPr>
              <w:jc w:val="left"/>
            </w:pPr>
            <w:r>
              <w:t xml:space="preserve">Removal of a topic at any level SHALL result in a major version update.</w:t>
            </w:r>
          </w:p>
        </w:tc>
      </w:tr>
      <w:tr>
        <w:tc>
          <w:tcPr/>
          <w:p>
            <w:pPr>
              <w:jc w:val="center"/>
            </w:pPr>
            <w:r>
              <w:t xml:space="preserve">E</w:t>
            </w:r>
          </w:p>
        </w:tc>
        <w:tc>
          <w:tcPr/>
          <w:p>
            <w:pPr>
              <w:jc w:val="left"/>
            </w:pPr>
            <w:r>
              <w:t xml:space="preserve">Renaming of a topic at any level SHALL result in a major version update.</w:t>
            </w:r>
          </w:p>
        </w:tc>
      </w:tr>
      <w:tr>
        <w:tc>
          <w:tcPr/>
          <w:p>
            <w:pPr>
              <w:jc w:val="center"/>
            </w:pPr>
            <w:r>
              <w:t xml:space="preserve">F</w:t>
            </w:r>
          </w:p>
        </w:tc>
        <w:tc>
          <w:tcPr/>
          <w:p>
            <w:pPr>
              <w:jc w:val="left"/>
            </w:pPr>
            <w:r>
              <w:t xml:space="preserve">A change in the structure of the topic hierarchy SHALL result in a major version update.</w:t>
            </w:r>
          </w:p>
        </w:tc>
      </w:tr>
      <w:tr>
        <w:tc>
          <w:tcPr/>
          <w:p>
            <w:pPr>
              <w:jc w:val="center"/>
            </w:pPr>
            <w:r>
              <w:t xml:space="preserve">G</w:t>
            </w:r>
          </w:p>
        </w:tc>
        <w:tc>
          <w:tcPr/>
          <w:p>
            <w:pPr>
              <w:jc w:val="left"/>
            </w:pPr>
            <w:r>
              <w:t xml:space="preserve">A renaming or removal in the Message Encoding SHALL result in a major version update.</w:t>
            </w:r>
          </w:p>
        </w:tc>
      </w:tr>
      <w:tr>
        <w:tc>
          <w:tcPr/>
          <w:p>
            <w:pPr>
              <w:jc w:val="center"/>
            </w:pPr>
            <w:r>
              <w:t xml:space="preserve">H</w:t>
            </w:r>
          </w:p>
        </w:tc>
        <w:tc>
          <w:tcPr/>
          <w:p>
            <w:pPr>
              <w:jc w:val="left"/>
            </w:pPr>
            <w:r>
              <w:t xml:space="preserve">A new topic SHALL NOT result in any version update.</w:t>
            </w:r>
          </w:p>
        </w:tc>
      </w:tr>
      <w:tr>
        <w:tc>
          <w:tcPr/>
          <w:p>
            <w:pPr>
              <w:jc w:val="center"/>
            </w:pPr>
            <w:r>
              <w:t xml:space="preserve">I</w:t>
            </w:r>
          </w:p>
        </w:tc>
        <w:tc>
          <w:tcPr/>
          <w:p>
            <w:pPr>
              <w:jc w:val="left"/>
            </w:pPr>
            <w:r>
              <w:t xml:space="preserve">Any changes to group-id or node-id topics SHALL NOT result in any version update.</w:t>
            </w:r>
          </w:p>
        </w:tc>
      </w:tr>
    </w:tbl>
    <w:bookmarkEnd w:id="84"/>
    <w:bookmarkStart w:id="86" w:name="Xe43ef194bc85e48db104c895132ffd6de7a19e4"/>
    <w:p>
      <w:pPr>
        <w:pStyle w:val="Heading3"/>
      </w:pPr>
      <w:r>
        <w:t xml:space="preserve">Conventions</w:t>
      </w:r>
    </w:p>
    <w:p>
      <w:pPr>
        <w:pStyle w:val="FirstParagraph"/>
      </w:pPr>
      <w:r>
        <w:t xml:space="preserve">All levels of the topic hierarchy are defined in a consistent manner to support a normalised and predictable structure.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19</w:t>
            </w:r>
          </w:p>
        </w:tc>
        <w:tc>
          <w:tcPr/>
          <w:p>
            <w:pPr>
              <w:jc w:val="left"/>
            </w:pPr>
            <w:r>
              <w:rPr>
                <w:bCs/>
                <w:b/>
              </w:rPr>
              <w:t xml:space="preserve">/req/transmission/conventions</w:t>
            </w:r>
          </w:p>
        </w:tc>
      </w:tr>
      <w:tr>
        <w:tc>
          <w:tcPr/>
          <w:p>
            <w:pPr>
              <w:jc w:val="center"/>
            </w:pPr>
            <w:r>
              <w:t xml:space="preserve">A</w:t>
            </w:r>
          </w:p>
        </w:tc>
        <w:tc>
          <w:tcPr/>
          <w:p>
            <w:pPr>
              <w:jc w:val="left"/>
            </w:pPr>
            <w:r>
              <w:t xml:space="preserve">Topic level definitions SHALL be lowercase.</w:t>
            </w:r>
          </w:p>
        </w:tc>
      </w:tr>
      <w:tr>
        <w:tc>
          <w:tcPr/>
          <w:p>
            <w:pPr>
              <w:jc w:val="center"/>
            </w:pPr>
            <w:r>
              <w:t xml:space="preserve">B</w:t>
            </w:r>
          </w:p>
        </w:tc>
        <w:tc>
          <w:tcPr/>
          <w:p>
            <w:pPr>
              <w:jc w:val="left"/>
            </w:pPr>
            <w:r>
              <w:t xml:space="preserve">Topic level definitions SHALL be encoded in</w:t>
            </w:r>
            <w:r>
              <w:t xml:space="preserve"> </w:t>
            </w:r>
            <w:hyperlink r:id="rId85">
              <w:r>
                <w:rPr>
                  <w:rStyle w:val="Hyperlink"/>
                </w:rPr>
                <w:t xml:space="preserve">IRA T.50</w:t>
              </w:r>
            </w:hyperlink>
            <w:r>
              <w:t xml:space="preserve">.</w:t>
            </w:r>
          </w:p>
        </w:tc>
      </w:tr>
      <w:tr>
        <w:tc>
          <w:tcPr/>
          <w:p>
            <w:pPr>
              <w:jc w:val="center"/>
            </w:pPr>
            <w:r>
              <w:t xml:space="preserve">C</w:t>
            </w:r>
          </w:p>
        </w:tc>
        <w:tc>
          <w:tcPr/>
          <w:p>
            <w:pPr>
              <w:jc w:val="left"/>
            </w:pPr>
            <w:r>
              <w:t xml:space="preserve">Topic level definitions SHALL NOT utilize dots (</w:t>
            </w:r>
            <w:r>
              <w:rPr>
                <w:rStyle w:val="VerbatimChar"/>
              </w:rPr>
              <w:t xml:space="preserve">.</w:t>
            </w:r>
            <w:r>
              <w:t xml:space="preserve">).</w:t>
            </w:r>
          </w:p>
        </w:tc>
      </w:tr>
      <w:tr>
        <w:tc>
          <w:tcPr/>
          <w:p>
            <w:pPr>
              <w:jc w:val="center"/>
            </w:pPr>
            <w:r>
              <w:t xml:space="preserve">D</w:t>
            </w:r>
          </w:p>
        </w:tc>
        <w:tc>
          <w:tcPr/>
          <w:p>
            <w:pPr>
              <w:jc w:val="left"/>
            </w:pPr>
            <w:r>
              <w:t xml:space="preserve">Topic level definitions SHALL utilize dashes (</w:t>
            </w:r>
            <w:r>
              <w:rPr>
                <w:rStyle w:val="VerbatimChar"/>
              </w:rPr>
              <w:t xml:space="preserve">-</w:t>
            </w:r>
            <w:r>
              <w:t xml:space="preserve">) to separate words (such as</w:t>
            </w:r>
            <w:r>
              <w:t xml:space="preserve"> </w:t>
            </w:r>
            <w:r>
              <w:rPr>
                <w:rStyle w:val="VerbatimChar"/>
              </w:rPr>
              <w:t xml:space="preserve">sea-ice</w:t>
            </w:r>
            <w:r>
              <w:t xml:space="preserve">).</w:t>
            </w:r>
          </w:p>
        </w:tc>
      </w:tr>
      <w:tr>
        <w:tc>
          <w:tcPr/>
          <w:p>
            <w:pPr>
              <w:jc w:val="center"/>
            </w:pPr>
            <w:r>
              <w:t xml:space="preserve">E</w:t>
            </w:r>
          </w:p>
        </w:tc>
        <w:tc>
          <w:tcPr/>
          <w:p>
            <w:pPr>
              <w:jc w:val="left"/>
            </w:pPr>
            <w:r>
              <w:t xml:space="preserve">All topic level definitions at a given level SHALL be unique.</w:t>
            </w:r>
          </w:p>
        </w:tc>
      </w:tr>
      <w:tr>
        <w:tc>
          <w:tcPr/>
          <w:p>
            <w:pPr>
              <w:jc w:val="center"/>
            </w:pPr>
            <w:r>
              <w:t xml:space="preserve">F</w:t>
            </w:r>
          </w:p>
        </w:tc>
        <w:tc>
          <w:tcPr/>
          <w:p>
            <w:pPr>
              <w:jc w:val="left"/>
            </w:pPr>
            <w:r>
              <w:t xml:space="preserve">The topic structure levels imply a fixed sequence and SHALL NOT be re-ordered.</w:t>
            </w:r>
          </w:p>
        </w:tc>
      </w:tr>
    </w:tbl>
    <w:bookmarkEnd w:id="86"/>
    <w:bookmarkStart w:id="87" w:name="X6afe1f7d5d738d3af1498c7bffb69b1b808c68c"/>
    <w:p>
      <w:pPr>
        <w:pStyle w:val="Heading3"/>
      </w:pPr>
      <w:r>
        <w:t xml:space="preserve">Group and Node identification</w:t>
      </w:r>
    </w:p>
    <w:p>
      <w:pPr>
        <w:pStyle w:val="FirstParagraph"/>
      </w:pPr>
      <w:r>
        <w:t xml:space="preserve">The group-id (level 3) identifies an organisational entity (such as an agency, project, or operational cluster) that is responsible for one or more first-mile nodes.</w:t>
      </w:r>
    </w:p>
    <w:p>
      <w:pPr>
        <w:pStyle w:val="BodyText"/>
      </w:pPr>
      <w:r>
        <w:t xml:space="preserve">The node-id (level 4) identifies a specific first-mile node within the group.</w:t>
      </w:r>
    </w:p>
    <w:p>
      <w:pPr>
        <w:pStyle w:val="BodyText"/>
      </w:pPr>
      <w:r>
        <w:t xml:space="preserve">Together, group-id and node-id form the address of a first-mile data source within the FMTH.</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20</w:t>
            </w:r>
          </w:p>
        </w:tc>
        <w:tc>
          <w:tcPr/>
          <w:p>
            <w:pPr>
              <w:jc w:val="left"/>
            </w:pPr>
            <w:r>
              <w:rPr>
                <w:bCs/>
                <w:b/>
              </w:rPr>
              <w:t xml:space="preserve">/req/transmission/group_node_id</w:t>
            </w:r>
          </w:p>
        </w:tc>
      </w:tr>
      <w:tr>
        <w:tc>
          <w:tcPr/>
          <w:p>
            <w:pPr>
              <w:jc w:val="center"/>
            </w:pPr>
            <w:r>
              <w:t xml:space="preserve">A</w:t>
            </w:r>
          </w:p>
        </w:tc>
        <w:tc>
          <w:tcPr/>
          <w:p>
            <w:pPr>
              <w:jc w:val="left"/>
            </w:pPr>
            <w:r>
              <w:t xml:space="preserve">A group-id or node-id SHALL consist only of lowercase ASCII alphanumeric characters and hyphens (-).</w:t>
            </w:r>
          </w:p>
        </w:tc>
      </w:tr>
      <w:tr>
        <w:tc>
          <w:tcPr/>
          <w:p>
            <w:pPr>
              <w:jc w:val="center"/>
            </w:pPr>
            <w:r>
              <w:t xml:space="preserve">B</w:t>
            </w:r>
          </w:p>
        </w:tc>
        <w:tc>
          <w:tcPr/>
          <w:p>
            <w:pPr>
              <w:jc w:val="left"/>
            </w:pPr>
            <w:r>
              <w:t xml:space="preserve">A group-id or node-id SHALL NOT begin or end with a hyphen.</w:t>
            </w:r>
          </w:p>
        </w:tc>
      </w:tr>
      <w:tr>
        <w:tc>
          <w:tcPr/>
          <w:p>
            <w:pPr>
              <w:jc w:val="center"/>
            </w:pPr>
            <w:r>
              <w:t xml:space="preserve">C</w:t>
            </w:r>
          </w:p>
        </w:tc>
        <w:tc>
          <w:tcPr/>
          <w:p>
            <w:pPr>
              <w:jc w:val="left"/>
            </w:pPr>
            <w:r>
              <w:t xml:space="preserve">A group-id or node-id SHALL NOT be empty.</w:t>
            </w:r>
          </w:p>
        </w:tc>
      </w:tr>
      <w:tr>
        <w:tc>
          <w:tcPr/>
          <w:p>
            <w:pPr>
              <w:jc w:val="center"/>
            </w:pPr>
            <w:r>
              <w:t xml:space="preserve">D</w:t>
            </w:r>
          </w:p>
        </w:tc>
        <w:tc>
          <w:tcPr/>
          <w:p>
            <w:pPr>
              <w:jc w:val="left"/>
            </w:pPr>
            <w:r>
              <w:t xml:space="preserve">A node-id SHALL be unique within the namespace of its associated group-id.</w:t>
            </w:r>
          </w:p>
        </w:tc>
      </w:tr>
    </w:tbl>
    <w:bookmarkEnd w:id="87"/>
    <w:bookmarkEnd w:id="88"/>
    <w:bookmarkEnd w:id="89"/>
    <w:bookmarkStart w:id="96" w:name="X78fdb1f4716baf4c26796c550dad0531813f831"/>
    <w:p>
      <w:pPr>
        <w:pStyle w:val="Heading1"/>
      </w:pPr>
      <w:r>
        <w:t xml:space="preserve">Conformance Class Abstract Test Suite (Normative)</w:t>
      </w:r>
    </w:p>
    <w:bookmarkStart w:id="91" w:name="X61914e26939b0258a4f72336330af4ad3549113"/>
    <w:p>
      <w:pPr>
        <w:pStyle w:val="Heading2"/>
      </w:pPr>
      <w:r>
        <w:t xml:space="preserve">Conformance Class: Message Encoding</w:t>
      </w:r>
    </w:p>
    <w:p>
      <w:pPr>
        <w:pStyle w:val="DefinitionTerm"/>
      </w:pPr>
      <w:r>
        <w:t xml:space="preserve">label</w:t>
      </w:r>
    </w:p>
    <w:p>
      <w:pPr>
        <w:pStyle w:val="Definition"/>
      </w:pPr>
      <w:hyperlink r:id="rId51">
        <w:r>
          <w:rPr>
            <w:rStyle w:val="Hyperlink"/>
          </w:rPr>
          <w:t xml:space="preserve">http://wis.wmo.int/spec/fmde/1/req/message-encoding</w:t>
        </w:r>
      </w:hyperlink>
    </w:p>
    <w:p>
      <w:pPr>
        <w:pStyle w:val="DefinitionTerm"/>
      </w:pPr>
      <w:r>
        <w:t xml:space="preserve">subject</w:t>
      </w:r>
    </w:p>
    <w:p>
      <w:pPr>
        <w:pStyle w:val="Definition"/>
      </w:pPr>
      <w:r>
        <w:t xml:space="preserve">Requirements Class "Message Encoding"</w:t>
      </w:r>
    </w:p>
    <w:p>
      <w:pPr>
        <w:pStyle w:val="DefinitionTerm"/>
      </w:pPr>
      <w:r>
        <w:t xml:space="preserve">classification</w:t>
      </w:r>
    </w:p>
    <w:p>
      <w:pPr>
        <w:pStyle w:val="Definition"/>
      </w:pPr>
      <w:r>
        <w:t xml:space="preserve">Target Type:Encoding</w:t>
      </w:r>
    </w:p>
    <w:bookmarkStart w:id="90" w:name="X3a04224f617536f2fb363349e0c2c664c06221f"/>
    <w:p>
      <w:pPr>
        <w:pStyle w:val="Heading3"/>
      </w:pPr>
      <w:r>
        <w:t xml:space="preserve">Encoding</w:t>
      </w:r>
    </w:p>
    <w:p>
      <w:pPr>
        <w:pStyle w:val="DefinitionTerm"/>
      </w:pPr>
      <w:r>
        <w:t xml:space="preserve">label</w:t>
      </w:r>
    </w:p>
    <w:p>
      <w:pPr>
        <w:pStyle w:val="Definition"/>
      </w:pPr>
      <w:r>
        <w:t xml:space="preserve">/conf/message-encoding/encoding</w:t>
      </w:r>
    </w:p>
    <w:p>
      <w:pPr>
        <w:pStyle w:val="DefinitionTerm"/>
      </w:pPr>
      <w:r>
        <w:t xml:space="preserve">subject</w:t>
      </w:r>
    </w:p>
    <w:p>
      <w:pPr>
        <w:pStyle w:val="Definition"/>
      </w:pPr>
      <w:r>
        <w:t xml:space="preserve">/req/message-encoding/encoding</w:t>
      </w:r>
    </w:p>
    <w:p>
      <w:pPr>
        <w:pStyle w:val="DefinitionTerm"/>
      </w:pPr>
      <w:r>
        <w:t xml:space="preserve">test-purpose</w:t>
      </w:r>
    </w:p>
    <w:p>
      <w:pPr>
        <w:pStyle w:val="Definition"/>
      </w:pPr>
      <w:r>
        <w:t xml:space="preserve">Validate that a message encoding is encoded as Protobuf.</w:t>
      </w:r>
    </w:p>
    <w:p>
      <w:pPr>
        <w:pStyle w:val="FirstParagraph"/>
      </w:pPr>
      <w:r>
        <w:t xml:space="preserve">TODO</w:t>
      </w:r>
    </w:p>
    <w:p>
      <w:pPr>
        <w:pStyle w:val="BodyText"/>
      </w:pPr>
      <w:r>
        <w:t xml:space="preserve">TODO</w:t>
      </w:r>
    </w:p>
    <w:bookmarkEnd w:id="90"/>
    <w:bookmarkEnd w:id="91"/>
    <w:bookmarkStart w:id="93" w:name="X5389d7d1d833cb46a9a3bc765742be3efe67619"/>
    <w:p>
      <w:pPr>
        <w:pStyle w:val="Heading2"/>
      </w:pPr>
      <w:r>
        <w:t xml:space="preserve">Conformance Class: Parameter Standard Names</w:t>
      </w:r>
    </w:p>
    <w:p>
      <w:pPr>
        <w:pStyle w:val="DefinitionTerm"/>
      </w:pPr>
      <w:r>
        <w:t xml:space="preserve">label</w:t>
      </w:r>
    </w:p>
    <w:p>
      <w:pPr>
        <w:pStyle w:val="Definition"/>
      </w:pPr>
      <w:hyperlink r:id="rId68">
        <w:r>
          <w:rPr>
            <w:rStyle w:val="Hyperlink"/>
          </w:rPr>
          <w:t xml:space="preserve">http://wis.wmo.int/spec/fmde/1/req/parameter-standard-names</w:t>
        </w:r>
      </w:hyperlink>
    </w:p>
    <w:p>
      <w:pPr>
        <w:pStyle w:val="DefinitionTerm"/>
      </w:pPr>
      <w:r>
        <w:t xml:space="preserve">subject</w:t>
      </w:r>
    </w:p>
    <w:p>
      <w:pPr>
        <w:pStyle w:val="Definition"/>
      </w:pPr>
      <w:r>
        <w:t xml:space="preserve">Requirements Class "Parameter Standard Names"</w:t>
      </w:r>
    </w:p>
    <w:p>
      <w:pPr>
        <w:pStyle w:val="DefinitionTerm"/>
      </w:pPr>
      <w:r>
        <w:t xml:space="preserve">classification</w:t>
      </w:r>
    </w:p>
    <w:p>
      <w:pPr>
        <w:pStyle w:val="Definition"/>
      </w:pPr>
      <w:r>
        <w:t xml:space="preserve">Target Type:Message Encoding</w:t>
      </w:r>
    </w:p>
    <w:bookmarkStart w:id="92" w:name="X9e0a8bd10e03690b4283099fbf6931212327cb6"/>
    <w:p>
      <w:pPr>
        <w:pStyle w:val="Heading3"/>
      </w:pPr>
      <w:r>
        <w:t xml:space="preserve">Encoding</w:t>
      </w:r>
    </w:p>
    <w:bookmarkEnd w:id="92"/>
    <w:bookmarkEnd w:id="93"/>
    <w:bookmarkStart w:id="95" w:name="X25cfcbd45372219887f566f1ba18f9d8ea1e5b4"/>
    <w:p>
      <w:pPr>
        <w:pStyle w:val="Heading2"/>
      </w:pPr>
      <w:r>
        <w:t xml:space="preserve">Conformance Class: Transmission</w:t>
      </w:r>
    </w:p>
    <w:p>
      <w:pPr>
        <w:pStyle w:val="DefinitionTerm"/>
      </w:pPr>
      <w:r>
        <w:t xml:space="preserve">label</w:t>
      </w:r>
    </w:p>
    <w:p>
      <w:pPr>
        <w:pStyle w:val="Definition"/>
      </w:pPr>
      <w:hyperlink r:id="rId77">
        <w:r>
          <w:rPr>
            <w:rStyle w:val="Hyperlink"/>
          </w:rPr>
          <w:t xml:space="preserve">http://wis.wmo.int/spec/fmde/1/req/transmission</w:t>
        </w:r>
      </w:hyperlink>
    </w:p>
    <w:p>
      <w:pPr>
        <w:pStyle w:val="DefinitionTerm"/>
      </w:pPr>
      <w:r>
        <w:t xml:space="preserve">subject</w:t>
      </w:r>
    </w:p>
    <w:p>
      <w:pPr>
        <w:pStyle w:val="Definition"/>
      </w:pPr>
      <w:r>
        <w:t xml:space="preserve">Requirements Class "Transmission"</w:t>
      </w:r>
    </w:p>
    <w:p>
      <w:pPr>
        <w:pStyle w:val="DefinitionTerm"/>
      </w:pPr>
      <w:r>
        <w:t xml:space="preserve">classification</w:t>
      </w:r>
    </w:p>
    <w:p>
      <w:pPr>
        <w:pStyle w:val="Definition"/>
      </w:pPr>
      <w:r>
        <w:t xml:space="preserve">Target Type:Transmission</w:t>
      </w:r>
    </w:p>
    <w:bookmarkStart w:id="94" w:name="X1ce7b2faea04fdf0ff6d0a1b438774f6451b392"/>
    <w:p>
      <w:pPr>
        <w:pStyle w:val="Heading3"/>
      </w:pPr>
      <w:r>
        <w:t xml:space="preserve">Encoding</w:t>
      </w:r>
    </w:p>
    <w:bookmarkEnd w:id="94"/>
    <w:bookmarkEnd w:id="95"/>
    <w:bookmarkEnd w:id="96"/>
    <w:bookmarkStart w:id="101"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97" w:name="X880462e29bd9c7f9cef187bf395e7ce87ff2224"/>
    <w:p>
      <w:pPr>
        <w:pStyle w:val="Heading2"/>
      </w:pPr>
      <w:r>
        <w:t xml:space="preserve">Message Encoding</w:t>
      </w:r>
    </w:p>
    <w:p>
      <w:pPr>
        <w:pStyle w:val="SourceCode"/>
      </w:pPr>
      <w:r>
        <w:rPr>
          <w:rStyle w:val="AttributeTok"/>
        </w:rPr>
        <w:t xml:space="preserve">// First Mile schema</w:t>
      </w:r>
      <w:r>
        <w:br/>
      </w:r>
      <w:r>
        <w:br/>
      </w:r>
      <w:r>
        <w:br/>
      </w:r>
      <w:r>
        <w:rPr>
          <w:rStyle w:val="AttributeTok"/>
        </w:rPr>
        <w:t xml:space="preserve">syntax = "proto3";</w:t>
      </w:r>
      <w:r>
        <w:br/>
      </w:r>
      <w:r>
        <w:br/>
      </w:r>
      <w:r>
        <w:rPr>
          <w:rStyle w:val="AttributeTok"/>
        </w:rPr>
        <w:t xml:space="preserve">package int.wmo.wis.spec.fmde.v1.conf.message_encoding;</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int32Value = 3;</w:t>
      </w:r>
      <w:r>
        <w:br/>
      </w:r>
      <w:r>
        <w:rPr>
          <w:rStyle w:val="AttributeTok"/>
        </w:rPr>
        <w:t xml:space="preserve">    uint32 uint32Value = 4;</w:t>
      </w:r>
      <w:r>
        <w:br/>
      </w:r>
      <w:r>
        <w:rPr>
          <w:rStyle w:val="AttributeTok"/>
        </w:rPr>
        <w:t xml:space="preserve">    int64 int64Value = 5;</w:t>
      </w:r>
      <w:r>
        <w:br/>
      </w:r>
      <w:r>
        <w:rPr>
          <w:rStyle w:val="AttributeTok"/>
        </w:rPr>
        <w:t xml:space="preserve">    uint64 uint64Value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97"/>
    <w:bookmarkStart w:id="100" w:name="Xdd1fe16469c2eadaa904f6e369398e4a8c19852"/>
    <w:p>
      <w:pPr>
        <w:pStyle w:val="Heading2"/>
      </w:pPr>
      <w:r>
        <w:t xml:space="preserve">Enumerations</w:t>
      </w:r>
    </w:p>
    <w:bookmarkStart w:id="98" w:name="X974361986fb85896cad8d73d8da9e7481cde38c"/>
    <w:p>
      <w:pPr>
        <w:pStyle w:val="Heading3"/>
      </w:pPr>
      <w:r>
        <w:t xml:space="preserve">CellMethod</w:t>
      </w:r>
    </w:p>
    <w:p>
      <w:pPr>
        <w:pStyle w:val="FirstParagraph"/>
      </w:pPr>
      <w:r>
        <w:t xml:space="preserve">The</w:t>
      </w:r>
      <w:r>
        <w:t xml:space="preserve"> </w:t>
      </w:r>
      <w:r>
        <w:rPr>
          <w:rStyle w:val="VerbatimChar"/>
        </w:rPr>
        <w:t xml:space="preserve">cellMethod</w:t>
      </w:r>
      <w:r>
        <w:t xml:space="preserve"> </w:t>
      </w:r>
      <w:r>
        <w:t xml:space="preserve">element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98"/>
    <w:bookmarkStart w:id="99"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99"/>
    <w:bookmarkEnd w:id="100"/>
    <w:bookmarkEnd w:id="101"/>
    <w:bookmarkStart w:id="106" w:name="examples"/>
    <w:p>
      <w:pPr>
        <w:pStyle w:val="Heading1"/>
      </w:pPr>
      <w:r>
        <w:t xml:space="preserve">Examples (Informative)</w:t>
      </w:r>
    </w:p>
    <w:bookmarkStart w:id="102" w:name="X68ae7d3cf07904a2b65da44dbbe6172616b3505"/>
    <w:p>
      <w:pPr>
        <w:pStyle w:val="Heading2"/>
      </w:pPr>
      <w:r>
        <w:t xml:space="preserve">Transmission topics</w:t>
      </w:r>
    </w:p>
    <w:bookmarkEnd w:id="102"/>
    <w:bookmarkStart w:id="105" w:name="X9f4d614843744384f3a7741ad5521bc4cfb9588"/>
    <w:p>
      <w:pPr>
        <w:pStyle w:val="Heading2"/>
      </w:pPr>
      <w:r>
        <w:t xml:space="preserve">Data and metadata messages</w:t>
      </w:r>
    </w:p>
    <w:p>
      <w:pPr>
        <w:pStyle w:val="FirstParagraph"/>
      </w:pPr>
      <w:r>
        <w:t xml:space="preserve">Each example below is a complete FirstMileMessage, with one of the</w:t>
      </w:r>
      <w:r>
        <w:t xml:space="preserve"> </w:t>
      </w:r>
      <w:r>
        <w:rPr>
          <w:rStyle w:val="VerbatimChar"/>
        </w:rPr>
        <w:t xml:space="preserve">metadata</w:t>
      </w:r>
      <w:r>
        <w:t xml:space="preserve"> </w:t>
      </w:r>
      <w:r>
        <w:t xml:space="preserve">or</w:t>
      </w:r>
      <w:r>
        <w:t xml:space="preserve"> </w:t>
      </w:r>
      <w:r>
        <w:rPr>
          <w:rStyle w:val="VerbatimChar"/>
        </w:rPr>
        <w:t xml:space="preserve">data</w:t>
      </w:r>
      <w:r>
        <w:t xml:space="preserve"> </w:t>
      </w:r>
      <w:r>
        <w:t xml:space="preserve">elements populated as appropriate.</w:t>
      </w:r>
    </w:p>
    <w:bookmarkStart w:id="103" w:name="Xf60c31f0b033f47ccd54b1ba8c1bc71fef83521"/>
    <w:p>
      <w:pPr>
        <w:pStyle w:val="Heading3"/>
      </w:pPr>
      <w:r>
        <w:t xml:space="preserve">Hydrological station</w:t>
      </w:r>
    </w:p>
    <w:p>
      <w:pPr>
        <w:pStyle w:val="FirstParagraph"/>
      </w:pPr>
      <w:r>
        <w:t xml:space="preserve">This example simulates a simple hydrological gauging station.</w:t>
      </w:r>
    </w:p>
    <w:p>
      <w:pPr>
        <w:numPr>
          <w:ilvl w:val="0"/>
          <w:numId w:val="1012"/>
        </w:numPr>
      </w:pPr>
      <w:r>
        <w:t xml:space="preserve">Node: the node/datalogger purely acts as a gateway, does not provide any internal diagnostics or measurements, and the metadata does not contain any specific information about the node device.</w:t>
      </w:r>
    </w:p>
    <w:p>
      <w:pPr>
        <w:numPr>
          <w:ilvl w:val="0"/>
          <w:numId w:val="1012"/>
        </w:numPr>
      </w:pPr>
      <w:r>
        <w:t xml:space="preserve">Observers: Geolux Radar (water level) and OTT Pluvio² (rainfall).</w:t>
      </w:r>
    </w:p>
    <w:p>
      <w:pPr>
        <w:pStyle w:val="FirstParagraph"/>
      </w:pPr>
      <w:r>
        <w:t xml:space="preserve">Key points:</w:t>
      </w:r>
    </w:p>
    <w:p>
      <w:pPr>
        <w:numPr>
          <w:ilvl w:val="0"/>
          <w:numId w:val="1013"/>
        </w:numPr>
      </w:pPr>
      <w:r>
        <w:t xml:space="preserve">Measures critical hydrological parameters: water level and rainfall intensity.</w:t>
      </w:r>
    </w:p>
    <w:p>
      <w:pPr>
        <w:numPr>
          <w:ilvl w:val="0"/>
          <w:numId w:val="1013"/>
        </w:numPr>
      </w:pPr>
      <w:r>
        <w:t xml:space="preserve">Data is grouped under a single parameter definition since all values represent hydrological measurements.</w:t>
      </w:r>
    </w:p>
    <w:p>
      <w:pPr>
        <w:numPr>
          <w:ilvl w:val="0"/>
          <w:numId w:val="1013"/>
        </w:numPr>
      </w:pPr>
      <w:r>
        <w:t xml:space="preserve">Metadata is minimal — there is no firmware version or serial number information from the observer instruments.</w:t>
      </w:r>
    </w:p>
    <w:p>
      <w:pPr>
        <w:numPr>
          <w:ilvl w:val="0"/>
          <w:numId w:val="1013"/>
        </w:numPr>
      </w:pPr>
      <w:r>
        <w:t xml:space="preserve">The sample data payload contains three measurements taken 10 minutes apart.</w:t>
      </w:r>
    </w:p>
    <w:p>
      <w:pPr>
        <w:pStyle w:val="FirstParagraph"/>
      </w:pPr>
      <w:r>
        <w:rPr>
          <w:bCs/>
          <w:b/>
        </w:rPr>
        <w:t xml:space="preserve">FirstMileMessage (metadata)</w:t>
      </w:r>
    </w:p>
    <w:p>
      <w:pPr>
        <w:pStyle w:val="SourceCode"/>
      </w:pPr>
      <w:r>
        <w:rPr>
          <w:rStyle w:val="NormalTok"/>
        </w:rPr>
        <w:t xml:space="preserve">metadata {</w:t>
      </w:r>
      <w:r>
        <w:br/>
      </w:r>
      <w:r>
        <w:rPr>
          <w:rStyle w:val="NormalTok"/>
        </w:rPr>
        <w:t xml:space="preserve">  node {</w:t>
      </w:r>
      <w:r>
        <w:br/>
      </w:r>
      <w:r>
        <w:rPr>
          <w:rStyle w:val="NormalTok"/>
        </w:rPr>
        <w:t xml:space="preserve">    name: </w:t>
      </w:r>
      <w:r>
        <w:rPr>
          <w:rStyle w:val="StringTok"/>
        </w:rPr>
        <w:t xml:space="preserve">"Hydro-Station-02"</w:t>
      </w:r>
      <w:r>
        <w:br/>
      </w:r>
      <w:r>
        <w:rPr>
          <w:rStyle w:val="NormalTok"/>
        </w:rPr>
        <w:t xml:space="preserve">    serialNumber: </w:t>
      </w:r>
      <w:r>
        <w:rPr>
          <w:rStyle w:val="StringTok"/>
        </w:rPr>
        <w:t xml:space="preserve">"HYDSTN002-2025"</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1</w:t>
      </w:r>
      <w:r>
        <w:br/>
      </w:r>
      <w:r>
        <w:rPr>
          <w:rStyle w:val="NormalTok"/>
        </w:rPr>
        <w:t xml:space="preserve">    name: </w:t>
      </w:r>
      <w:r>
        <w:rPr>
          <w:rStyle w:val="StringTok"/>
        </w:rPr>
        <w:t xml:space="preserve">"Geolux LX-80 Radar Level Sensor"</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2</w:t>
      </w:r>
      <w:r>
        <w:br/>
      </w:r>
      <w:r>
        <w:rPr>
          <w:rStyle w:val="NormalTok"/>
        </w:rPr>
        <w:t xml:space="preserve">    name: </w:t>
      </w:r>
      <w:r>
        <w:rPr>
          <w:rStyle w:val="StringTok"/>
        </w:rPr>
        <w:t xml:space="preserve">"OTT Pluvio² Rain Gauge"</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1</w:t>
      </w:r>
      <w:r>
        <w:br/>
      </w:r>
      <w:r>
        <w:rPr>
          <w:rStyle w:val="NormalTok"/>
        </w:rPr>
        <w:t xml:space="preserve">    description: </w:t>
      </w:r>
      <w:r>
        <w:rPr>
          <w:rStyle w:val="StringTok"/>
        </w:rPr>
        <w:t xml:space="preserve">"Hydrological parameters"</w:t>
      </w:r>
      <w:r>
        <w:br/>
      </w:r>
      <w:r>
        <w:rPr>
          <w:rStyle w:val="NormalTok"/>
        </w:rPr>
        <w:t xml:space="preserve">    parameters {</w:t>
      </w:r>
      <w:r>
        <w:br/>
      </w:r>
      <w:r>
        <w:rPr>
          <w:rStyle w:val="NormalTok"/>
        </w:rPr>
        <w:t xml:space="preserve">      longName: </w:t>
      </w:r>
      <w:r>
        <w:rPr>
          <w:rStyle w:val="StringTok"/>
        </w:rPr>
        <w:t xml:space="preserve">"Water Level"</w:t>
      </w:r>
      <w:r>
        <w:br/>
      </w:r>
      <w:r>
        <w:rPr>
          <w:rStyle w:val="NormalTok"/>
        </w:rPr>
        <w:t xml:space="preserve">      unit: </w:t>
      </w:r>
      <w:r>
        <w:rPr>
          <w:rStyle w:val="StringTok"/>
        </w:rPr>
        <w:t xml:space="preserve">"m"</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10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"Rainfall Intensity"</w:t>
      </w:r>
      <w:r>
        <w:br/>
      </w:r>
      <w:r>
        <w:rPr>
          <w:rStyle w:val="NormalTok"/>
        </w:rPr>
        <w:t xml:space="preserve">      unit: </w:t>
      </w:r>
      <w:r>
        <w:rPr>
          <w:rStyle w:val="StringTok"/>
        </w:rPr>
        <w:t xml:space="preserve">"mm/h"</w:t>
      </w:r>
      <w:r>
        <w:br/>
      </w:r>
      <w:r>
        <w:rPr>
          <w:rStyle w:val="NormalTok"/>
        </w:rPr>
        <w:t xml:space="preserve">      device {</w:t>
      </w:r>
      <w:r>
        <w:br/>
      </w:r>
      <w:r>
        <w:rPr>
          <w:rStyle w:val="NormalTok"/>
        </w:rPr>
        <w:t xml:space="preserve">        observerId: </w:t>
      </w:r>
      <w:r>
        <w:rPr>
          <w:rStyle w:val="DecValTok"/>
        </w:rPr>
        <w:t xml:space="preserve">2</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w:t>
      </w:r>
      <w:r>
        <w:br/>
      </w:r>
      <w:r>
        <w:rPr>
          <w:rStyle w:val="NormalTok"/>
        </w:rPr>
        <w:t xml:space="preserve">  }</w:t>
      </w:r>
      <w:r>
        <w:br/>
      </w:r>
      <w:r>
        <w:rPr>
          <w:rStyle w:val="NormalTok"/>
        </w:rPr>
        <w:t xml:space="preserve">}</w:t>
      </w:r>
    </w:p>
    <w:p>
      <w:pPr>
        <w:pStyle w:val="FirstParagraph"/>
      </w:pPr>
      <w:r>
        <w:rPr>
          <w:bCs/>
          <w:b/>
        </w:rPr>
        <w:t xml:space="preserve">FirstMileMessage (data)</w:t>
      </w:r>
    </w:p>
    <w:p>
      <w:pPr>
        <w:pStyle w:val="SourceCode"/>
      </w:pPr>
      <w:r>
        <w:rPr>
          <w:rStyle w:val="NormalTok"/>
        </w:rPr>
        <w:t xml:space="preserve">data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1755765000</w:t>
      </w:r>
      <w:r>
        <w:br/>
      </w:r>
      <w:r>
        <w:rPr>
          <w:rStyle w:val="NormalTok"/>
        </w:rPr>
        <w:t xml:space="preserve">    }</w:t>
      </w:r>
      <w:r>
        <w:br/>
      </w:r>
      <w:r>
        <w:rPr>
          <w:rStyle w:val="NormalTok"/>
        </w:rPr>
        <w:t xml:space="preserve">    values { doubleValue: </w:t>
      </w:r>
      <w:r>
        <w:rPr>
          <w:rStyle w:val="FloatTok"/>
        </w:rPr>
        <w:t xml:space="preserve">3.42</w:t>
      </w:r>
      <w:r>
        <w:rPr>
          <w:rStyle w:val="NormalTok"/>
        </w:rPr>
        <w:t xml:space="preserve"> }</w:t>
      </w:r>
      <w:r>
        <w:br/>
      </w:r>
      <w:r>
        <w:rPr>
          <w:rStyle w:val="NormalTok"/>
        </w:rPr>
        <w:t xml:space="preserve">    values { doubleValue: </w:t>
      </w:r>
      <w:r>
        <w:rPr>
          <w:rStyle w:val="FloatTok"/>
        </w:rPr>
        <w:t xml:space="preserve">0.0</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1755765600</w:t>
      </w:r>
      <w:r>
        <w:br/>
      </w:r>
      <w:r>
        <w:rPr>
          <w:rStyle w:val="NormalTok"/>
        </w:rPr>
        <w:t xml:space="preserve">    }</w:t>
      </w:r>
      <w:r>
        <w:br/>
      </w:r>
      <w:r>
        <w:rPr>
          <w:rStyle w:val="NormalTok"/>
        </w:rPr>
        <w:t xml:space="preserve">    values { doubleValue: </w:t>
      </w:r>
      <w:r>
        <w:rPr>
          <w:rStyle w:val="FloatTok"/>
        </w:rPr>
        <w:t xml:space="preserve">3.43</w:t>
      </w:r>
      <w:r>
        <w:rPr>
          <w:rStyle w:val="NormalTok"/>
        </w:rPr>
        <w:t xml:space="preserve"> }</w:t>
      </w:r>
      <w:r>
        <w:br/>
      </w:r>
      <w:r>
        <w:rPr>
          <w:rStyle w:val="NormalTok"/>
        </w:rPr>
        <w:t xml:space="preserve">    values { doubleValue: </w:t>
      </w:r>
      <w:r>
        <w:rPr>
          <w:rStyle w:val="FloatTok"/>
        </w:rPr>
        <w:t xml:space="preserve">0.0</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3.52</w:t>
      </w:r>
      <w:r>
        <w:rPr>
          <w:rStyle w:val="NormalTok"/>
        </w:rPr>
        <w:t xml:space="preserve"> }</w:t>
      </w:r>
      <w:r>
        <w:br/>
      </w:r>
      <w:r>
        <w:rPr>
          <w:rStyle w:val="NormalTok"/>
        </w:rPr>
        <w:t xml:space="preserve">    values { doubleValue: </w:t>
      </w:r>
      <w:r>
        <w:rPr>
          <w:rStyle w:val="FloatTok"/>
        </w:rPr>
        <w:t xml:space="preserve">3.1</w:t>
      </w:r>
      <w:r>
        <w:rPr>
          <w:rStyle w:val="NormalTok"/>
        </w:rPr>
        <w:t xml:space="preserve"> }</w:t>
      </w:r>
      <w:r>
        <w:br/>
      </w:r>
      <w:r>
        <w:rPr>
          <w:rStyle w:val="NormalTok"/>
        </w:rPr>
        <w:t xml:space="preserve">  }</w:t>
      </w:r>
      <w:r>
        <w:br/>
      </w:r>
      <w:r>
        <w:rPr>
          <w:rStyle w:val="NormalTok"/>
        </w:rPr>
        <w:t xml:space="preserve">}</w:t>
      </w:r>
    </w:p>
    <w:bookmarkEnd w:id="103"/>
    <w:bookmarkStart w:id="104" w:name="Xbb398be7af3d39d057a6ad565684f67e2e8badc"/>
    <w:p>
      <w:pPr>
        <w:pStyle w:val="Heading3"/>
      </w:pPr>
      <w:r>
        <w:t xml:space="preserve">Meteorological station</w:t>
      </w:r>
    </w:p>
    <w:p>
      <w:pPr>
        <w:pStyle w:val="FirstParagraph"/>
      </w:pPr>
      <w:r>
        <w:t xml:space="preserve">This example shows a typical automatic weather station located in central Europe.</w:t>
      </w:r>
    </w:p>
    <w:p>
      <w:pPr>
        <w:numPr>
          <w:ilvl w:val="0"/>
          <w:numId w:val="1014"/>
        </w:numPr>
      </w:pPr>
      <w:r>
        <w:t xml:space="preserve">Node: Campbell CR3000 recording weather data plus internal system status.</w:t>
      </w:r>
    </w:p>
    <w:p>
      <w:pPr>
        <w:numPr>
          <w:ilvl w:val="0"/>
          <w:numId w:val="1014"/>
        </w:numPr>
      </w:pPr>
      <w:r>
        <w:t xml:space="preserve">Observers: Vaisala WXT536 measuring meteorological parameters.</w:t>
      </w:r>
    </w:p>
    <w:p>
      <w:pPr>
        <w:pStyle w:val="FirstParagraph"/>
      </w:pPr>
      <w:r>
        <w:t xml:space="preserve">Key points:</w:t>
      </w:r>
    </w:p>
    <w:p>
      <w:pPr>
        <w:numPr>
          <w:ilvl w:val="0"/>
          <w:numId w:val="1015"/>
        </w:numPr>
      </w:pPr>
      <w:r>
        <w:t xml:space="preserve">Weather parameters: air temperature, humidity, pressure, wind, rainfall.</w:t>
      </w:r>
    </w:p>
    <w:p>
      <w:pPr>
        <w:numPr>
          <w:ilvl w:val="0"/>
          <w:numId w:val="1015"/>
        </w:numPr>
      </w:pPr>
      <w:r>
        <w:t xml:space="preserve">The datalogger monitors battery voltage, solar input, and logger temperature.</w:t>
      </w:r>
    </w:p>
    <w:p>
      <w:pPr>
        <w:numPr>
          <w:ilvl w:val="0"/>
          <w:numId w:val="1015"/>
        </w:numPr>
      </w:pPr>
      <w:r>
        <w:t xml:space="preserve">The data block groups meteorological parameters and logger health separately.</w:t>
      </w:r>
    </w:p>
    <w:p>
      <w:pPr>
        <w:numPr>
          <w:ilvl w:val="0"/>
          <w:numId w:val="1015"/>
        </w:numPr>
      </w:pPr>
      <w:r>
        <w:t xml:space="preserve">This example sends an empty value for the barometric pressure measurement, which indicates that the corresponding sensor did not successfully provide a reading. This may indicate a sensor fault, and the receiver must skip this value.</w:t>
      </w:r>
    </w:p>
    <w:p>
      <w:pPr>
        <w:pStyle w:val="FirstParagraph"/>
      </w:pPr>
      <w:r>
        <w:rPr>
          <w:bCs/>
          <w:b/>
        </w:rPr>
        <w:t xml:space="preserve">FirstMileMessage (metadata)</w:t>
      </w:r>
    </w:p>
    <w:p>
      <w:pPr>
        <w:pStyle w:val="SourceCode"/>
      </w:pPr>
      <w:r>
        <w:rPr>
          <w:rStyle w:val="NormalTok"/>
        </w:rPr>
        <w:t xml:space="preserve">metadata {</w:t>
      </w:r>
      <w:r>
        <w:br/>
      </w:r>
      <w:r>
        <w:rPr>
          <w:rStyle w:val="NormalTok"/>
        </w:rPr>
        <w:t xml:space="preserve">  node {</w:t>
      </w:r>
      <w:r>
        <w:br/>
      </w:r>
      <w:r>
        <w:rPr>
          <w:rStyle w:val="NormalTok"/>
        </w:rPr>
        <w:t xml:space="preserve">    name: </w:t>
      </w:r>
      <w:r>
        <w:rPr>
          <w:rStyle w:val="StringTok"/>
        </w:rPr>
        <w:t xml:space="preserve">"Campbell CR3000 Datalogger"</w:t>
      </w:r>
      <w:r>
        <w:br/>
      </w:r>
      <w:r>
        <w:rPr>
          <w:rStyle w:val="NormalTok"/>
        </w:rPr>
        <w:t xml:space="preserve">    serialNumber: </w:t>
      </w:r>
      <w:r>
        <w:rPr>
          <w:rStyle w:val="StringTok"/>
        </w:rPr>
        <w:t xml:space="preserve">"CR3K-2025-99384"</w:t>
      </w:r>
      <w:r>
        <w:br/>
      </w:r>
      <w:r>
        <w:rPr>
          <w:rStyle w:val="NormalTok"/>
        </w:rPr>
        <w:t xml:space="preserve">    location {</w:t>
      </w:r>
      <w:r>
        <w:br/>
      </w:r>
      <w:r>
        <w:rPr>
          <w:rStyle w:val="NormalTok"/>
        </w:rPr>
        <w:t xml:space="preserve">      latitude: </w:t>
      </w:r>
      <w:r>
        <w:rPr>
          <w:rStyle w:val="FloatTok"/>
        </w:rPr>
        <w:t xml:space="preserve">44.90192</w:t>
      </w:r>
      <w:r>
        <w:br/>
      </w:r>
      <w:r>
        <w:rPr>
          <w:rStyle w:val="NormalTok"/>
        </w:rPr>
        <w:t xml:space="preserve">      longitude: </w:t>
      </w:r>
      <w:r>
        <w:rPr>
          <w:rStyle w:val="FloatTok"/>
        </w:rPr>
        <w:t xml:space="preserve">15.60844</w:t>
      </w:r>
      <w:r>
        <w:br/>
      </w:r>
      <w:r>
        <w:rPr>
          <w:rStyle w:val="NormalTok"/>
        </w:rPr>
        <w:t xml:space="preserve">      heightMetres: </w:t>
      </w:r>
      <w:r>
        <w:rPr>
          <w:rStyle w:val="FloatTok"/>
        </w:rPr>
        <w:t xml:space="preserve">1.5</w:t>
      </w:r>
      <w:r>
        <w:br/>
      </w:r>
      <w:r>
        <w:rPr>
          <w:rStyle w:val="NormalTok"/>
        </w:rPr>
        <w:t xml:space="preserve">      referenceSurface: GL</w:t>
      </w:r>
      <w:r>
        <w:br/>
      </w:r>
      <w:r>
        <w:rPr>
          <w:rStyle w:val="NormalTok"/>
        </w:rPr>
        <w:t xml:space="preserve">    }</w:t>
      </w:r>
      <w:r>
        <w:br/>
      </w:r>
      <w:r>
        <w:rPr>
          <w:rStyle w:val="NormalTok"/>
        </w:rPr>
        <w:t xml:space="preserve">    firmwareVersion: </w:t>
      </w:r>
      <w:r>
        <w:rPr>
          <w:rStyle w:val="StringTok"/>
        </w:rPr>
        <w:t xml:space="preserve">"OS25.04"</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1</w:t>
      </w:r>
      <w:r>
        <w:br/>
      </w:r>
      <w:r>
        <w:rPr>
          <w:rStyle w:val="NormalTok"/>
        </w:rPr>
        <w:t xml:space="preserve">    name: </w:t>
      </w:r>
      <w:r>
        <w:rPr>
          <w:rStyle w:val="StringTok"/>
        </w:rPr>
        <w:t xml:space="preserve">"Vaisala WXT536 Weather Transmitter"</w:t>
      </w:r>
      <w:r>
        <w:br/>
      </w:r>
      <w:r>
        <w:rPr>
          <w:rStyle w:val="NormalTok"/>
        </w:rPr>
        <w:t xml:space="preserve">    serialNumber: </w:t>
      </w:r>
      <w:r>
        <w:rPr>
          <w:rStyle w:val="StringTok"/>
        </w:rPr>
        <w:t xml:space="preserve">"WX536-3482934"</w:t>
      </w:r>
      <w:r>
        <w:br/>
      </w:r>
      <w:r>
        <w:rPr>
          <w:rStyle w:val="NormalTok"/>
        </w:rPr>
        <w:t xml:space="preserve">    location {</w:t>
      </w:r>
      <w:r>
        <w:br/>
      </w:r>
      <w:r>
        <w:rPr>
          <w:rStyle w:val="NormalTok"/>
        </w:rPr>
        <w:t xml:space="preserve">      latitude: </w:t>
      </w:r>
      <w:r>
        <w:rPr>
          <w:rStyle w:val="FloatTok"/>
        </w:rPr>
        <w:t xml:space="preserve">44.90192</w:t>
      </w:r>
      <w:r>
        <w:br/>
      </w:r>
      <w:r>
        <w:rPr>
          <w:rStyle w:val="NormalTok"/>
        </w:rPr>
        <w:t xml:space="preserve">      longitude: </w:t>
      </w:r>
      <w:r>
        <w:rPr>
          <w:rStyle w:val="FloatTok"/>
        </w:rPr>
        <w:t xml:space="preserve">15.60844</w:t>
      </w:r>
      <w:r>
        <w:br/>
      </w:r>
      <w:r>
        <w:rPr>
          <w:rStyle w:val="NormalTok"/>
        </w:rPr>
        <w:t xml:space="preserve">      heightMetres: </w:t>
      </w:r>
      <w:r>
        <w:rPr>
          <w:rStyle w:val="FloatTok"/>
        </w:rPr>
        <w:t xml:space="preserve">2.0</w:t>
      </w:r>
      <w:r>
        <w:br/>
      </w:r>
      <w:r>
        <w:rPr>
          <w:rStyle w:val="NormalTok"/>
        </w:rPr>
        <w:t xml:space="preserve">      referenceSurface: GL</w:t>
      </w:r>
      <w:r>
        <w:br/>
      </w:r>
      <w:r>
        <w:rPr>
          <w:rStyle w:val="NormalTok"/>
        </w:rPr>
        <w:t xml:space="preserve">    }</w:t>
      </w:r>
      <w:r>
        <w:br/>
      </w:r>
      <w:r>
        <w:rPr>
          <w:rStyle w:val="NormalTok"/>
        </w:rPr>
        <w:t xml:space="preserve">    firmwareVersion: </w:t>
      </w:r>
      <w:r>
        <w:rPr>
          <w:rStyle w:val="StringTok"/>
        </w:rPr>
        <w:t xml:space="preserve">"3.12"</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1</w:t>
      </w:r>
      <w:r>
        <w:br/>
      </w:r>
      <w:r>
        <w:rPr>
          <w:rStyle w:val="NormalTok"/>
        </w:rPr>
        <w:t xml:space="preserve">    description: </w:t>
      </w:r>
      <w:r>
        <w:rPr>
          <w:rStyle w:val="StringTok"/>
        </w:rPr>
        <w:t xml:space="preserve">"Weather parameters"</w:t>
      </w:r>
      <w:r>
        <w:br/>
      </w:r>
      <w:r>
        <w:rPr>
          <w:rStyle w:val="NormalTok"/>
        </w:rPr>
        <w:t xml:space="preserve">    parameters {</w:t>
      </w:r>
      <w:r>
        <w:br/>
      </w:r>
      <w:r>
        <w:rPr>
          <w:rStyle w:val="NormalTok"/>
        </w:rPr>
        <w:t xml:space="preserve">      longName: </w:t>
      </w:r>
      <w:r>
        <w:rPr>
          <w:rStyle w:val="StringTok"/>
        </w:rPr>
        <w:t xml:space="preserve">"Air Temperature"</w:t>
      </w:r>
      <w:r>
        <w:br/>
      </w:r>
      <w:r>
        <w:rPr>
          <w:rStyle w:val="NormalTok"/>
        </w:rPr>
        <w:t xml:space="preserve">      unit: </w:t>
      </w:r>
      <w:r>
        <w:rPr>
          <w:rStyle w:val="StringTok"/>
        </w:rPr>
        <w:t xml:space="preserve">"°C"</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"air_temperature"</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"Relative Humidity"</w:t>
      </w:r>
      <w:r>
        <w:br/>
      </w:r>
      <w:r>
        <w:rPr>
          <w:rStyle w:val="NormalTok"/>
        </w:rPr>
        <w:t xml:space="preserve">      unit: </w:t>
      </w:r>
      <w:r>
        <w:rPr>
          <w:rStyle w:val="StringTok"/>
        </w:rPr>
        <w:t xml:space="preserve">"%"</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"relative_humidity"</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"Barometric Pressure"</w:t>
      </w:r>
      <w:r>
        <w:br/>
      </w:r>
      <w:r>
        <w:rPr>
          <w:rStyle w:val="NormalTok"/>
        </w:rPr>
        <w:t xml:space="preserve">      unit: </w:t>
      </w:r>
      <w:r>
        <w:rPr>
          <w:rStyle w:val="StringTok"/>
        </w:rPr>
        <w:t xml:space="preserve">"hPa"</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"air_pressure"</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"Wind Speed (10min mean)"</w:t>
      </w:r>
      <w:r>
        <w:br/>
      </w:r>
      <w:r>
        <w:rPr>
          <w:rStyle w:val="NormalTok"/>
        </w:rPr>
        <w:t xml:space="preserve">      unit: </w:t>
      </w:r>
      <w:r>
        <w:rPr>
          <w:rStyle w:val="StringTok"/>
        </w:rPr>
        <w:t xml:space="preserve">"m/s"</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"wind_speed"</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"Wind Direction (10min mean)"</w:t>
      </w:r>
      <w:r>
        <w:br/>
      </w:r>
      <w:r>
        <w:rPr>
          <w:rStyle w:val="NormalTok"/>
        </w:rPr>
        <w:t xml:space="preserve">      unit: </w:t>
      </w:r>
      <w:r>
        <w:rPr>
          <w:rStyle w:val="StringTok"/>
        </w:rPr>
        <w:t xml:space="preserve">"°"</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"wind_from_direction"</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"Precipitation"</w:t>
      </w:r>
      <w:r>
        <w:br/>
      </w:r>
      <w:r>
        <w:rPr>
          <w:rStyle w:val="NormalTok"/>
        </w:rPr>
        <w:t xml:space="preserve">      unit: </w:t>
      </w:r>
      <w:r>
        <w:rPr>
          <w:rStyle w:val="StringTok"/>
        </w:rPr>
        <w:t xml:space="preserve">"mm"</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SUM</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"precipitation_amount"</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2</w:t>
      </w:r>
      <w:r>
        <w:br/>
      </w:r>
      <w:r>
        <w:rPr>
          <w:rStyle w:val="NormalTok"/>
        </w:rPr>
        <w:t xml:space="preserve">    description: </w:t>
      </w:r>
      <w:r>
        <w:rPr>
          <w:rStyle w:val="StringTok"/>
        </w:rPr>
        <w:t xml:space="preserve">"Internal logger parameters"</w:t>
      </w:r>
      <w:r>
        <w:br/>
      </w:r>
      <w:r>
        <w:rPr>
          <w:rStyle w:val="NormalTok"/>
        </w:rPr>
        <w:t xml:space="preserve">    parameters {</w:t>
      </w:r>
      <w:r>
        <w:br/>
      </w:r>
      <w:r>
        <w:rPr>
          <w:rStyle w:val="NormalTok"/>
        </w:rPr>
        <w:t xml:space="preserve">      longName: </w:t>
      </w:r>
      <w:r>
        <w:rPr>
          <w:rStyle w:val="StringTok"/>
        </w:rPr>
        <w:t xml:space="preserve">"Battery Voltage"</w:t>
      </w:r>
      <w:r>
        <w:br/>
      </w:r>
      <w:r>
        <w:rPr>
          <w:rStyle w:val="NormalTok"/>
        </w:rPr>
        <w:t xml:space="preserve">      unit: </w:t>
      </w:r>
      <w:r>
        <w:rPr>
          <w:rStyle w:val="StringTok"/>
        </w:rPr>
        <w:t xml:space="preserve">"V"</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"Solar Panel Voltage"</w:t>
      </w:r>
      <w:r>
        <w:br/>
      </w:r>
      <w:r>
        <w:rPr>
          <w:rStyle w:val="NormalTok"/>
        </w:rPr>
        <w:t xml:space="preserve">      unit: </w:t>
      </w:r>
      <w:r>
        <w:rPr>
          <w:rStyle w:val="StringTok"/>
        </w:rPr>
        <w:t xml:space="preserve">"V"</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"Internal Logger Temperature"</w:t>
      </w:r>
      <w:r>
        <w:br/>
      </w:r>
      <w:r>
        <w:rPr>
          <w:rStyle w:val="NormalTok"/>
        </w:rPr>
        <w:t xml:space="preserve">      unit: </w:t>
      </w:r>
      <w:r>
        <w:rPr>
          <w:rStyle w:val="StringTok"/>
        </w:rPr>
        <w:t xml:space="preserve">"°C"</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w:t>
      </w:r>
      <w:r>
        <w:br/>
      </w:r>
      <w:r>
        <w:rPr>
          <w:rStyle w:val="NormalTok"/>
        </w:rPr>
        <w:t xml:space="preserve">  namespaces {</w:t>
      </w:r>
      <w:r>
        <w:br/>
      </w:r>
      <w:r>
        <w:rPr>
          <w:rStyle w:val="NormalTok"/>
        </w:rPr>
        <w:t xml:space="preserve">    key: </w:t>
      </w:r>
      <w:r>
        <w:rPr>
          <w:rStyle w:val="StringTok"/>
        </w:rPr>
        <w:t xml:space="preserve">"cf"</w:t>
      </w:r>
      <w:r>
        <w:br/>
      </w:r>
      <w:r>
        <w:rPr>
          <w:rStyle w:val="NormalTok"/>
        </w:rPr>
        <w:t xml:space="preserve">    value: </w:t>
      </w:r>
      <w:r>
        <w:rPr>
          <w:rStyle w:val="StringTok"/>
        </w:rPr>
        <w:t xml:space="preserve">"https://vocab.nerc.ac.uk/standard_name/"</w:t>
      </w:r>
      <w:r>
        <w:br/>
      </w:r>
      <w:r>
        <w:rPr>
          <w:rStyle w:val="NormalTok"/>
        </w:rPr>
        <w:t xml:space="preserve">  }</w:t>
      </w:r>
      <w:r>
        <w:br/>
      </w:r>
      <w:r>
        <w:rPr>
          <w:rStyle w:val="NormalTok"/>
        </w:rPr>
        <w:t xml:space="preserve">}</w:t>
      </w:r>
    </w:p>
    <w:p>
      <w:pPr>
        <w:pStyle w:val="FirstParagraph"/>
      </w:pPr>
      <w:r>
        <w:rPr>
          <w:bCs/>
          <w:b/>
        </w:rPr>
        <w:t xml:space="preserve">FirstMileMessage (data)</w:t>
      </w:r>
    </w:p>
    <w:p>
      <w:pPr>
        <w:pStyle w:val="SourceCode"/>
      </w:pPr>
      <w:r>
        <w:rPr>
          <w:rStyle w:val="NormalTok"/>
        </w:rPr>
        <w:t xml:space="preserve">data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18.6</w:t>
      </w:r>
      <w:r>
        <w:rPr>
          <w:rStyle w:val="NormalTok"/>
        </w:rPr>
        <w:t xml:space="preserve"> }</w:t>
      </w:r>
      <w:r>
        <w:br/>
      </w:r>
      <w:r>
        <w:rPr>
          <w:rStyle w:val="NormalTok"/>
        </w:rPr>
        <w:t xml:space="preserve">    values { doubleValue: </w:t>
      </w:r>
      <w:r>
        <w:rPr>
          <w:rStyle w:val="FloatTok"/>
        </w:rPr>
        <w:t xml:space="preserve">72.3</w:t>
      </w:r>
      <w:r>
        <w:rPr>
          <w:rStyle w:val="NormalTok"/>
        </w:rPr>
        <w:t xml:space="preserve"> }</w:t>
      </w:r>
      <w:r>
        <w:br/>
      </w:r>
      <w:r>
        <w:rPr>
          <w:rStyle w:val="NormalTok"/>
        </w:rPr>
        <w:t xml:space="preserve">    values { emptyValue {} }</w:t>
      </w:r>
      <w:r>
        <w:br/>
      </w:r>
      <w:r>
        <w:rPr>
          <w:rStyle w:val="NormalTok"/>
        </w:rPr>
        <w:t xml:space="preserve">    values { doubleValue: </w:t>
      </w:r>
      <w:r>
        <w:rPr>
          <w:rStyle w:val="FloatTok"/>
        </w:rPr>
        <w:t xml:space="preserve">3.4</w:t>
      </w:r>
      <w:r>
        <w:rPr>
          <w:rStyle w:val="NormalTok"/>
        </w:rPr>
        <w:t xml:space="preserve"> }</w:t>
      </w:r>
      <w:r>
        <w:br/>
      </w:r>
      <w:r>
        <w:rPr>
          <w:rStyle w:val="NormalTok"/>
        </w:rPr>
        <w:t xml:space="preserve">    values { doubleValue: </w:t>
      </w:r>
      <w:r>
        <w:rPr>
          <w:rStyle w:val="FloatTok"/>
        </w:rPr>
        <w:t xml:space="preserve">215.0</w:t>
      </w:r>
      <w:r>
        <w:rPr>
          <w:rStyle w:val="NormalTok"/>
        </w:rPr>
        <w:t xml:space="preserve"> }</w:t>
      </w:r>
      <w:r>
        <w:br/>
      </w:r>
      <w:r>
        <w:rPr>
          <w:rStyle w:val="NormalTok"/>
        </w:rPr>
        <w:t xml:space="preserve">    values { doubleValue: </w:t>
      </w:r>
      <w:r>
        <w:rPr>
          <w:rStyle w:val="FloatTok"/>
        </w:rPr>
        <w:t xml:space="preserve">0.4</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2</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12.4</w:t>
      </w:r>
      <w:r>
        <w:rPr>
          <w:rStyle w:val="NormalTok"/>
        </w:rPr>
        <w:t xml:space="preserve"> }</w:t>
      </w:r>
      <w:r>
        <w:br/>
      </w:r>
      <w:r>
        <w:rPr>
          <w:rStyle w:val="NormalTok"/>
        </w:rPr>
        <w:t xml:space="preserve">    values { doubleValue: </w:t>
      </w:r>
      <w:r>
        <w:rPr>
          <w:rStyle w:val="FloatTok"/>
        </w:rPr>
        <w:t xml:space="preserve">17.6</w:t>
      </w:r>
      <w:r>
        <w:rPr>
          <w:rStyle w:val="NormalTok"/>
        </w:rPr>
        <w:t xml:space="preserve"> }</w:t>
      </w:r>
      <w:r>
        <w:br/>
      </w:r>
      <w:r>
        <w:rPr>
          <w:rStyle w:val="NormalTok"/>
        </w:rPr>
        <w:t xml:space="preserve">    values { doubleValue: </w:t>
      </w:r>
      <w:r>
        <w:rPr>
          <w:rStyle w:val="FloatTok"/>
        </w:rPr>
        <w:t xml:space="preserve">29.3</w:t>
      </w:r>
      <w:r>
        <w:rPr>
          <w:rStyle w:val="NormalTok"/>
        </w:rPr>
        <w:t xml:space="preserve"> }</w:t>
      </w:r>
      <w:r>
        <w:br/>
      </w:r>
      <w:r>
        <w:rPr>
          <w:rStyle w:val="NormalTok"/>
        </w:rPr>
        <w:t xml:space="preserve">  }</w:t>
      </w:r>
      <w:r>
        <w:br/>
      </w:r>
      <w:r>
        <w:rPr>
          <w:rStyle w:val="NormalTok"/>
        </w:rPr>
        <w:t xml:space="preserve">}</w:t>
      </w:r>
    </w:p>
    <w:bookmarkEnd w:id="104"/>
    <w:bookmarkEnd w:id="105"/>
    <w:bookmarkEnd w:id="106"/>
    <w:bookmarkStart w:id="109" w:name="Bibliography"/>
    <w:p>
      <w:pPr>
        <w:pStyle w:val="Heading1"/>
      </w:pPr>
      <w:r>
        <w:t xml:space="preserve">Bibliography</w:t>
      </w:r>
    </w:p>
    <w:p>
      <w:pPr>
        <w:numPr>
          <w:ilvl w:val="0"/>
          <w:numId w:val="1016"/>
        </w:numPr>
      </w:pPr>
      <w:bookmarkStart w:id="107" w:name="link-relations"/>
      <w:bookmarkEnd w:id="107"/>
      <w:r>
        <w:t xml:space="preserve"> </w:t>
      </w:r>
      <w:r>
        <w:t xml:space="preserve">IANA: Link Relation Types,</w:t>
      </w:r>
      <w:r>
        <w:t xml:space="preserve"> </w:t>
      </w:r>
      <w:hyperlink r:id="rId108">
        <w:r>
          <w:rPr>
            <w:rStyle w:val="Hyperlink"/>
          </w:rPr>
          <w:t xml:space="preserve">https://www.iana.org/assignments/link-relations/link-relations.xml</w:t>
        </w:r>
      </w:hyperlink>
    </w:p>
    <w:bookmarkEnd w:id="109"/>
    <w:bookmarkStart w:id="11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https://community.wmo.int/site/knowledge-hub/governance/infcom/standing-committee-information-management-and-technology-sc-imt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https://community.wmo.int/site/knowledge-hub/governance/infcom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hyperlink" Id="rId33" Target="http://wis.wmo.int/spec/fmde/1" TargetMode="External" /><Relationship Type="http://schemas.openxmlformats.org/officeDocument/2006/relationships/hyperlink" Id="rId51" Target="http://wis.wmo.int/spec/fmde/1/req/message-encoding" TargetMode="External" /><Relationship Type="http://schemas.openxmlformats.org/officeDocument/2006/relationships/hyperlink" Id="rId68" Target="http://wis.wmo.int/spec/fmde/1/req/parameter-standard-names" TargetMode="External" /><Relationship Type="http://schemas.openxmlformats.org/officeDocument/2006/relationships/hyperlink" Id="rId77" Target="http://wis.wmo.int/spec/fmde/1/req/transmission" TargetMode="External" /><Relationship Type="http://schemas.openxmlformats.org/officeDocument/2006/relationships/hyperlink" Id="rId72" Target="https://cfconventions.org/Data/cf-standard-names/current/build/cf-standard-name-table.html" TargetMode="External" /><Relationship Type="http://schemas.openxmlformats.org/officeDocument/2006/relationships/hyperlink" Id="rId73" Target="https://codes.wmo.int" TargetMode="External" /><Relationship Type="http://schemas.openxmlformats.org/officeDocument/2006/relationships/hyperlink" Id="rId60" Target="https://codes.wmo.int/common/unit" TargetMode="External" /><Relationship Type="http://schemas.openxmlformats.org/officeDocument/2006/relationships/hyperlink" Id="rId23" Target="https://community.wmo.int/site/knowledge-hub/governance/infcom" TargetMode="External" /><Relationship Type="http://schemas.openxmlformats.org/officeDocument/2006/relationships/hyperlink" Id="rId21" Target="https://community.wmo.int/site/knowledge-hub/governance/infcom/standing-committee-information-management-and-technology-sc-imt" TargetMode="External" /><Relationship Type="http://schemas.openxmlformats.org/officeDocument/2006/relationships/hyperlink" Id="rId79"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e/1.0.0" TargetMode="External" /><Relationship Type="http://schemas.openxmlformats.org/officeDocument/2006/relationships/hyperlink" Id="rId35" Target="https://schemas.wmo.int/fmde/1.0.0/examples" TargetMode="External" /><Relationship Type="http://schemas.openxmlformats.org/officeDocument/2006/relationships/hyperlink" Id="rId108" Target="https://www.iana.org/assignments/link-relations/link-relations.xml" TargetMode="External" /><Relationship Type="http://schemas.openxmlformats.org/officeDocument/2006/relationships/hyperlink" Id="rId85" Target="https://www.itu.int/rec/T-REC-T.50" TargetMode="External" /></Relationships>
</file>

<file path=word/_rels/footnotes.xml.rels><?xml version="1.0" encoding="UTF-8"?><Relationships xmlns="http://schemas.openxmlformats.org/package/2006/relationships"><Relationship Type="http://schemas.openxmlformats.org/officeDocument/2006/relationships/hyperlink" Id="rId33" Target="http://wis.wmo.int/spec/fmde/1" TargetMode="External" /><Relationship Type="http://schemas.openxmlformats.org/officeDocument/2006/relationships/hyperlink" Id="rId51" Target="http://wis.wmo.int/spec/fmde/1/req/message-encoding" TargetMode="External" /><Relationship Type="http://schemas.openxmlformats.org/officeDocument/2006/relationships/hyperlink" Id="rId68" Target="http://wis.wmo.int/spec/fmde/1/req/parameter-standard-names" TargetMode="External" /><Relationship Type="http://schemas.openxmlformats.org/officeDocument/2006/relationships/hyperlink" Id="rId77" Target="http://wis.wmo.int/spec/fmde/1/req/transmission" TargetMode="External" /><Relationship Type="http://schemas.openxmlformats.org/officeDocument/2006/relationships/hyperlink" Id="rId72" Target="https://cfconventions.org/Data/cf-standard-names/current/build/cf-standard-name-table.html" TargetMode="External" /><Relationship Type="http://schemas.openxmlformats.org/officeDocument/2006/relationships/hyperlink" Id="rId73" Target="https://codes.wmo.int" TargetMode="External" /><Relationship Type="http://schemas.openxmlformats.org/officeDocument/2006/relationships/hyperlink" Id="rId60" Target="https://codes.wmo.int/common/unit" TargetMode="External" /><Relationship Type="http://schemas.openxmlformats.org/officeDocument/2006/relationships/hyperlink" Id="rId23" Target="https://community.wmo.int/site/knowledge-hub/governance/infcom" TargetMode="External" /><Relationship Type="http://schemas.openxmlformats.org/officeDocument/2006/relationships/hyperlink" Id="rId21" Target="https://community.wmo.int/site/knowledge-hub/governance/infcom/standing-committee-information-management-and-technology-sc-imt" TargetMode="External" /><Relationship Type="http://schemas.openxmlformats.org/officeDocument/2006/relationships/hyperlink" Id="rId79"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e/1.0.0" TargetMode="External" /><Relationship Type="http://schemas.openxmlformats.org/officeDocument/2006/relationships/hyperlink" Id="rId35" Target="https://schemas.wmo.int/fmde/1.0.0/examples" TargetMode="External" /><Relationship Type="http://schemas.openxmlformats.org/officeDocument/2006/relationships/hyperlink" Id="rId108" Target="https://www.iana.org/assignments/link-relations/link-relations.xml" TargetMode="External" /><Relationship Type="http://schemas.openxmlformats.org/officeDocument/2006/relationships/hyperlink" Id="rId85" Target="https://www.itu.int/rec/T-REC-T.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Exchange</dc:title>
  <dc:creator/>
  <cp:keywords/>
  <dcterms:created xsi:type="dcterms:W3CDTF">2026-07-09T10:46:37Z</dcterms:created>
  <dcterms:modified xsi:type="dcterms:W3CDTF">2026-07-09T10:46:37Z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2026-07-09</vt:lpwstr>
  </property>
</Properties>
</file>