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4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The "thing" that collects and transmits data. Typically at the remote site, such as a weather station. This would be a device such as a datalogger or a sensor.</w:t>
      </w:r>
    </w:p>
    <w:bookmarkEnd w:id="32"/>
    <w:bookmarkStart w:id="33" w:name="X3bfbfb361e3dc0cf06205e06703b599ce9fc4bf"/>
    <w:p>
      <w:pPr>
        <w:pStyle w:val="Heading2"/>
      </w:pPr>
      <w:r>
        <w:t xml:space="preserve">Hub</w:t>
      </w:r>
    </w:p>
    <w:p>
      <w:pPr>
        <w:pStyle w:val="FirstParagraph"/>
      </w:pPr>
      <w:r>
        <w:t xml:space="preserve">The software at the central server that receives data from the Node and prepares it for further processing. It must be able to receive the data using the agreed Data Format and Protocol.</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measurement data point collected by the Node, such as a temperature reading, humidity level, or wind speed.</w:t>
      </w:r>
    </w:p>
    <w:bookmarkEnd w:id="38"/>
    <w:bookmarkStart w:id="39" w:name="X9c3cd13a7594ae0b3e7c5f757c69c929cc7935d"/>
    <w:p>
      <w:pPr>
        <w:pStyle w:val="Heading2"/>
      </w:pPr>
      <w:r>
        <w:t xml:space="preserve">Metadata</w:t>
      </w:r>
    </w:p>
    <w:p>
      <w:pPr>
        <w:pStyle w:val="FirstParagraph"/>
      </w:pPr>
      <w:r>
        <w:t xml:space="preserve">Additional information, such as the monitoring site ID, location, types of sensors, measured variables, measurement units, and other relevant details. It provides context for the data being transmitted.</w:t>
      </w:r>
    </w:p>
    <w:bookmarkEnd w:id="39"/>
    <w:bookmarkStart w:id="40"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0"/>
    <w:bookmarkEnd w:id="41"/>
    <w:bookmarkStart w:id="4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43"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2">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43"/>
    <w:bookmarkStart w:id="45"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44">
        <w:r>
          <w:rPr>
            <w:rStyle w:val="Hyperlink"/>
          </w:rPr>
          <w:t xml:space="preserve">https://schemas.wmo.int/fmdm/1.0.0/examples</w:t>
        </w:r>
      </w:hyperlink>
    </w:p>
    <w:bookmarkEnd w:id="45"/>
    <w:bookmarkStart w:id="47"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46">
        <w:r>
          <w:rPr>
            <w:rStyle w:val="Hyperlink"/>
          </w:rPr>
          <w:t xml:space="preserve">https://schemas.wmo.int/fmdm/1.0.0</w:t>
        </w:r>
      </w:hyperlink>
    </w:p>
    <w:bookmarkEnd w:id="47"/>
    <w:bookmarkStart w:id="48"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48"/>
    <w:bookmarkEnd w:id="49"/>
    <w:bookmarkStart w:id="54" w:name="Xc683cc3eb5f62f1b2665ffbeddec6924032d7d2"/>
    <w:p>
      <w:pPr>
        <w:pStyle w:val="Heading1"/>
      </w:pPr>
      <w:r>
        <w:t xml:space="preserve">Overview (informative)</w:t>
      </w:r>
    </w:p>
    <w:bookmarkStart w:id="50"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0"/>
    <w:bookmarkStart w:id="53"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51"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51"/>
    <w:bookmarkStart w:id="52" w:name="Xeb3755b0f5fc801b9ca59eeff88831d7e633675"/>
    <w:p>
      <w:pPr>
        <w:pStyle w:val="Heading3"/>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Node and Hub.</w:t>
            </w:r>
          </w:p>
        </w:tc>
      </w:tr>
      <w:tr>
        <w:tc>
          <w:tcPr/>
          <w:p>
            <w:pPr>
              <w:jc w:val="left"/>
            </w:pPr>
            <w:r>
              <w:t xml:space="preserve">Node</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Hub</w:t>
            </w:r>
          </w:p>
        </w:tc>
        <w:tc>
          <w:tcPr/>
          <w:p>
            <w:pPr>
              <w:jc w:val="left"/>
            </w:pPr>
            <w:r>
              <w:t xml:space="preserve">Covers the receiver-side behavior for accepting, decoding, and interpreting payloads received from the Node.</w:t>
            </w:r>
          </w:p>
        </w:tc>
      </w:tr>
    </w:tbl>
    <w:bookmarkEnd w:id="52"/>
    <w:bookmarkEnd w:id="53"/>
    <w:bookmarkEnd w:id="54"/>
    <w:bookmarkStart w:id="71" w:name="Xcf8df71770e278956d1af1654bdc7462ec5e71a"/>
    <w:p>
      <w:pPr>
        <w:pStyle w:val="Heading1"/>
      </w:pPr>
      <w:r>
        <w:t xml:space="preserve">Data Model</w:t>
      </w:r>
    </w:p>
    <w:p>
      <w:pPr>
        <w:pStyle w:val="FirstParagraph"/>
      </w:pPr>
      <w:r>
        <w:t xml:space="preserve">The data model defines the structure and organization of information transmitted from the Node to the Hub using Protocol Buffers (Protobuf) as the Data Format. The data model is formally specified in the protobuf schema firstmile.proto.</w:t>
      </w:r>
    </w:p>
    <w:p>
      <w:pPr>
        <w:pStyle w:val="BodyText"/>
      </w:pPr>
      <w:r>
        <w:t xml:space="preserve">The data model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over MQTT. The Metadata message provides the necessary context for interpreting the Data message, including descriptions of devices and parameters.</w:t>
      </w:r>
    </w:p>
    <w:bookmarkStart w:id="70" w:name="X25304b3aaa051744057eab1e035591fa55342cc"/>
    <w:p>
      <w:pPr>
        <w:pStyle w:val="Heading2"/>
      </w:pPr>
      <w:r>
        <w:t xml:space="preserve">Requirements Class "Data Model"</w:t>
      </w:r>
    </w:p>
    <w:bookmarkStart w:id="56" w:name="X43f9398da9c2eb974194c1e60a2fdc80e1bfc87"/>
    <w:p>
      <w:pPr>
        <w:pStyle w:val="Heading3"/>
      </w:pPr>
      <w:r>
        <w:t xml:space="preserve">Overview</w:t>
      </w:r>
    </w:p>
    <w:p>
      <w:pPr>
        <w:pStyle w:val="FirstParagraph"/>
      </w:pPr>
      <w:r>
        <w:t xml:space="preserve">This Requirements Class provides requirements for the Data Model.</w:t>
      </w:r>
    </w:p>
    <w:p>
      <w:pPr>
        <w:pStyle w:val="BodyText"/>
      </w:pPr>
      <w:r>
        <w:t xml:space="preserve">The data model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5">
              <w:r>
                <w:rPr>
                  <w:rStyle w:val="Hyperlink"/>
                </w:rPr>
                <w:t xml:space="preserve">http://wis.wmo.int/spec/fmdm/1/req/data-model</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56"/>
    <w:bookmarkStart w:id="57"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7"/>
    <w:bookmarkStart w:id="58"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8"/>
    <w:bookmarkStart w:id="59"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9"/>
    <w:bookmarkStart w:id="60"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one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to define a mapping of namespace prefixes to their corresponding URIs for standard name resolution.</w:t>
            </w:r>
          </w:p>
        </w:tc>
      </w:tr>
    </w:tbl>
    <w:bookmarkEnd w:id="60"/>
    <w:bookmarkStart w:id="61"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61"/>
    <w:bookmarkStart w:id="62"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62"/>
    <w:bookmarkStart w:id="63"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a</w:t>
            </w:r>
            <w:r>
              <w:t xml:space="preserve"> </w:t>
            </w:r>
            <w:r>
              <w:rPr>
                <w:rStyle w:val="VerbatimChar"/>
              </w:rPr>
              <w:t xml:space="preserve">description</w:t>
            </w:r>
            <w:r>
              <w:t xml:space="preserve"> </w:t>
            </w:r>
            <w:r>
              <w:t xml:space="preserve">element.</w:t>
            </w:r>
          </w:p>
        </w:tc>
      </w:tr>
    </w:tbl>
    <w:bookmarkEnd w:id="63"/>
    <w:bookmarkStart w:id="65"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4">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one to many namespace prefix and URI maps for the equivalent parameter name in an external vocabulary.</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descriving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l 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5"/>
    <w:bookmarkStart w:id="66"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66"/>
    <w:bookmarkStart w:id="67"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/req/data-model/data</w:t>
            </w:r>
          </w:p>
        </w:tc>
      </w:tr>
      <w:tr>
        <w:tc>
          <w:tcPr/>
          <w:p>
            <w:pPr>
              <w:jc w:val="center"/>
            </w:pPr>
            <w:r>
              <w:t xml:space="preserve">A</w:t>
            </w:r>
          </w:p>
        </w:tc>
        <w:tc>
          <w:tcPr/>
          <w:p>
            <w:pPr>
              <w:jc w:val="left"/>
            </w:pPr>
            <w:r>
              <w:t xml:space="preserve">A Data message SHALL define one of more</w:t>
            </w:r>
            <w:r>
              <w:t xml:space="preserve"> </w:t>
            </w:r>
            <w:r>
              <w:rPr>
                <w:rStyle w:val="VerbatimChar"/>
              </w:rPr>
              <w:t xml:space="preserve">observations</w:t>
            </w:r>
            <w:r>
              <w:t xml:space="preserve"> </w:t>
            </w:r>
            <w:r>
              <w:t xml:space="preserve">elements to describe observation measurements.</w:t>
            </w:r>
          </w:p>
        </w:tc>
      </w:tr>
    </w:tbl>
    <w:bookmarkEnd w:id="67"/>
    <w:bookmarkStart w:id="68"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/req/data-model/observation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to many</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8"/>
    <w:bookmarkStart w:id="69"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/req/data-model/value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69"/>
    <w:bookmarkEnd w:id="70"/>
    <w:bookmarkEnd w:id="71"/>
    <w:bookmarkStart w:id="74" w:name="X25e95aefdb2d4fb8c75b602001aef8d2717b74f"/>
    <w:p>
      <w:pPr>
        <w:pStyle w:val="Heading1"/>
      </w:pPr>
      <w:r>
        <w:t xml:space="preserve">Protocol</w:t>
      </w:r>
    </w:p>
    <w:p>
      <w:pPr>
        <w:pStyle w:val="FirstParagraph"/>
      </w:pPr>
      <w:r>
        <w:t xml:space="preserve">TODO one sentence</w:t>
      </w:r>
    </w:p>
    <w:bookmarkStart w:id="73" w:name="X7fc4d80d59f1a6bb213f5c449042be19cbf9c46"/>
    <w:p>
      <w:pPr>
        <w:pStyle w:val="Heading2"/>
      </w:pPr>
      <w:r>
        <w:t xml:space="preserve">Requirements Class "Protocol"</w:t>
      </w:r>
    </w:p>
    <w:bookmarkStart w:id="72"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72"/>
    <w:bookmarkEnd w:id="73"/>
    <w:bookmarkEnd w:id="74"/>
    <w:bookmarkStart w:id="78" w:name="X78fdb1f4716baf4c26796c550dad0531813f831"/>
    <w:p>
      <w:pPr>
        <w:pStyle w:val="Heading1"/>
      </w:pPr>
      <w:r>
        <w:t xml:space="preserve">Conformance Class Abstract Test Suite (Normative)</w:t>
      </w:r>
    </w:p>
    <w:bookmarkStart w:id="76" w:name="X51fa1da9981b3d6ab7f3934407e02f2e1780fbc"/>
    <w:p>
      <w:pPr>
        <w:pStyle w:val="Heading2"/>
      </w:pPr>
      <w:r>
        <w:t xml:space="preserve">Conformance Class: Data Model</w:t>
      </w:r>
    </w:p>
    <w:p>
      <w:pPr>
        <w:pStyle w:val="DefinitionTerm"/>
      </w:pPr>
      <w:r>
        <w:t xml:space="preserve">label</w:t>
      </w:r>
    </w:p>
    <w:p>
      <w:pPr>
        <w:pStyle w:val="Definition"/>
      </w:pPr>
      <w:hyperlink r:id="rId55">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75"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75"/>
    <w:bookmarkEnd w:id="76"/>
    <w:bookmarkStart w:id="77"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77"/>
    <w:bookmarkEnd w:id="78"/>
    <w:bookmarkStart w:id="83"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79"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79"/>
    <w:bookmarkStart w:id="82" w:name="Xdd1fe16469c2eadaa904f6e369398e4a8c19852"/>
    <w:p>
      <w:pPr>
        <w:pStyle w:val="Heading2"/>
      </w:pPr>
      <w:r>
        <w:t xml:space="preserve">Enumerations</w:t>
      </w:r>
    </w:p>
    <w:bookmarkStart w:id="80"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80"/>
    <w:bookmarkStart w:id="81"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81"/>
    <w:bookmarkEnd w:id="82"/>
    <w:bookmarkEnd w:id="83"/>
    <w:bookmarkStart w:id="86" w:name="examples"/>
    <w:p>
      <w:pPr>
        <w:pStyle w:val="Heading1"/>
      </w:pPr>
      <w:r>
        <w:t xml:space="preserve">Examples (Informative)</w:t>
      </w:r>
    </w:p>
    <w:bookmarkStart w:id="84" w:name="X68ae7d3cf07904a2b65da44dbbe6172616b3505"/>
    <w:p>
      <w:pPr>
        <w:pStyle w:val="Heading2"/>
      </w:pPr>
      <w:r>
        <w:t xml:space="preserve">Transmission topics</w:t>
      </w:r>
    </w:p>
    <w:bookmarkEnd w:id="84"/>
    <w:bookmarkStart w:id="85" w:name="X9f4d614843744384f3a7741ad5521bc4cfb9588"/>
    <w:p>
      <w:pPr>
        <w:pStyle w:val="Heading2"/>
      </w:pPr>
      <w:r>
        <w:t xml:space="preserve">Data and metadata messages</w:t>
      </w:r>
    </w:p>
    <w:bookmarkEnd w:id="85"/>
    <w:bookmarkEnd w:id="86"/>
    <w:bookmarkStart w:id="89" w:name="Bibliography"/>
    <w:p>
      <w:pPr>
        <w:pStyle w:val="Heading1"/>
      </w:pPr>
      <w:r>
        <w:t xml:space="preserve">Bibliography</w:t>
      </w:r>
    </w:p>
    <w:p>
      <w:pPr>
        <w:numPr>
          <w:ilvl w:val="0"/>
          <w:numId w:val="1006"/>
        </w:numPr>
      </w:pPr>
      <w:bookmarkStart w:id="87" w:name="link-relations"/>
      <w:bookmarkEnd w:id="87"/>
      <w:r>
        <w:t xml:space="preserve"> </w:t>
      </w:r>
      <w:r>
        <w:t xml:space="preserve">IANA: Link Relation Types,</w:t>
      </w:r>
      <w:r>
        <w:t xml:space="preserve"> </w:t>
      </w:r>
      <w:hyperlink r:id="rId88">
        <w:r>
          <w:rPr>
            <w:rStyle w:val="Hyperlink"/>
          </w:rPr>
          <w:t xml:space="preserve">https://www.iana.org/assignments/link-relations/link-relations.xml</w:t>
        </w:r>
      </w:hyperlink>
    </w:p>
    <w:bookmarkEnd w:id="89"/>
    <w:bookmarkStart w:id="9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is.wmo.int/spec/fmdm/1" TargetMode="External" /><Relationship Type="http://schemas.openxmlformats.org/officeDocument/2006/relationships/hyperlink" Id="rId55" Target="http://wis.wmo.int/spec/fmdm/1/req/data-model" TargetMode="External" /><Relationship Type="http://schemas.openxmlformats.org/officeDocument/2006/relationships/hyperlink" Id="rId64"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8"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42" Target="http://wis.wmo.int/spec/fmdm/1" TargetMode="External" /><Relationship Type="http://schemas.openxmlformats.org/officeDocument/2006/relationships/hyperlink" Id="rId55" Target="http://wis.wmo.int/spec/fmdm/1/req/data-model" TargetMode="External" /><Relationship Type="http://schemas.openxmlformats.org/officeDocument/2006/relationships/hyperlink" Id="rId64"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8"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2026-06-15T20:00:12Z</dcterms:created>
  <dcterms:modified xsi:type="dcterms:W3CDTF">2026-06-15T20:00:12Z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