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data model.</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3"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2"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Start w:id="61"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61"/>
    <w:bookmarkEnd w:id="62"/>
    <w:bookmarkEnd w:id="63"/>
    <w:bookmarkStart w:id="86"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85" w:name="X25304b3aaa051744057eab1e035591fa55342cc"/>
    <w:p>
      <w:pPr>
        <w:pStyle w:val="Heading2"/>
      </w:pPr>
      <w:r>
        <w:t xml:space="preserve">Requirements Class "Data Model"</w:t>
      </w:r>
    </w:p>
    <w:bookmarkStart w:id="65"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4">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65"/>
    <w:bookmarkStart w:id="66"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6"/>
    <w:bookmarkStart w:id="67"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7"/>
    <w:bookmarkStart w:id="68"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8"/>
    <w:bookmarkStart w:id="69"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69"/>
    <w:bookmarkStart w:id="70"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70"/>
    <w:bookmarkStart w:id="71"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1"/>
    <w:bookmarkStart w:id="72"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2"/>
    <w:bookmarkStart w:id="74"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3">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or more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4"/>
    <w:bookmarkStart w:id="80" w:name="Xdd7eb3629e434f7b7e0591ed0ba3c4fbe841976"/>
    <w:p>
      <w:pPr>
        <w:pStyle w:val="Heading3"/>
      </w:pPr>
      <w:r>
        <w:t xml:space="preserve">Standard name binding</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p>
      <w:pPr>
        <w:pStyle w:val="BodyText"/>
      </w:pPr>
      <w:r>
        <w:t xml:space="preserve">The binding mechanism uses two related fields in the data model:</w:t>
      </w:r>
    </w:p>
    <w:p>
      <w:pPr>
        <w:numPr>
          <w:ilvl w:val="0"/>
          <w:numId w:val="1006"/>
        </w:numPr>
      </w:pPr>
      <w:r>
        <w:t xml:space="preserve">Metadata</w:t>
      </w:r>
      <w:r>
        <w:t xml:space="preserve"> </w:t>
      </w:r>
      <w:r>
        <w:rPr>
          <w:rStyle w:val="VerbatimChar"/>
        </w:rPr>
        <w:t xml:space="preserve">namespaces</w:t>
      </w:r>
      <w:r>
        <w:t xml:space="preserve">: declares the naming convention vocabularies in use, associating a short namespace key with a URI that identifies the vocabulary</w:t>
      </w:r>
    </w:p>
    <w:p>
      <w:pPr>
        <w:numPr>
          <w:ilvl w:val="0"/>
          <w:numId w:val="1006"/>
        </w:numPr>
      </w:pPr>
      <w:r>
        <w:t xml:space="preserve">Parameter</w:t>
      </w:r>
      <w:r>
        <w:t xml:space="preserve"> </w:t>
      </w:r>
      <w:r>
        <w:rPr>
          <w:rStyle w:val="VerbatimChar"/>
        </w:rPr>
        <w:t xml:space="preserve">standardNames</w:t>
      </w:r>
      <w:r>
        <w:t xml:space="preserve">: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bookmarkStart w:id="75" w:name="X9a2e6e21986a725586c5c1a35dc203f1b93999b"/>
    <w:p>
      <w:pPr>
        <w:pStyle w:val="Heading4"/>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/req/data-model/standard_name_binding_declaration</w:t>
            </w:r>
          </w:p>
        </w:tc>
      </w:tr>
      <w:tr>
        <w:tc>
          <w:tcPr/>
          <w:p>
            <w:pPr>
              <w:jc w:val="center"/>
            </w:pPr>
            <w:r>
              <w:t xml:space="preserve">A</w:t>
            </w:r>
          </w:p>
        </w:tc>
        <w:tc>
          <w:tcPr/>
          <w:p>
            <w:pPr>
              <w:jc w:val="left"/>
            </w:pPr>
            <w:r>
              <w:t xml:space="preserve">The Metadata message namespace 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/rec/data-model/standard_name_binding_declaration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 should be used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/per/data-model/standard_name_binding_declaration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p>
      <w:pPr>
        <w:pStyle w:val="BodyText"/>
      </w:pPr>
      <w:r>
        <w:t xml:space="preserve">If the CF Conventions community publishes an official vocabulary server endpoint in the future, that URI should be used in preference to the NERC mirror. Hubs should be prepared to recognise URIs from recognised CF standard name vocabulary server mirrors as equivalent for the purposes of name resolution.</w:t>
      </w:r>
    </w:p>
    <w:bookmarkEnd w:id="75"/>
    <w:bookmarkStart w:id="76" w:name="Xd1c302b8a82dd955e6c97d940af707ea0542cd4"/>
    <w:p>
      <w:pPr>
        <w:pStyle w:val="Heading4"/>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/req/data-model/standard_name_binding_assignment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/per/data-model/standard_name_binding_assignment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6"/>
    <w:bookmarkStart w:id="79" w:name="X1f8a267835683c050631ca2bd1f2371d717d77f"/>
    <w:p>
      <w:pPr>
        <w:pStyle w:val="Heading4"/>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7">
        <w:r>
          <w:rPr>
            <w:rStyle w:val="Hyperlink"/>
          </w:rPr>
          <w:t xml:space="preserve">https://cfconventions.org/Data/cf-standard-names/current/build/cf-standard-name-table.html</w:t>
        </w:r>
      </w:hyperlink>
      <w:r>
        <w:t xml:space="preserve">. CF standard names are lower-case strings with words separated by underscores (e.g.,</w:t>
      </w:r>
      <w:r>
        <w:t xml:space="preserve"> </w:t>
      </w:r>
      <w:r>
        <w:rPr>
          <w:rStyle w:val="VerbatimChar"/>
        </w:rPr>
        <w:t xml:space="preserve">air_temperature</w:t>
      </w:r>
      <w:r>
        <w:t xml:space="preserve">,</w:t>
      </w:r>
      <w:r>
        <w:t xml:space="preserve"> </w:t>
      </w:r>
      <w:r>
        <w:rPr>
          <w:rStyle w:val="VerbatimChar"/>
        </w:rPr>
        <w:t xml:space="preserve">wind_speed</w:t>
      </w:r>
      <w:r>
        <w:t xml:space="preserve">,</w:t>
      </w:r>
      <w:r>
        <w:t xml:space="preserve"> </w:t>
      </w:r>
      <w:r>
        <w:rPr>
          <w:rStyle w:val="VerbatimChar"/>
        </w:rPr>
        <w:t xml:space="preserve">relative_humidity</w:t>
      </w:r>
      <w:r>
        <w:t xml:space="preserve">).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8">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/req/data-model/standard_name_binding_hierarchy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C</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D</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E</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F</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G</w:t>
            </w:r>
          </w:p>
        </w:tc>
        <w:tc>
          <w:tcPr/>
          <w:p>
            <w:pPr>
              <w:jc w:val="left"/>
            </w:pPr>
            <w:r>
              <w:t xml:space="preserve">The vocabulary SHALL be findable via a persistent, unique identifier (the namespace URI).</w:t>
            </w:r>
          </w:p>
        </w:tc>
      </w:tr>
      <w:tr>
        <w:tc>
          <w:tcPr/>
          <w:p>
            <w:pPr>
              <w:jc w:val="center"/>
            </w:pPr>
            <w:r>
              <w:t xml:space="preserve">H</w:t>
            </w:r>
          </w:p>
        </w:tc>
        <w:tc>
          <w:tcPr/>
          <w:p>
            <w:pPr>
              <w:jc w:val="left"/>
            </w:pPr>
            <w:r>
              <w:t xml:space="preserve">The vocabulary SHALL be accessible at that URI to all parties participating in the data exchange.</w:t>
            </w:r>
          </w:p>
        </w:tc>
      </w:tr>
      <w:tr>
        <w:tc>
          <w:tcPr/>
          <w:p>
            <w:pPr>
              <w:jc w:val="center"/>
            </w:pPr>
            <w:r>
              <w:t xml:space="preserve">I</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/rec/data-model/standard_name_binding_hierarchy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/per/data-model/standard_name_binding_hierarchy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8">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be included in the Parameter message</w:t>
      </w:r>
      <w:r>
        <w:t xml:space="preserve"> </w:t>
      </w:r>
      <w:r>
        <w:rPr>
          <w:rStyle w:val="VerbatimChar"/>
        </w:rPr>
        <w:t xml:space="preserve">standardNames</w:t>
      </w:r>
      <w:r>
        <w:t xml:space="preserve"> </w:t>
      </w:r>
      <w:r>
        <w:t xml:space="preserve">element. Any locally managed entries for the same parameter are supplementary to, not a replacement for, the applicable standard name.</w:t>
      </w:r>
    </w:p>
    <w:bookmarkEnd w:id="79"/>
    <w:bookmarkEnd w:id="80"/>
    <w:bookmarkStart w:id="81"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81"/>
    <w:bookmarkStart w:id="82"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82"/>
    <w:bookmarkStart w:id="83"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83"/>
    <w:bookmarkStart w:id="84"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84"/>
    <w:bookmarkEnd w:id="85"/>
    <w:bookmarkEnd w:id="86"/>
    <w:bookmarkStart w:id="89" w:name="X25e95aefdb2d4fb8c75b602001aef8d2717b74f"/>
    <w:p>
      <w:pPr>
        <w:pStyle w:val="Heading1"/>
      </w:pPr>
      <w:r>
        <w:t xml:space="preserve">Protocol</w:t>
      </w:r>
    </w:p>
    <w:p>
      <w:pPr>
        <w:pStyle w:val="FirstParagraph"/>
      </w:pPr>
      <w:r>
        <w:t xml:space="preserve">TODO one sentence</w:t>
      </w:r>
    </w:p>
    <w:bookmarkStart w:id="88" w:name="X7fc4d80d59f1a6bb213f5c449042be19cbf9c46"/>
    <w:p>
      <w:pPr>
        <w:pStyle w:val="Heading2"/>
      </w:pPr>
      <w:r>
        <w:t xml:space="preserve">Requirements Class "Protocol"</w:t>
      </w:r>
    </w:p>
    <w:bookmarkStart w:id="87"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87"/>
    <w:bookmarkEnd w:id="88"/>
    <w:bookmarkEnd w:id="89"/>
    <w:bookmarkStart w:id="93" w:name="X78fdb1f4716baf4c26796c550dad0531813f831"/>
    <w:p>
      <w:pPr>
        <w:pStyle w:val="Heading1"/>
      </w:pPr>
      <w:r>
        <w:t xml:space="preserve">Conformance Class Abstract Test Suite (Normative)</w:t>
      </w:r>
    </w:p>
    <w:bookmarkStart w:id="91" w:name="X51fa1da9981b3d6ab7f3934407e02f2e1780fbc"/>
    <w:p>
      <w:pPr>
        <w:pStyle w:val="Heading2"/>
      </w:pPr>
      <w:r>
        <w:t xml:space="preserve">Conformance Class: Data Model</w:t>
      </w:r>
    </w:p>
    <w:p>
      <w:pPr>
        <w:pStyle w:val="DefinitionTerm"/>
      </w:pPr>
      <w:r>
        <w:t xml:space="preserve">label</w:t>
      </w:r>
    </w:p>
    <w:p>
      <w:pPr>
        <w:pStyle w:val="Definition"/>
      </w:pPr>
      <w:hyperlink r:id="rId64">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90"/>
    <w:bookmarkEnd w:id="91"/>
    <w:bookmarkStart w:id="92"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92"/>
    <w:bookmarkEnd w:id="93"/>
    <w:bookmarkStart w:id="98"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4"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4"/>
    <w:bookmarkStart w:id="97" w:name="Xdd1fe16469c2eadaa904f6e369398e4a8c19852"/>
    <w:p>
      <w:pPr>
        <w:pStyle w:val="Heading2"/>
      </w:pPr>
      <w:r>
        <w:t xml:space="preserve">Enumerations</w:t>
      </w:r>
    </w:p>
    <w:bookmarkStart w:id="95"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5"/>
    <w:bookmarkStart w:id="96"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6"/>
    <w:bookmarkEnd w:id="97"/>
    <w:bookmarkEnd w:id="98"/>
    <w:bookmarkStart w:id="101" w:name="examples"/>
    <w:p>
      <w:pPr>
        <w:pStyle w:val="Heading1"/>
      </w:pPr>
      <w:r>
        <w:t xml:space="preserve">Examples (Informative)</w:t>
      </w:r>
    </w:p>
    <w:bookmarkStart w:id="99" w:name="X68ae7d3cf07904a2b65da44dbbe6172616b3505"/>
    <w:p>
      <w:pPr>
        <w:pStyle w:val="Heading2"/>
      </w:pPr>
      <w:r>
        <w:t xml:space="preserve">Transmission topics</w:t>
      </w:r>
    </w:p>
    <w:bookmarkEnd w:id="99"/>
    <w:bookmarkStart w:id="100" w:name="X9f4d614843744384f3a7741ad5521bc4cfb9588"/>
    <w:p>
      <w:pPr>
        <w:pStyle w:val="Heading2"/>
      </w:pPr>
      <w:r>
        <w:t xml:space="preserve">Data and metadata messages</w:t>
      </w:r>
    </w:p>
    <w:bookmarkEnd w:id="100"/>
    <w:bookmarkEnd w:id="101"/>
    <w:bookmarkStart w:id="104" w:name="Bibliography"/>
    <w:p>
      <w:pPr>
        <w:pStyle w:val="Heading1"/>
      </w:pPr>
      <w:r>
        <w:t xml:space="preserve">Bibliography</w:t>
      </w:r>
    </w:p>
    <w:p>
      <w:pPr>
        <w:numPr>
          <w:ilvl w:val="0"/>
          <w:numId w:val="1009"/>
        </w:numPr>
      </w:pPr>
      <w:bookmarkStart w:id="102" w:name="link-relations"/>
      <w:bookmarkEnd w:id="102"/>
      <w:r>
        <w:t xml:space="preserve"> </w:t>
      </w:r>
      <w:r>
        <w:t xml:space="preserve">IANA: Link Relation Types,</w:t>
      </w:r>
      <w:r>
        <w:t xml:space="preserve"> </w:t>
      </w:r>
      <w:hyperlink r:id="rId103">
        <w:r>
          <w:rPr>
            <w:rStyle w:val="Hyperlink"/>
          </w:rPr>
          <w:t xml:space="preserve">https://www.iana.org/assignments/link-relations/link-relations.xml</w:t>
        </w:r>
      </w:hyperlink>
    </w:p>
    <w:bookmarkEnd w:id="104"/>
    <w:bookmarkStart w:id="1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7" Target="https://cfconventions.org/Data/cf-standard-names/current/build/cf-standard-name-table.html" TargetMode="External" /><Relationship Type="http://schemas.openxmlformats.org/officeDocument/2006/relationships/hyperlink" Id="rId78"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3"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7" Target="https://cfconventions.org/Data/cf-standard-names/current/build/cf-standard-name-table.html" TargetMode="External" /><Relationship Type="http://schemas.openxmlformats.org/officeDocument/2006/relationships/hyperlink" Id="rId78"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3"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2026-06-16T02:04:18Z</dcterms:created>
  <dcterms:modified xsi:type="dcterms:W3CDTF">2026-06-16T02:04:18Z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