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2025-02-03</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2025-02-03</w:t>
            </w:r>
          </w:p>
        </w:tc>
      </w:tr>
      <w:tr>
        <w:tc>
          <w:tcPr/>
          <w:p>
            <w:pPr>
              <w:jc w:val="left"/>
            </w:pPr>
            <w:r>
              <w:t xml:space="preserve">Version: 0.1</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0"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p>
      <w:pPr>
        <w:pStyle w:val="BodyText"/>
      </w:pPr>
      <w:r>
        <w:t xml:space="preserve">Core threads of work include:</w:t>
      </w:r>
    </w:p>
    <w:p>
      <w:pPr>
        <w:numPr>
          <w:ilvl w:val="0"/>
          <w:numId w:val="1002"/>
        </w:numPr>
      </w:pPr>
      <w:r>
        <w:t xml:space="preserve">discrete sampling of NWP data and observations</w:t>
      </w:r>
    </w:p>
    <w:p>
      <w:pPr>
        <w:numPr>
          <w:ilvl w:val="0"/>
          <w:numId w:val="1002"/>
        </w:numPr>
      </w:pPr>
      <w:r>
        <w:t xml:space="preserve">AI-driven search</w:t>
      </w:r>
    </w:p>
    <w:p>
      <w:pPr>
        <w:numPr>
          <w:ilvl w:val="0"/>
          <w:numId w:val="1002"/>
        </w:numPr>
      </w:pPr>
      <w:r>
        <w:t xml:space="preserve">visualization of weather/climate/water products</w:t>
      </w:r>
    </w:p>
    <w:p>
      <w:pPr>
        <w:numPr>
          <w:ilvl w:val="0"/>
          <w:numId w:val="1002"/>
        </w:numPr>
      </w:pPr>
      <w:r>
        <w:t xml:space="preserve">exploitation of data via custom processing workflows</w:t>
      </w:r>
    </w:p>
    <w:p>
      <w:pPr>
        <w:numPr>
          <w:ilvl w:val="0"/>
          <w:numId w:val="1002"/>
        </w:numPr>
      </w:pPr>
      <w:r>
        <w:t xml:space="preserve">encodings for big multimensional data</w:t>
      </w:r>
    </w:p>
    <w:p>
      <w:pPr>
        <w:numPr>
          <w:ilvl w:val="0"/>
          <w:numId w:val="1002"/>
        </w:numPr>
      </w:pPr>
      <w:r>
        <w:t xml:space="preserve">interfaces and encodings for cloud optimized data discovery and access</w:t>
      </w:r>
    </w:p>
    <w:p>
      <w:pPr>
        <w:numPr>
          <w:ilvl w:val="0"/>
          <w:numId w:val="1002"/>
        </w:numPr>
      </w:pPr>
      <w:r>
        <w:t xml:space="preserve">data usage insights, weblogs for Global Caches and Global Discovery Catalogues</w:t>
      </w:r>
    </w:p>
    <w:p>
      <w:pPr>
        <w:pStyle w:val="CaptionedFigure"/>
      </w:pPr>
      <w:r>
        <w:drawing>
          <wp:inline>
            <wp:extent cx="5334000" cy="3033296"/>
            <wp:effectExtent b="0" l="0" r="0" t="0"/>
            <wp:docPr descr="architecture" title="" id="43" name="Picture"/>
            <a:graphic>
              <a:graphicData uri="http://schemas.openxmlformats.org/drawingml/2006/picture">
                <pic:pic>
                  <pic:nvPicPr>
                    <pic:cNvPr descr="images/architecture.png" id="44" name="Picture"/>
                    <pic:cNvPicPr>
                      <a:picLocks noChangeArrowheads="1" noChangeAspect="1"/>
                    </pic:cNvPicPr>
                  </pic:nvPicPr>
                  <pic:blipFill>
                    <a:blip r:embed="rId42"/>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the Architecture</w:t>
      </w:r>
    </w:p>
    <w:bookmarkStart w:id="62" w:name="X68429ce464f2c856ae4eb1e13906d64445dc620"/>
    <w:p>
      <w:pPr>
        <w:pStyle w:val="Heading2"/>
      </w:pPr>
      <w:r>
        <w:t xml:space="preserve">Web APIs</w:t>
      </w:r>
    </w:p>
    <w:bookmarkStart w:id="47"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45"/>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47"/>
    <w:bookmarkStart w:id="50"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48"/>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0"/>
    <w:bookmarkStart w:id="53"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1"/>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53"/>
    <w:bookmarkStart w:id="56"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54"/>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56"/>
    <w:bookmarkStart w:id="61"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57"/>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59"/>
      </w:r>
      <w:r>
        <w:t xml:space="preserve"> </w:t>
      </w:r>
      <w:r>
        <w:t xml:space="preserve">provides a RESTful endpoint that enables search of STAC Items, specified in OpenAPI, following OGC API - Features and OGC API - Records.</w:t>
      </w:r>
    </w:p>
    <w:bookmarkEnd w:id="61"/>
    <w:bookmarkEnd w:id="62"/>
    <w:bookmarkStart w:id="79" w:name="X13f1019d9af80e6c4c868dae85cc2a445c1eabe"/>
    <w:p>
      <w:pPr>
        <w:pStyle w:val="Heading2"/>
      </w:pPr>
      <w:r>
        <w:t xml:space="preserve">Encodings</w:t>
      </w:r>
    </w:p>
    <w:bookmarkStart w:id="65"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63"/>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65"/>
    <w:bookmarkStart w:id="70"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66"/>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68"/>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0"/>
    <w:bookmarkStart w:id="78"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1"/>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3"/>
        </w:numPr>
      </w:pPr>
      <w:r>
        <w:t xml:space="preserve">STAC Item</w:t>
      </w:r>
      <w:r>
        <w:t xml:space="preserve"> </w:t>
      </w:r>
      <w:r>
        <w:rPr>
          <w:rStyle w:val="FootnoteReference"/>
        </w:rPr>
        <w:footnoteReference w:id="72"/>
      </w:r>
      <w:r>
        <w:t xml:space="preserve"> </w:t>
      </w:r>
      <w:r>
        <w:t xml:space="preserve">is the core atomic unit, representing a single spatiotemporal asset as a GeoJSON feature plus datetime and links.</w:t>
      </w:r>
    </w:p>
    <w:p>
      <w:pPr>
        <w:numPr>
          <w:ilvl w:val="0"/>
          <w:numId w:val="1003"/>
        </w:numPr>
      </w:pPr>
      <w:r>
        <w:t xml:space="preserve">STAC Catalog</w:t>
      </w:r>
      <w:r>
        <w:t xml:space="preserve"> </w:t>
      </w:r>
      <w:r>
        <w:rPr>
          <w:rStyle w:val="FootnoteReference"/>
        </w:rPr>
        <w:footnoteReference w:id="74"/>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3"/>
        </w:numPr>
      </w:pPr>
      <w:r>
        <w:t xml:space="preserve">STAC Collection</w:t>
      </w:r>
      <w:r>
        <w:t xml:space="preserve"> </w:t>
      </w:r>
      <w:r>
        <w:rPr>
          <w:rStyle w:val="FootnoteReference"/>
        </w:rPr>
        <w:footnoteReference w:id="76"/>
      </w:r>
      <w:r>
        <w:t xml:space="preserve"> </w:t>
      </w:r>
      <w:r>
        <w:t xml:space="preserve">is an extension of the STAC Catalog with additional information such as the extents, license, keywords, providers, etc that describe STAC Items that fall within the Collection.</w:t>
      </w:r>
    </w:p>
    <w:bookmarkEnd w:id="78"/>
    <w:bookmarkEnd w:id="79"/>
    <w:bookmarkEnd w:id="80"/>
    <w:bookmarkStart w:id="81" w:name="results"/>
    <w:p>
      <w:pPr>
        <w:pStyle w:val="Heading1"/>
      </w:pPr>
      <w:r>
        <w:t xml:space="preserve">Results</w:t>
      </w:r>
    </w:p>
    <w:p>
      <w:pPr>
        <w:pStyle w:val="FirstParagraph"/>
      </w:pPr>
      <w:r>
        <w:t xml:space="preserve">TODO</w:t>
      </w:r>
    </w:p>
    <w:bookmarkEnd w:id="81"/>
    <w:bookmarkStart w:id="82" w:name="discussion"/>
    <w:p>
      <w:pPr>
        <w:pStyle w:val="Heading1"/>
      </w:pPr>
      <w:r>
        <w:t xml:space="preserve">Discussion</w:t>
      </w:r>
    </w:p>
    <w:p>
      <w:pPr>
        <w:pStyle w:val="FirstParagraph"/>
      </w:pPr>
      <w:r>
        <w:t xml:space="preserve">TODO</w:t>
      </w:r>
    </w:p>
    <w:bookmarkEnd w:id="82"/>
    <w:bookmarkStart w:id="83" w:name="conclusions"/>
    <w:p>
      <w:pPr>
        <w:pStyle w:val="Heading1"/>
      </w:pPr>
      <w:r>
        <w:t xml:space="preserve">Conclusions</w:t>
      </w:r>
    </w:p>
    <w:p>
      <w:pPr>
        <w:pStyle w:val="FirstParagraph"/>
      </w:pPr>
      <w:r>
        <w:t xml:space="preserve">TODO</w:t>
      </w:r>
    </w:p>
    <w:bookmarkEnd w:id="83"/>
    <w:bookmarkStart w:id="84" w:name="X7b61908570daada8b7f3d16451b8af383e460cc"/>
    <w:p>
      <w:pPr>
        <w:pStyle w:val="Heading1"/>
      </w:pPr>
      <w:r>
        <w:t xml:space="preserve">Future work</w:t>
      </w:r>
    </w:p>
    <w:p>
      <w:pPr>
        <w:pStyle w:val="FirstParagraph"/>
      </w:pPr>
      <w:r>
        <w:t xml:space="preserve">TODO</w:t>
      </w:r>
    </w:p>
    <w:bookmarkEnd w:id="84"/>
    <w:bookmarkStart w:id="85"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85"/>
    <w:bookmarkStart w:id="86" w:name="annex-bibliography"/>
    <w:p>
      <w:pPr>
        <w:pStyle w:val="Heading1"/>
      </w:pPr>
      <w:r>
        <w:t xml:space="preserve">Bibliography</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45">
    <w:p>
      <w:pPr>
        <w:pStyle w:val="FootnoteText"/>
      </w:pPr>
      <w:r>
        <w:rPr>
          <w:rStyle w:val="FootnoteReference"/>
        </w:rPr>
        <w:footnoteRef/>
      </w:r>
      <w:r>
        <w:t xml:space="preserve"> </w:t>
      </w:r>
      <w:hyperlink r:id="rId46">
        <w:r>
          <w:rPr>
            <w:rStyle w:val="Hyperlink"/>
          </w:rPr>
          <w:t xml:space="preserve">https://ogcapi.ogc.org/edr</w:t>
        </w:r>
      </w:hyperlink>
    </w:p>
  </w:footnote>
  <w:footnote w:id="48">
    <w:p>
      <w:pPr>
        <w:pStyle w:val="FootnoteText"/>
      </w:pPr>
      <w:r>
        <w:rPr>
          <w:rStyle w:val="FootnoteReference"/>
        </w:rPr>
        <w:footnoteRef/>
      </w:r>
      <w:r>
        <w:t xml:space="preserve"> </w:t>
      </w:r>
      <w:hyperlink r:id="rId49">
        <w:r>
          <w:rPr>
            <w:rStyle w:val="Hyperlink"/>
          </w:rPr>
          <w:t xml:space="preserve">https://ogcapi.ogc.org/maps</w:t>
        </w:r>
      </w:hyperlink>
    </w:p>
  </w:footnote>
  <w:footnote w:id="51">
    <w:p>
      <w:pPr>
        <w:pStyle w:val="FootnoteText"/>
      </w:pPr>
      <w:r>
        <w:rPr>
          <w:rStyle w:val="FootnoteReference"/>
        </w:rPr>
        <w:footnoteRef/>
      </w:r>
      <w:r>
        <w:t xml:space="preserve"> </w:t>
      </w:r>
      <w:hyperlink r:id="rId52">
        <w:r>
          <w:rPr>
            <w:rStyle w:val="Hyperlink"/>
          </w:rPr>
          <w:t xml:space="preserve">https://ogcapi.ogc.org/records</w:t>
        </w:r>
      </w:hyperlink>
    </w:p>
  </w:footnote>
  <w:footnote w:id="54">
    <w:p>
      <w:pPr>
        <w:pStyle w:val="FootnoteText"/>
      </w:pPr>
      <w:r>
        <w:rPr>
          <w:rStyle w:val="FootnoteReference"/>
        </w:rPr>
        <w:footnoteRef/>
      </w:r>
      <w:r>
        <w:t xml:space="preserve"> </w:t>
      </w:r>
      <w:hyperlink r:id="rId55">
        <w:r>
          <w:rPr>
            <w:rStyle w:val="Hyperlink"/>
          </w:rPr>
          <w:t xml:space="preserve">https://ogcapi.ogc.org/processes</w:t>
        </w:r>
      </w:hyperlink>
    </w:p>
  </w:footnote>
  <w:footnote w:id="57">
    <w:p>
      <w:pPr>
        <w:pStyle w:val="FootnoteText"/>
      </w:pPr>
      <w:r>
        <w:rPr>
          <w:rStyle w:val="FootnoteReference"/>
        </w:rPr>
        <w:footnoteRef/>
      </w:r>
      <w:r>
        <w:t xml:space="preserve"> </w:t>
      </w:r>
      <w:hyperlink r:id="rId58">
        <w:r>
          <w:rPr>
            <w:rStyle w:val="Hyperlink"/>
          </w:rPr>
          <w:t xml:space="preserve">https://stacspec.org</w:t>
        </w:r>
      </w:hyperlink>
    </w:p>
  </w:footnote>
  <w:footnote w:id="59">
    <w:p>
      <w:pPr>
        <w:pStyle w:val="FootnoteText"/>
      </w:pPr>
      <w:r>
        <w:rPr>
          <w:rStyle w:val="FootnoteReference"/>
        </w:rPr>
        <w:footnoteRef/>
      </w:r>
      <w:r>
        <w:t xml:space="preserve"> </w:t>
      </w:r>
      <w:hyperlink r:id="rId60">
        <w:r>
          <w:rPr>
            <w:rStyle w:val="Hyperlink"/>
          </w:rPr>
          <w:t xml:space="preserve">https://github.com/radiantearth/stac-api-spec</w:t>
        </w:r>
      </w:hyperlink>
    </w:p>
  </w:footnote>
  <w:footnote w:id="63">
    <w:p>
      <w:pPr>
        <w:pStyle w:val="FootnoteText"/>
      </w:pPr>
      <w:r>
        <w:rPr>
          <w:rStyle w:val="FootnoteReference"/>
        </w:rPr>
        <w:footnoteRef/>
      </w:r>
      <w:r>
        <w:t xml:space="preserve"> </w:t>
      </w:r>
      <w:hyperlink r:id="rId64">
        <w:r>
          <w:rPr>
            <w:rStyle w:val="Hyperlink"/>
          </w:rPr>
          <w:t xml:space="preserve">https://www.ogc.org/publications/standard/coveragejson</w:t>
        </w:r>
      </w:hyperlink>
    </w:p>
  </w:footnote>
  <w:footnote w:id="66">
    <w:p>
      <w:pPr>
        <w:pStyle w:val="FootnoteText"/>
      </w:pPr>
      <w:r>
        <w:rPr>
          <w:rStyle w:val="FootnoteReference"/>
        </w:rPr>
        <w:footnoteRef/>
      </w:r>
      <w:r>
        <w:t xml:space="preserve"> </w:t>
      </w:r>
      <w:hyperlink r:id="rId67">
        <w:r>
          <w:rPr>
            <w:rStyle w:val="Hyperlink"/>
          </w:rPr>
          <w:t xml:space="preserve">https://zarr.dev</w:t>
        </w:r>
      </w:hyperlink>
    </w:p>
  </w:footnote>
  <w:footnote w:id="68">
    <w:p>
      <w:pPr>
        <w:pStyle w:val="FootnoteText"/>
      </w:pPr>
      <w:r>
        <w:rPr>
          <w:rStyle w:val="FootnoteReference"/>
        </w:rPr>
        <w:footnoteRef/>
      </w:r>
      <w:r>
        <w:t xml:space="preserve"> </w:t>
      </w:r>
      <w:hyperlink r:id="rId69">
        <w:r>
          <w:rPr>
            <w:rStyle w:val="Hyperlink"/>
          </w:rPr>
          <w:t xml:space="preserve">https://github.com/zarr-developers/geozarr-spec</w:t>
        </w:r>
      </w:hyperlink>
    </w:p>
  </w:footnote>
  <w:footnote w:id="71">
    <w:p>
      <w:pPr>
        <w:pStyle w:val="FootnoteText"/>
      </w:pPr>
      <w:r>
        <w:rPr>
          <w:rStyle w:val="FootnoteReference"/>
        </w:rPr>
        <w:footnoteRef/>
      </w:r>
      <w:r>
        <w:t xml:space="preserve"> </w:t>
      </w:r>
      <w:hyperlink r:id="rId58">
        <w:r>
          <w:rPr>
            <w:rStyle w:val="Hyperlink"/>
          </w:rPr>
          <w:t xml:space="preserve">https://stacspec.org</w:t>
        </w:r>
      </w:hyperlink>
    </w:p>
  </w:footnote>
  <w:footnote w:id="72">
    <w:p>
      <w:pPr>
        <w:pStyle w:val="FootnoteText"/>
      </w:pPr>
      <w:r>
        <w:rPr>
          <w:rStyle w:val="FootnoteReference"/>
        </w:rPr>
        <w:footnoteRef/>
      </w:r>
      <w:r>
        <w:t xml:space="preserve"> </w:t>
      </w:r>
      <w:hyperlink r:id="rId73">
        <w:r>
          <w:rPr>
            <w:rStyle w:val="Hyperlink"/>
          </w:rPr>
          <w:t xml:space="preserve">https://github.com/radiantearth/stac-spec/blob/master/item-spec/item-spec.md</w:t>
        </w:r>
      </w:hyperlink>
    </w:p>
  </w:footnote>
  <w:footnote w:id="74">
    <w:p>
      <w:pPr>
        <w:pStyle w:val="FootnoteText"/>
      </w:pPr>
      <w:r>
        <w:rPr>
          <w:rStyle w:val="FootnoteReference"/>
        </w:rPr>
        <w:footnoteRef/>
      </w:r>
      <w:r>
        <w:t xml:space="preserve"> </w:t>
      </w:r>
      <w:hyperlink r:id="rId75">
        <w:r>
          <w:rPr>
            <w:rStyle w:val="Hyperlink"/>
          </w:rPr>
          <w:t xml:space="preserve">https://github.com/radiantearth/stac-spec/blob/master/catalog-spec/catalog-spec.md</w:t>
        </w:r>
      </w:hyperlink>
    </w:p>
  </w:footnote>
  <w:footnote w:id="76">
    <w:p>
      <w:pPr>
        <w:pStyle w:val="FootnoteText"/>
      </w:pPr>
      <w:r>
        <w:rPr>
          <w:rStyle w:val="FootnoteReference"/>
        </w:rPr>
        <w:footnoteRef/>
      </w:r>
      <w:r>
        <w:t xml:space="preserve"> </w:t>
      </w:r>
      <w:hyperlink r:id="rId77">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2025-02-03T11:40:39Z</dcterms:created>
  <dcterms:modified xsi:type="dcterms:W3CDTF">2025-02-03T11:40:39Z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2025-02-03</vt:lpwstr>
  </property>
</Properties>
</file>