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Met</w:t>
      </w:r>
      <w:r>
        <w:t xml:space="preserve"> </w:t>
      </w:r>
      <w:r>
        <w:t xml:space="preserve">Data</w:t>
      </w:r>
      <w:r>
        <w:t xml:space="preserve"> </w:t>
      </w:r>
      <w:r>
        <w:t xml:space="preserve">Exchange</w:t>
      </w:r>
      <w:r>
        <w:t xml:space="preserve"> </w:t>
      </w:r>
      <w:r>
        <w:t xml:space="preserve">Interoperability</w:t>
      </w:r>
      <w:r>
        <w:t xml:space="preserve"> </w:t>
      </w:r>
      <w:r>
        <w:t xml:space="preserve">Experiment</w:t>
      </w:r>
    </w:p>
    <w:p>
      <w:pPr>
        <w:pStyle w:val="Date"/>
      </w:pPr>
      <w:r>
        <w:t xml:space="preserve">2025-02-13</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2025-02-13</w:t>
            </w:r>
          </w:p>
        </w:tc>
      </w:tr>
      <w:tr>
        <w:tc>
          <w:tcPr/>
          <w:p>
            <w:pPr>
              <w:jc w:val="left"/>
            </w:pPr>
            <w:r>
              <w:t xml:space="preserve">Version: 0.1</w:t>
            </w:r>
          </w:p>
        </w:tc>
      </w:tr>
      <w:tr>
        <w:tc>
          <w:tcPr/>
          <w:p>
            <w:pPr>
              <w:jc w:val="left"/>
            </w:pPr>
            <w:r>
              <w:t xml:space="preserve">Document location:</w:t>
            </w:r>
            <w:r>
              <w:t xml:space="preserve"> </w:t>
            </w:r>
            <w:hyperlink r:id="rId20">
              <w:r>
                <w:rPr>
                  <w:rStyle w:val="Hyperlink"/>
                </w:rPr>
                <w:t xml:space="preserve">https://wmo-im.github.io/metdx-ie/metdx-ie/metdx-ie-DRAFT.html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2025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current data exchange interoperability trends. Interoperability testing is coordinated by the WMO Study Group on Future Data Infrastructures (SG-FIT) subgroup on WMO Met Data Exchange Interoperability. The results of this report will support recommendations on future state data exchange standards guidance and techical regulations at WMO.</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work of the subgroup.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FAIR</w:t>
      </w:r>
    </w:p>
    <w:p>
      <w:pPr>
        <w:pStyle w:val="Definition"/>
      </w:pPr>
      <w:r>
        <w:t xml:space="preserve">Findable, Accessible, Interoperable, Reusable</w:t>
      </w:r>
    </w:p>
    <w:p>
      <w:pPr>
        <w:pStyle w:val="DefinitionTerm"/>
      </w:pPr>
      <w:r>
        <w:t xml:space="preserve">FEMDI</w:t>
      </w:r>
    </w:p>
    <w:p>
      <w:pPr>
        <w:pStyle w:val="Definition"/>
      </w:pPr>
      <w:r>
        <w:t xml:space="preserve">European National Meteorological and Hydrological Services</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RODEO</w:t>
      </w:r>
    </w:p>
    <w:p>
      <w:pPr>
        <w:pStyle w:val="Definition"/>
      </w:pPr>
      <w:r>
        <w:t xml:space="preserve">The provision of open access to public meteorological data and development of shared federated data infrastructure for the development of information products and services</w:t>
      </w:r>
    </w:p>
    <w:p>
      <w:pPr>
        <w:pStyle w:val="DefinitionTerm"/>
      </w:pPr>
      <w:r>
        <w:t xml:space="preserve">STAC</w:t>
      </w:r>
    </w:p>
    <w:p>
      <w:pPr>
        <w:pStyle w:val="Definition"/>
      </w:pPr>
      <w:r>
        <w:t xml:space="preserve">SpatioTemporal Asset Catalog</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bookmarkEnd w:id="30"/>
    <w:bookmarkEnd w:id="31"/>
    <w:bookmarkStart w:id="41" w:name="X7dc5ec89ace04afa0dfcc5c2c63a457bc733b57"/>
    <w:p>
      <w:pPr>
        <w:pStyle w:val="Heading1"/>
      </w:pPr>
      <w:r>
        <w:t xml:space="preserve">References</w:t>
      </w:r>
    </w:p>
    <w:p>
      <w:pPr>
        <w:numPr>
          <w:ilvl w:val="0"/>
          <w:numId w:val="1001"/>
        </w:numPr>
      </w:pPr>
      <w:bookmarkStart w:id="32" w:name="wis2-manual"/>
      <w:bookmarkEnd w:id="32"/>
      <w:r>
        <w:t xml:space="preserve"> </w:t>
      </w:r>
      <w:r>
        <w:t xml:space="preserve">Manual on the WMO Information System, Volume II - WMO Information System 2.0</w:t>
      </w:r>
      <w:r>
        <w:t xml:space="preserve"> </w:t>
      </w:r>
      <w:r>
        <w:rPr>
          <w:rStyle w:val="FootnoteReference"/>
        </w:rPr>
        <w:footnoteReference w:id="33"/>
      </w:r>
    </w:p>
    <w:p>
      <w:pPr>
        <w:numPr>
          <w:ilvl w:val="0"/>
          <w:numId w:val="1001"/>
        </w:numPr>
      </w:pPr>
      <w:bookmarkStart w:id="35" w:name="wis2-guide"/>
      <w:bookmarkEnd w:id="35"/>
      <w:r>
        <w:t xml:space="preserve"> </w:t>
      </w:r>
      <w:r>
        <w:t xml:space="preserve">Guide to the WMO Information System Volume II - WMO Information System 2.0</w:t>
      </w:r>
      <w:r>
        <w:t xml:space="preserve"> </w:t>
      </w:r>
      <w:r>
        <w:rPr>
          <w:rStyle w:val="FootnoteReference"/>
        </w:rPr>
        <w:footnoteReference w:id="36"/>
      </w:r>
    </w:p>
    <w:p>
      <w:pPr>
        <w:numPr>
          <w:ilvl w:val="0"/>
          <w:numId w:val="1001"/>
        </w:numPr>
      </w:pPr>
      <w:bookmarkStart w:id="38" w:name="wis2-transition-guide"/>
      <w:bookmarkEnd w:id="38"/>
      <w:r>
        <w:t xml:space="preserve"> </w:t>
      </w:r>
      <w:r>
        <w:t xml:space="preserve">Provisions for the Transition from the WMO Information System (WIS) 1.0 and Global Telecommunication System to WIS 2.0</w:t>
      </w:r>
      <w:r>
        <w:t xml:space="preserve"> </w:t>
      </w:r>
      <w:r>
        <w:rPr>
          <w:rStyle w:val="FootnoteReference"/>
        </w:rPr>
        <w:footnoteReference w:id="39"/>
      </w:r>
    </w:p>
    <w:bookmarkEnd w:id="41"/>
    <w:bookmarkStart w:id="80" w:name="testing"/>
    <w:p>
      <w:pPr>
        <w:pStyle w:val="Heading1"/>
      </w:pPr>
      <w:r>
        <w:t xml:space="preserve">High level architecture</w:t>
      </w:r>
    </w:p>
    <w:p>
      <w:pPr>
        <w:pStyle w:val="FirstParagraph"/>
      </w:pPr>
      <w:r>
        <w:t xml:space="preserve">The focus of testing is to evaluate functionality of various APIs and encodings to assess and evaluate for future data exchange guidance and technical regulation.</w:t>
      </w:r>
    </w:p>
    <w:p>
      <w:pPr>
        <w:pStyle w:val="BodyText"/>
      </w:pPr>
      <w:r>
        <w:t xml:space="preserve">Core threads of work include:</w:t>
      </w:r>
    </w:p>
    <w:p>
      <w:pPr>
        <w:numPr>
          <w:ilvl w:val="0"/>
          <w:numId w:val="1002"/>
        </w:numPr>
      </w:pPr>
      <w:r>
        <w:t xml:space="preserve">discrete sampling of NWP data and observations</w:t>
      </w:r>
    </w:p>
    <w:p>
      <w:pPr>
        <w:numPr>
          <w:ilvl w:val="0"/>
          <w:numId w:val="1002"/>
        </w:numPr>
      </w:pPr>
      <w:r>
        <w:t xml:space="preserve">interfaces and encodings for cloud optimized data discovery and access</w:t>
      </w:r>
    </w:p>
    <w:p>
      <w:pPr>
        <w:numPr>
          <w:ilvl w:val="0"/>
          <w:numId w:val="1002"/>
        </w:numPr>
      </w:pPr>
      <w:r>
        <w:t xml:space="preserve">encodings for big multidimensional data</w:t>
      </w:r>
    </w:p>
    <w:p>
      <w:pPr>
        <w:numPr>
          <w:ilvl w:val="0"/>
          <w:numId w:val="1002"/>
        </w:numPr>
      </w:pPr>
      <w:r>
        <w:t xml:space="preserve">visualization of weather/climate/water products</w:t>
      </w:r>
    </w:p>
    <w:p>
      <w:pPr>
        <w:numPr>
          <w:ilvl w:val="0"/>
          <w:numId w:val="1002"/>
        </w:numPr>
      </w:pPr>
      <w:r>
        <w:t xml:space="preserve">AI-driven search</w:t>
      </w:r>
    </w:p>
    <w:p>
      <w:pPr>
        <w:numPr>
          <w:ilvl w:val="0"/>
          <w:numId w:val="1002"/>
        </w:numPr>
      </w:pPr>
      <w:r>
        <w:t xml:space="preserve">exploitation of data via custom processing workflows</w:t>
      </w:r>
    </w:p>
    <w:p>
      <w:pPr>
        <w:numPr>
          <w:ilvl w:val="0"/>
          <w:numId w:val="1002"/>
        </w:numPr>
      </w:pPr>
      <w:r>
        <w:t xml:space="preserve">data usage insights, weblogs for Global Caches and Global Discovery Catalogues</w:t>
      </w:r>
    </w:p>
    <w:p>
      <w:pPr>
        <w:pStyle w:val="CaptionedFigure"/>
      </w:pPr>
      <w:r>
        <w:drawing>
          <wp:inline>
            <wp:extent cx="5334000" cy="3033296"/>
            <wp:effectExtent b="0" l="0" r="0" t="0"/>
            <wp:docPr descr="architecture" title="" id="43" name="Picture"/>
            <a:graphic>
              <a:graphicData uri="http://schemas.openxmlformats.org/drawingml/2006/picture">
                <pic:pic>
                  <pic:nvPicPr>
                    <pic:cNvPr descr="images/architecture.png" id="44" name="Picture"/>
                    <pic:cNvPicPr>
                      <a:picLocks noChangeArrowheads="1" noChangeAspect="1"/>
                    </pic:cNvPicPr>
                  </pic:nvPicPr>
                  <pic:blipFill>
                    <a:blip r:embed="rId42"/>
                    <a:stretch>
                      <a:fillRect/>
                    </a:stretch>
                  </pic:blipFill>
                  <pic:spPr bwMode="auto">
                    <a:xfrm>
                      <a:off x="0" y="0"/>
                      <a:ext cx="5334000" cy="3033296"/>
                    </a:xfrm>
                    <a:prstGeom prst="rect">
                      <a:avLst/>
                    </a:prstGeom>
                    <a:noFill/>
                    <a:ln w="9525">
                      <a:noFill/>
                      <a:headEnd/>
                      <a:tailEnd/>
                    </a:ln>
                  </pic:spPr>
                </pic:pic>
              </a:graphicData>
            </a:graphic>
          </wp:inline>
        </w:drawing>
      </w:r>
    </w:p>
    <w:p>
      <w:pPr>
        <w:pStyle w:val="ImageCaption"/>
      </w:pPr>
      <w:r>
        <w:t xml:space="preserve">High Level Overview of the Architecture</w:t>
      </w:r>
    </w:p>
    <w:bookmarkStart w:id="62" w:name="X68429ce464f2c856ae4eb1e13906d64445dc620"/>
    <w:p>
      <w:pPr>
        <w:pStyle w:val="Heading2"/>
      </w:pPr>
      <w:r>
        <w:t xml:space="preserve">Web APIs</w:t>
      </w:r>
    </w:p>
    <w:bookmarkStart w:id="47" w:name="X7017a1e45493d466ff773205b9e9fb007ecfa35"/>
    <w:p>
      <w:pPr>
        <w:pStyle w:val="Heading3"/>
      </w:pPr>
      <w:r>
        <w:t xml:space="preserve">OGC API - Environmental Data Retrieval</w:t>
      </w:r>
    </w:p>
    <w:p>
      <w:pPr>
        <w:pStyle w:val="FirstParagraph"/>
      </w:pPr>
      <w:r>
        <w:t xml:space="preserve">An Environmental Data Retrieval (EDR) API</w:t>
      </w:r>
      <w:r>
        <w:t xml:space="preserve"> </w:t>
      </w:r>
      <w:r>
        <w:rPr>
          <w:rStyle w:val="FootnoteReference"/>
        </w:rPr>
        <w:footnoteReference w:id="45"/>
      </w:r>
      <w:r>
        <w:t xml:space="preserve"> </w:t>
      </w:r>
      <w:r>
        <w:t xml:space="preserve">provides a family of lightweight interfaces to access Environmental Data resources. Each resource addressed by an EDR API maps to a defined query pattern. This specification identifies resources, captures compliance classes, and specifies requirements which are applicable to OGC Environmental Data Retrieval API’s. This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OGC API - Environmental Data Retrieval Standard provides a family of lightweight query interfaces to access spatio-temporal data resources by requesting data at a Position, within an Area, along a Trajectory or through a Corridor.</w:t>
      </w:r>
    </w:p>
    <w:p>
      <w:pPr>
        <w:pStyle w:val="BodyText"/>
      </w:pPr>
      <w:r>
        <w:t xml:space="preserve">The OGC API - Environmental Data Retrieval - Part 2: Publish-Subscribe Workflow Standard provides recommendations on applying Publish-Subscribe (PubSub) architectural patterns to implementations of one or more OGC API Standards in order to support Event Driven applications.</w:t>
      </w:r>
    </w:p>
    <w:bookmarkEnd w:id="47"/>
    <w:bookmarkStart w:id="50" w:name="Xe374ec2c263c43ad8883d9d547593b36fa8f744"/>
    <w:p>
      <w:pPr>
        <w:pStyle w:val="Heading3"/>
      </w:pPr>
      <w:r>
        <w:t xml:space="preserve">OGC API - Maps</w:t>
      </w:r>
    </w:p>
    <w:p>
      <w:pPr>
        <w:pStyle w:val="FirstParagraph"/>
      </w:pPr>
      <w:r>
        <w:t xml:space="preserve">The OGC API - Maps</w:t>
      </w:r>
      <w:r>
        <w:t xml:space="preserve"> </w:t>
      </w:r>
      <w:r>
        <w:rPr>
          <w:rStyle w:val="FootnoteReference"/>
        </w:rPr>
        <w:footnoteReference w:id="48"/>
      </w:r>
      <w:r>
        <w:t xml:space="preserve"> </w:t>
      </w:r>
      <w:r>
        <w:t xml:space="preserve">Standard describes an API that can serve spatially referenced electronic maps, whether static or dynamically rendered, in a manner independent of the underlying data store. OGC API - Maps describes the discovery and query operations of an API that provides access to electronic maps in a manner independent of the underlying data store. The query operations allow dynamically rendered maps to be retrieved from the underlying data store based upon simple selection criteria, defined by the client.</w:t>
      </w:r>
    </w:p>
    <w:bookmarkEnd w:id="50"/>
    <w:bookmarkStart w:id="53" w:name="Xc07b438bd5802fa100f945f0f555df422b6597f"/>
    <w:p>
      <w:pPr>
        <w:pStyle w:val="Heading3"/>
      </w:pPr>
      <w:r>
        <w:t xml:space="preserve">OGC API - Records</w:t>
      </w:r>
    </w:p>
    <w:p>
      <w:pPr>
        <w:pStyle w:val="FirstParagraph"/>
      </w:pPr>
      <w:r>
        <w:t xml:space="preserve">OGC API - Records</w:t>
      </w:r>
      <w:r>
        <w:t xml:space="preserve"> </w:t>
      </w:r>
      <w:r>
        <w:rPr>
          <w:rStyle w:val="FootnoteReference"/>
        </w:rPr>
        <w:footnoteReference w:id="51"/>
      </w:r>
      <w:r>
        <w:t xml:space="preserve"> </w:t>
      </w:r>
      <w:r>
        <w:t xml:space="preserve">is a multi-part draft specification that offers the capability to create, modify, and query metadata on the Web. The draft specification enables the discovery of geospatial resources by standardizing the way collections of descriptive information about the resources (metadata) are exposed. The draft specification also enables the discovery and sharing of related resources that may be referenced from geospatial resources or their metadata by standardizing the way all kinds of records are exposed and managed. Part 1 will cover read-only access to records and simple query capabilities. Additional capabilities that address specific needs will be specified in additional parts. Capabilities for richer queries or to create, update or delete records will be specified in additional parts.</w:t>
      </w:r>
    </w:p>
    <w:bookmarkEnd w:id="53"/>
    <w:bookmarkStart w:id="56" w:name="X92b76de019c76edc56397ba2add2a8c0d3ea2c2"/>
    <w:p>
      <w:pPr>
        <w:pStyle w:val="Heading3"/>
      </w:pPr>
      <w:r>
        <w:t xml:space="preserve">OGC API - Processes</w:t>
      </w:r>
    </w:p>
    <w:p>
      <w:pPr>
        <w:pStyle w:val="FirstParagraph"/>
      </w:pPr>
      <w:r>
        <w:t xml:space="preserve">The OGC API - Processes</w:t>
      </w:r>
      <w:r>
        <w:t xml:space="preserve"> </w:t>
      </w:r>
      <w:r>
        <w:rPr>
          <w:rStyle w:val="FootnoteReference"/>
        </w:rPr>
        <w:footnoteReference w:id="54"/>
      </w:r>
      <w:r>
        <w:t xml:space="preserve"> </w:t>
      </w:r>
      <w:r>
        <w:t xml:space="preserve">standard supports the wrapping of computational tasks into executable processes that can be offered by a server through a Web API and be invoked by a client application. The standard specifies a processing interface to communicate over a RESTful protocol using JavaScript Object Notation (JSON) encodings. Typically, these processes execute well-defined algorithms that ingest vector and/or coverage data to produce new datasets.</w:t>
      </w:r>
    </w:p>
    <w:bookmarkEnd w:id="56"/>
    <w:bookmarkStart w:id="61" w:name="X9dfd55e011b88a4fe32738fe219980cff795aff"/>
    <w:p>
      <w:pPr>
        <w:pStyle w:val="Heading3"/>
      </w:pPr>
      <w:r>
        <w:t xml:space="preserve">STAC API</w:t>
      </w:r>
    </w:p>
    <w:p>
      <w:pPr>
        <w:pStyle w:val="FirstParagraph"/>
      </w:pPr>
      <w:r>
        <w:t xml:space="preserve">The SpatioTemporal Asset Catalog (STAC)</w:t>
      </w:r>
      <w:r>
        <w:t xml:space="preserve"> </w:t>
      </w:r>
      <w:r>
        <w:rPr>
          <w:rStyle w:val="FootnoteReference"/>
        </w:rPr>
        <w:footnoteReference w:id="57"/>
      </w:r>
      <w:r>
        <w:t xml:space="preserve"> </w:t>
      </w:r>
      <w:r>
        <w:t xml:space="preserve">specification provides a common structure for describing and cataloging spatiotemporal assets.</w:t>
      </w:r>
    </w:p>
    <w:p>
      <w:pPr>
        <w:pStyle w:val="BodyText"/>
      </w:pPr>
      <w:r>
        <w:t xml:space="preserve">The STAC API</w:t>
      </w:r>
      <w:r>
        <w:t xml:space="preserve"> </w:t>
      </w:r>
      <w:r>
        <w:rPr>
          <w:rStyle w:val="FootnoteReference"/>
        </w:rPr>
        <w:footnoteReference w:id="59"/>
      </w:r>
      <w:r>
        <w:t xml:space="preserve"> </w:t>
      </w:r>
      <w:r>
        <w:t xml:space="preserve">provides a RESTful endpoint that enables search of STAC Items, specified in OpenAPI, following OGC API - Features and OGC API - Records.</w:t>
      </w:r>
    </w:p>
    <w:bookmarkEnd w:id="61"/>
    <w:bookmarkEnd w:id="62"/>
    <w:bookmarkStart w:id="79" w:name="X13f1019d9af80e6c4c868dae85cc2a445c1eabe"/>
    <w:p>
      <w:pPr>
        <w:pStyle w:val="Heading2"/>
      </w:pPr>
      <w:r>
        <w:t xml:space="preserve">Encodings</w:t>
      </w:r>
    </w:p>
    <w:bookmarkStart w:id="65" w:name="X42c09b5319a8d267c783071876fa0ac67ac3162"/>
    <w:p>
      <w:pPr>
        <w:pStyle w:val="Heading3"/>
      </w:pPr>
      <w:r>
        <w:t xml:space="preserve">CoverageJSON</w:t>
      </w:r>
    </w:p>
    <w:p>
      <w:pPr>
        <w:pStyle w:val="FirstParagraph"/>
      </w:pPr>
      <w:r>
        <w:t xml:space="preserve">CoverageJSON</w:t>
      </w:r>
      <w:r>
        <w:t xml:space="preserve"> </w:t>
      </w:r>
      <w:r>
        <w:rPr>
          <w:rStyle w:val="FootnoteReference"/>
        </w:rPr>
        <w:footnoteReference w:id="63"/>
      </w:r>
      <w:r>
        <w:t xml:space="preserve"> </w:t>
      </w:r>
      <w:r>
        <w:t xml:space="preserve">defines a format for publishing spatiotemporal data to the Web. CoverageJSON supports the efficient transfer from big data stores of useful quantities of data to lightweight clients, such as browsers and mobile applications.</w:t>
      </w:r>
    </w:p>
    <w:bookmarkEnd w:id="65"/>
    <w:bookmarkStart w:id="70" w:name="X4928c247374893a317d2d0edd0539e418d1bf58"/>
    <w:p>
      <w:pPr>
        <w:pStyle w:val="Heading3"/>
      </w:pPr>
      <w:r>
        <w:t xml:space="preserve">Zarr</w:t>
      </w:r>
    </w:p>
    <w:p>
      <w:pPr>
        <w:pStyle w:val="FirstParagraph"/>
      </w:pPr>
      <w:r>
        <w:t xml:space="preserve">Zarr</w:t>
      </w:r>
      <w:r>
        <w:t xml:space="preserve"> </w:t>
      </w:r>
      <w:r>
        <w:rPr>
          <w:rStyle w:val="FootnoteReference"/>
        </w:rPr>
        <w:footnoteReference w:id="66"/>
      </w:r>
      <w:r>
        <w:t xml:space="preserve"> </w:t>
      </w:r>
      <w:r>
        <w:t xml:space="preserve">is a community project to develop specifications and software for storage of large N-dimensional typed arrays, also commonly known as tensors. A particular focus of Zarr is to provide support for storage using distributed systems like cloud object stores, and to enable efficient I/O for parallel computing applications.</w:t>
      </w:r>
    </w:p>
    <w:p>
      <w:pPr>
        <w:pStyle w:val="BodyText"/>
      </w:pPr>
      <w:r>
        <w:t xml:space="preserve">GeoZarr</w:t>
      </w:r>
      <w:r>
        <w:t xml:space="preserve"> </w:t>
      </w:r>
      <w:r>
        <w:rPr>
          <w:rStyle w:val="FootnoteReference"/>
        </w:rPr>
        <w:footnoteReference w:id="68"/>
      </w:r>
      <w:r>
        <w:t xml:space="preserve"> </w:t>
      </w:r>
      <w:r>
        <w:t xml:space="preserve">to provide a geospatial extension to the Zarr specification. Zarr specifies a protocol and format used for storing Zarr arrays, while the present extension defines conventions and recommendations for storing multidimensional georeferenced grid of geospatial observations (including rasters).</w:t>
      </w:r>
    </w:p>
    <w:bookmarkEnd w:id="70"/>
    <w:bookmarkStart w:id="78" w:name="Xce36f85e8e813e683e7d661910c539cf568d242"/>
    <w:p>
      <w:pPr>
        <w:pStyle w:val="Heading3"/>
      </w:pPr>
      <w:r>
        <w:t xml:space="preserve">STAC encodings</w:t>
      </w:r>
    </w:p>
    <w:p>
      <w:pPr>
        <w:pStyle w:val="FirstParagraph"/>
      </w:pPr>
      <w:r>
        <w:t xml:space="preserve">The SpatioTemporal Asset Catalog (STAC)</w:t>
      </w:r>
      <w:r>
        <w:t xml:space="preserve"> </w:t>
      </w:r>
      <w:r>
        <w:rPr>
          <w:rStyle w:val="FootnoteReference"/>
        </w:rPr>
        <w:footnoteReference w:id="71"/>
      </w:r>
      <w:r>
        <w:t xml:space="preserve"> </w:t>
      </w:r>
      <w:r>
        <w:t xml:space="preserve">specification provides a common structure for describing and cataloging spatiotemporal assets.</w:t>
      </w:r>
    </w:p>
    <w:p>
      <w:pPr>
        <w:pStyle w:val="BodyText"/>
      </w:pPr>
      <w:r>
        <w:t xml:space="preserve">A spatiotemporal asset is any file that represents information about the earth captured in a certain space and time.</w:t>
      </w:r>
    </w:p>
    <w:p>
      <w:pPr>
        <w:pStyle w:val="BodyText"/>
      </w:pPr>
      <w:r>
        <w:t xml:space="preserve">The STAC Specification consists of 4 semi-independent specifications. Each can be used alone, but they work best in concert with one another.</w:t>
      </w:r>
    </w:p>
    <w:p>
      <w:pPr>
        <w:numPr>
          <w:ilvl w:val="0"/>
          <w:numId w:val="1003"/>
        </w:numPr>
      </w:pPr>
      <w:r>
        <w:t xml:space="preserve">STAC Item</w:t>
      </w:r>
      <w:r>
        <w:t xml:space="preserve"> </w:t>
      </w:r>
      <w:r>
        <w:rPr>
          <w:rStyle w:val="FootnoteReference"/>
        </w:rPr>
        <w:footnoteReference w:id="72"/>
      </w:r>
      <w:r>
        <w:t xml:space="preserve"> </w:t>
      </w:r>
      <w:r>
        <w:t xml:space="preserve">is the core atomic unit, representing a single spatiotemporal asset as a GeoJSON feature plus datetime and links.</w:t>
      </w:r>
    </w:p>
    <w:p>
      <w:pPr>
        <w:numPr>
          <w:ilvl w:val="0"/>
          <w:numId w:val="1003"/>
        </w:numPr>
      </w:pPr>
      <w:r>
        <w:t xml:space="preserve">STAC Catalog</w:t>
      </w:r>
      <w:r>
        <w:t xml:space="preserve"> </w:t>
      </w:r>
      <w:r>
        <w:rPr>
          <w:rStyle w:val="FootnoteReference"/>
        </w:rPr>
        <w:footnoteReference w:id="74"/>
      </w:r>
      <w:r>
        <w:t xml:space="preserve"> </w:t>
      </w:r>
      <w:r>
        <w:t xml:space="preserve">is a simple, flexible JSON file of links that provides a structure to organize and browse STAC Items. A series of best practices helps make recommendations for creating real world STAC Catalogs.</w:t>
      </w:r>
    </w:p>
    <w:p>
      <w:pPr>
        <w:numPr>
          <w:ilvl w:val="0"/>
          <w:numId w:val="1003"/>
        </w:numPr>
      </w:pPr>
      <w:r>
        <w:t xml:space="preserve">STAC Collection</w:t>
      </w:r>
      <w:r>
        <w:t xml:space="preserve"> </w:t>
      </w:r>
      <w:r>
        <w:rPr>
          <w:rStyle w:val="FootnoteReference"/>
        </w:rPr>
        <w:footnoteReference w:id="76"/>
      </w:r>
      <w:r>
        <w:t xml:space="preserve"> </w:t>
      </w:r>
      <w:r>
        <w:t xml:space="preserve">is an extension of the STAC Catalog with additional information such as the extents, license, keywords, providers, etc that describe STAC Items that fall within the Collection.</w:t>
      </w:r>
    </w:p>
    <w:bookmarkEnd w:id="78"/>
    <w:bookmarkEnd w:id="79"/>
    <w:bookmarkEnd w:id="80"/>
    <w:bookmarkStart w:id="81" w:name="results"/>
    <w:p>
      <w:pPr>
        <w:pStyle w:val="Heading1"/>
      </w:pPr>
      <w:r>
        <w:t xml:space="preserve">Results</w:t>
      </w:r>
    </w:p>
    <w:p>
      <w:pPr>
        <w:pStyle w:val="FirstParagraph"/>
      </w:pPr>
      <w:r>
        <w:t xml:space="preserve">TODO</w:t>
      </w:r>
    </w:p>
    <w:bookmarkEnd w:id="81"/>
    <w:bookmarkStart w:id="82" w:name="discussion"/>
    <w:p>
      <w:pPr>
        <w:pStyle w:val="Heading1"/>
      </w:pPr>
      <w:r>
        <w:t xml:space="preserve">Discussion</w:t>
      </w:r>
    </w:p>
    <w:p>
      <w:pPr>
        <w:pStyle w:val="FirstParagraph"/>
      </w:pPr>
      <w:r>
        <w:t xml:space="preserve">TODO</w:t>
      </w:r>
    </w:p>
    <w:bookmarkEnd w:id="82"/>
    <w:bookmarkStart w:id="83" w:name="conclusions"/>
    <w:p>
      <w:pPr>
        <w:pStyle w:val="Heading1"/>
      </w:pPr>
      <w:r>
        <w:t xml:space="preserve">Conclusions</w:t>
      </w:r>
    </w:p>
    <w:p>
      <w:pPr>
        <w:pStyle w:val="FirstParagraph"/>
      </w:pPr>
      <w:r>
        <w:t xml:space="preserve">TODO</w:t>
      </w:r>
    </w:p>
    <w:bookmarkEnd w:id="83"/>
    <w:bookmarkStart w:id="84" w:name="X7b61908570daada8b7f3d16451b8af383e460cc"/>
    <w:p>
      <w:pPr>
        <w:pStyle w:val="Heading1"/>
      </w:pPr>
      <w:r>
        <w:t xml:space="preserve">Future work</w:t>
      </w:r>
    </w:p>
    <w:p>
      <w:pPr>
        <w:pStyle w:val="FirstParagraph"/>
      </w:pPr>
      <w:r>
        <w:t xml:space="preserve">TODO</w:t>
      </w:r>
    </w:p>
    <w:bookmarkEnd w:id="84"/>
    <w:bookmarkStart w:id="85"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2025-01-24</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85"/>
    <w:bookmarkStart w:id="86" w:name="annex-bibliography"/>
    <w:p>
      <w:pPr>
        <w:pStyle w:val="Heading1"/>
      </w:pPr>
      <w:r>
        <w:t xml:space="preserve">Bibliography</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https://library.wmo.int/idurl/4/68731</w:t>
        </w:r>
      </w:hyperlink>
    </w:p>
  </w:footnote>
  <w:footnote w:id="36">
    <w:p>
      <w:pPr>
        <w:pStyle w:val="FootnoteText"/>
      </w:pPr>
      <w:r>
        <w:rPr>
          <w:rStyle w:val="FootnoteReference"/>
        </w:rPr>
        <w:footnoteRef/>
      </w:r>
      <w:r>
        <w:t xml:space="preserve"> </w:t>
      </w:r>
      <w:hyperlink r:id="rId37">
        <w:r>
          <w:rPr>
            <w:rStyle w:val="Hyperlink"/>
          </w:rPr>
          <w:t xml:space="preserve">https://library.wmo.int/idurl/4/69130</w:t>
        </w:r>
      </w:hyperlink>
    </w:p>
  </w:footnote>
  <w:footnote w:id="39">
    <w:p>
      <w:pPr>
        <w:pStyle w:val="FootnoteText"/>
      </w:pPr>
      <w:r>
        <w:rPr>
          <w:rStyle w:val="FootnoteReference"/>
        </w:rPr>
        <w:footnoteRef/>
      </w:r>
      <w:r>
        <w:t xml:space="preserve"> </w:t>
      </w:r>
      <w:hyperlink r:id="rId40">
        <w:r>
          <w:rPr>
            <w:rStyle w:val="Hyperlink"/>
          </w:rPr>
          <w:t xml:space="preserve">https://library.wmo.int/idurl/4/69050</w:t>
        </w:r>
      </w:hyperlink>
    </w:p>
  </w:footnote>
  <w:footnote w:id="45">
    <w:p>
      <w:pPr>
        <w:pStyle w:val="FootnoteText"/>
      </w:pPr>
      <w:r>
        <w:rPr>
          <w:rStyle w:val="FootnoteReference"/>
        </w:rPr>
        <w:footnoteRef/>
      </w:r>
      <w:r>
        <w:t xml:space="preserve"> </w:t>
      </w:r>
      <w:hyperlink r:id="rId46">
        <w:r>
          <w:rPr>
            <w:rStyle w:val="Hyperlink"/>
          </w:rPr>
          <w:t xml:space="preserve">https://ogcapi.ogc.org/edr</w:t>
        </w:r>
      </w:hyperlink>
    </w:p>
  </w:footnote>
  <w:footnote w:id="48">
    <w:p>
      <w:pPr>
        <w:pStyle w:val="FootnoteText"/>
      </w:pPr>
      <w:r>
        <w:rPr>
          <w:rStyle w:val="FootnoteReference"/>
        </w:rPr>
        <w:footnoteRef/>
      </w:r>
      <w:r>
        <w:t xml:space="preserve"> </w:t>
      </w:r>
      <w:hyperlink r:id="rId49">
        <w:r>
          <w:rPr>
            <w:rStyle w:val="Hyperlink"/>
          </w:rPr>
          <w:t xml:space="preserve">https://ogcapi.ogc.org/maps</w:t>
        </w:r>
      </w:hyperlink>
    </w:p>
  </w:footnote>
  <w:footnote w:id="51">
    <w:p>
      <w:pPr>
        <w:pStyle w:val="FootnoteText"/>
      </w:pPr>
      <w:r>
        <w:rPr>
          <w:rStyle w:val="FootnoteReference"/>
        </w:rPr>
        <w:footnoteRef/>
      </w:r>
      <w:r>
        <w:t xml:space="preserve"> </w:t>
      </w:r>
      <w:hyperlink r:id="rId52">
        <w:r>
          <w:rPr>
            <w:rStyle w:val="Hyperlink"/>
          </w:rPr>
          <w:t xml:space="preserve">https://ogcapi.ogc.org/records</w:t>
        </w:r>
      </w:hyperlink>
    </w:p>
  </w:footnote>
  <w:footnote w:id="54">
    <w:p>
      <w:pPr>
        <w:pStyle w:val="FootnoteText"/>
      </w:pPr>
      <w:r>
        <w:rPr>
          <w:rStyle w:val="FootnoteReference"/>
        </w:rPr>
        <w:footnoteRef/>
      </w:r>
      <w:r>
        <w:t xml:space="preserve"> </w:t>
      </w:r>
      <w:hyperlink r:id="rId55">
        <w:r>
          <w:rPr>
            <w:rStyle w:val="Hyperlink"/>
          </w:rPr>
          <w:t xml:space="preserve">https://ogcapi.ogc.org/processes</w:t>
        </w:r>
      </w:hyperlink>
    </w:p>
  </w:footnote>
  <w:footnote w:id="57">
    <w:p>
      <w:pPr>
        <w:pStyle w:val="FootnoteText"/>
      </w:pPr>
      <w:r>
        <w:rPr>
          <w:rStyle w:val="FootnoteReference"/>
        </w:rPr>
        <w:footnoteRef/>
      </w:r>
      <w:r>
        <w:t xml:space="preserve"> </w:t>
      </w:r>
      <w:hyperlink r:id="rId58">
        <w:r>
          <w:rPr>
            <w:rStyle w:val="Hyperlink"/>
          </w:rPr>
          <w:t xml:space="preserve">https://stacspec.org</w:t>
        </w:r>
      </w:hyperlink>
    </w:p>
  </w:footnote>
  <w:footnote w:id="59">
    <w:p>
      <w:pPr>
        <w:pStyle w:val="FootnoteText"/>
      </w:pPr>
      <w:r>
        <w:rPr>
          <w:rStyle w:val="FootnoteReference"/>
        </w:rPr>
        <w:footnoteRef/>
      </w:r>
      <w:r>
        <w:t xml:space="preserve"> </w:t>
      </w:r>
      <w:hyperlink r:id="rId60">
        <w:r>
          <w:rPr>
            <w:rStyle w:val="Hyperlink"/>
          </w:rPr>
          <w:t xml:space="preserve">https://github.com/radiantearth/stac-api-spec</w:t>
        </w:r>
      </w:hyperlink>
    </w:p>
  </w:footnote>
  <w:footnote w:id="63">
    <w:p>
      <w:pPr>
        <w:pStyle w:val="FootnoteText"/>
      </w:pPr>
      <w:r>
        <w:rPr>
          <w:rStyle w:val="FootnoteReference"/>
        </w:rPr>
        <w:footnoteRef/>
      </w:r>
      <w:r>
        <w:t xml:space="preserve"> </w:t>
      </w:r>
      <w:hyperlink r:id="rId64">
        <w:r>
          <w:rPr>
            <w:rStyle w:val="Hyperlink"/>
          </w:rPr>
          <w:t xml:space="preserve">https://www.ogc.org/publications/standard/coveragejson</w:t>
        </w:r>
      </w:hyperlink>
    </w:p>
  </w:footnote>
  <w:footnote w:id="66">
    <w:p>
      <w:pPr>
        <w:pStyle w:val="FootnoteText"/>
      </w:pPr>
      <w:r>
        <w:rPr>
          <w:rStyle w:val="FootnoteReference"/>
        </w:rPr>
        <w:footnoteRef/>
      </w:r>
      <w:r>
        <w:t xml:space="preserve"> </w:t>
      </w:r>
      <w:hyperlink r:id="rId67">
        <w:r>
          <w:rPr>
            <w:rStyle w:val="Hyperlink"/>
          </w:rPr>
          <w:t xml:space="preserve">https://zarr.dev</w:t>
        </w:r>
      </w:hyperlink>
    </w:p>
  </w:footnote>
  <w:footnote w:id="68">
    <w:p>
      <w:pPr>
        <w:pStyle w:val="FootnoteText"/>
      </w:pPr>
      <w:r>
        <w:rPr>
          <w:rStyle w:val="FootnoteReference"/>
        </w:rPr>
        <w:footnoteRef/>
      </w:r>
      <w:r>
        <w:t xml:space="preserve"> </w:t>
      </w:r>
      <w:hyperlink r:id="rId69">
        <w:r>
          <w:rPr>
            <w:rStyle w:val="Hyperlink"/>
          </w:rPr>
          <w:t xml:space="preserve">https://github.com/zarr-developers/geozarr-spec</w:t>
        </w:r>
      </w:hyperlink>
    </w:p>
  </w:footnote>
  <w:footnote w:id="71">
    <w:p>
      <w:pPr>
        <w:pStyle w:val="FootnoteText"/>
      </w:pPr>
      <w:r>
        <w:rPr>
          <w:rStyle w:val="FootnoteReference"/>
        </w:rPr>
        <w:footnoteRef/>
      </w:r>
      <w:r>
        <w:t xml:space="preserve"> </w:t>
      </w:r>
      <w:hyperlink r:id="rId58">
        <w:r>
          <w:rPr>
            <w:rStyle w:val="Hyperlink"/>
          </w:rPr>
          <w:t xml:space="preserve">https://stacspec.org</w:t>
        </w:r>
      </w:hyperlink>
    </w:p>
  </w:footnote>
  <w:footnote w:id="72">
    <w:p>
      <w:pPr>
        <w:pStyle w:val="FootnoteText"/>
      </w:pPr>
      <w:r>
        <w:rPr>
          <w:rStyle w:val="FootnoteReference"/>
        </w:rPr>
        <w:footnoteRef/>
      </w:r>
      <w:r>
        <w:t xml:space="preserve"> </w:t>
      </w:r>
      <w:hyperlink r:id="rId73">
        <w:r>
          <w:rPr>
            <w:rStyle w:val="Hyperlink"/>
          </w:rPr>
          <w:t xml:space="preserve">https://github.com/radiantearth/stac-spec/blob/master/item-spec/item-spec.md</w:t>
        </w:r>
      </w:hyperlink>
    </w:p>
  </w:footnote>
  <w:footnote w:id="74">
    <w:p>
      <w:pPr>
        <w:pStyle w:val="FootnoteText"/>
      </w:pPr>
      <w:r>
        <w:rPr>
          <w:rStyle w:val="FootnoteReference"/>
        </w:rPr>
        <w:footnoteRef/>
      </w:r>
      <w:r>
        <w:t xml:space="preserve"> </w:t>
      </w:r>
      <w:hyperlink r:id="rId75">
        <w:r>
          <w:rPr>
            <w:rStyle w:val="Hyperlink"/>
          </w:rPr>
          <w:t xml:space="preserve">https://github.com/radiantearth/stac-spec/blob/master/catalog-spec/catalog-spec.md</w:t>
        </w:r>
      </w:hyperlink>
    </w:p>
  </w:footnote>
  <w:footnote w:id="76">
    <w:p>
      <w:pPr>
        <w:pStyle w:val="FootnoteText"/>
      </w:pPr>
      <w:r>
        <w:rPr>
          <w:rStyle w:val="FootnoteReference"/>
        </w:rPr>
        <w:footnoteRef/>
      </w:r>
      <w:r>
        <w:t xml:space="preserve"> </w:t>
      </w:r>
      <w:hyperlink r:id="rId77">
        <w:r>
          <w:rPr>
            <w:rStyle w:val="Hyperlink"/>
          </w:rPr>
          <w:t xml:space="preserve">https://github.com/radiantearth/stac-spec/blob/master/collection-spec/collection-spec.md</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radiantearth/stac-api-spec" TargetMode="External" /><Relationship Type="http://schemas.openxmlformats.org/officeDocument/2006/relationships/hyperlink" Id="rId75" Target="https://github.com/radiantearth/stac-spec/blob/master/catalog-spec/catalog-spec.md" TargetMode="External" /><Relationship Type="http://schemas.openxmlformats.org/officeDocument/2006/relationships/hyperlink" Id="rId77" Target="https://github.com/radiantearth/stac-spec/blob/master/collection-spec/collection-spec.md" TargetMode="External" /><Relationship Type="http://schemas.openxmlformats.org/officeDocument/2006/relationships/hyperlink" Id="rId73" Target="https://github.com/radiantearth/stac-spec/blob/master/item-spec/item-spec.md" TargetMode="External" /><Relationship Type="http://schemas.openxmlformats.org/officeDocument/2006/relationships/hyperlink" Id="rId69" Target="https://github.com/zarr-developers/geozarr-spec" TargetMode="External" /><Relationship Type="http://schemas.openxmlformats.org/officeDocument/2006/relationships/hyperlink" Id="rId34" Target="https://library.wmo.int/idurl/4/68731" TargetMode="External" /><Relationship Type="http://schemas.openxmlformats.org/officeDocument/2006/relationships/hyperlink" Id="rId40" Target="https://library.wmo.int/idurl/4/69050" TargetMode="External" /><Relationship Type="http://schemas.openxmlformats.org/officeDocument/2006/relationships/hyperlink" Id="rId37" Target="https://library.wmo.int/idurl/4/69130" TargetMode="External" /><Relationship Type="http://schemas.openxmlformats.org/officeDocument/2006/relationships/hyperlink" Id="rId46" Target="https://ogcapi.ogc.org/edr" TargetMode="External" /><Relationship Type="http://schemas.openxmlformats.org/officeDocument/2006/relationships/hyperlink" Id="rId49" Target="https://ogcapi.ogc.org/maps" TargetMode="External" /><Relationship Type="http://schemas.openxmlformats.org/officeDocument/2006/relationships/hyperlink" Id="rId55" Target="https://ogcapi.ogc.org/processes" TargetMode="External" /><Relationship Type="http://schemas.openxmlformats.org/officeDocument/2006/relationships/hyperlink" Id="rId52" Target="https://ogcapi.ogc.org/records"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58" Target="https://stacspec.org" TargetMode="External" /><Relationship Type="http://schemas.openxmlformats.org/officeDocument/2006/relationships/hyperlink" Id="rId20" Target="https://wmo-im.github.io/metdx-ie/metdx-ie/metdx-ie-DRAFT.html" TargetMode="External" /><Relationship Type="http://schemas.openxmlformats.org/officeDocument/2006/relationships/hyperlink" Id="rId64" Target="https://www.ogc.org/publications/standard/coveragejson" TargetMode="External" /><Relationship Type="http://schemas.openxmlformats.org/officeDocument/2006/relationships/hyperlink" Id="rId67" Target="https://zarr.dev"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radiantearth/stac-api-spec" TargetMode="External" /><Relationship Type="http://schemas.openxmlformats.org/officeDocument/2006/relationships/hyperlink" Id="rId75" Target="https://github.com/radiantearth/stac-spec/blob/master/catalog-spec/catalog-spec.md" TargetMode="External" /><Relationship Type="http://schemas.openxmlformats.org/officeDocument/2006/relationships/hyperlink" Id="rId77" Target="https://github.com/radiantearth/stac-spec/blob/master/collection-spec/collection-spec.md" TargetMode="External" /><Relationship Type="http://schemas.openxmlformats.org/officeDocument/2006/relationships/hyperlink" Id="rId73" Target="https://github.com/radiantearth/stac-spec/blob/master/item-spec/item-spec.md" TargetMode="External" /><Relationship Type="http://schemas.openxmlformats.org/officeDocument/2006/relationships/hyperlink" Id="rId69" Target="https://github.com/zarr-developers/geozarr-spec" TargetMode="External" /><Relationship Type="http://schemas.openxmlformats.org/officeDocument/2006/relationships/hyperlink" Id="rId34" Target="https://library.wmo.int/idurl/4/68731" TargetMode="External" /><Relationship Type="http://schemas.openxmlformats.org/officeDocument/2006/relationships/hyperlink" Id="rId40" Target="https://library.wmo.int/idurl/4/69050" TargetMode="External" /><Relationship Type="http://schemas.openxmlformats.org/officeDocument/2006/relationships/hyperlink" Id="rId37" Target="https://library.wmo.int/idurl/4/69130" TargetMode="External" /><Relationship Type="http://schemas.openxmlformats.org/officeDocument/2006/relationships/hyperlink" Id="rId46" Target="https://ogcapi.ogc.org/edr" TargetMode="External" /><Relationship Type="http://schemas.openxmlformats.org/officeDocument/2006/relationships/hyperlink" Id="rId49" Target="https://ogcapi.ogc.org/maps" TargetMode="External" /><Relationship Type="http://schemas.openxmlformats.org/officeDocument/2006/relationships/hyperlink" Id="rId55" Target="https://ogcapi.ogc.org/processes" TargetMode="External" /><Relationship Type="http://schemas.openxmlformats.org/officeDocument/2006/relationships/hyperlink" Id="rId52" Target="https://ogcapi.ogc.org/records"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58" Target="https://stacspec.org" TargetMode="External" /><Relationship Type="http://schemas.openxmlformats.org/officeDocument/2006/relationships/hyperlink" Id="rId20" Target="https://wmo-im.github.io/metdx-ie/metdx-ie/metdx-ie-DRAFT.html" TargetMode="External" /><Relationship Type="http://schemas.openxmlformats.org/officeDocument/2006/relationships/hyperlink" Id="rId64" Target="https://www.ogc.org/publications/standard/coveragejson" TargetMode="External" /><Relationship Type="http://schemas.openxmlformats.org/officeDocument/2006/relationships/hyperlink" Id="rId67" Target="https://zarr.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Met Data Exchange Interoperability Experiment</dc:title>
  <dc:creator/>
  <cp:keywords/>
  <dcterms:created xsi:type="dcterms:W3CDTF">2025-02-13T13:10:28Z</dcterms:created>
  <dcterms:modified xsi:type="dcterms:W3CDTF">2025-02-13T13:10:28Z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2025 World Meteorological Organization (WMO)</vt:lpwstr>
  </property>
  <property fmtid="{D5CDD505-2E9C-101B-9397-08002B2CF9AE}" pid="3" name="date">
    <vt:lpwstr>2025-02-13</vt:lpwstr>
  </property>
</Properties>
</file>