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2.0.0-DRAFT-2024-02-15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833e64564d20e792fb4068e8ba73e26d929a1de"/>
      <w:r>
        <w:t xml:space="preserve">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6c8ff279ae0c1bdfb37bb6344105bb8007f162a"/>
      <w:r>
        <w:t xml:space="preserve">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308bfe473ee20a8b70bcf19a3157dd310a3e83c"/>
      <w:r>
        <w:t xml:space="preserve">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863352c0a208a97f96d5316c8b110d03a11946f"/>
      <w:r>
        <w:t xml:space="preserve">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4" w:name="X5f04a09c9b33d9ad8b2a9841bb08b741ed45545"/>
      <w:r>
        <w:t xml:space="preserve">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5"/>
            </w:r>
            <w:r>
              <w:t xml:space="preserve">.</w:t>
            </w:r>
          </w:p>
        </w:tc>
      </w:tr>
    </w:tbl>
    <w:p>
      <w:pPr>
        <w:pStyle w:val="Heading3"/>
      </w:pPr>
      <w:bookmarkStart w:id="117" w:name="Xc6b1df124ed066472c346a268f1ec7b7d26026d"/>
      <w:r>
        <w:t xml:space="preserve">Properties / Title</w:t>
      </w:r>
      <w:bookmarkEnd w:id="117"/>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8" w:name="Xc7f0267ce03598a201629ab7353ae638cff484d"/>
      <w:r>
        <w:t xml:space="preserve">Properties / Description</w:t>
      </w:r>
      <w:bookmarkEnd w:id="118"/>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9" w:name="Xf2dc2c0b395f0755e4a1f1b30c4e1dc9ef7bfb5"/>
      <w:r>
        <w:t xml:space="preserve">Properties / Keywords</w:t>
      </w:r>
      <w:bookmarkEnd w:id="119"/>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20" w:name="Xa986f7d448c9ef419533f887d91e348bf639c21"/>
      <w:r>
        <w:t xml:space="preserve">Properties / Themes</w:t>
      </w:r>
      <w:bookmarkEnd w:id="120"/>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1" w:name="X2bf3872efc18f92f754db8be93d1ba8324115be"/>
      <w:r>
        <w:t xml:space="preserve">Geospatial and temporal extents</w:t>
      </w:r>
      <w:bookmarkEnd w:id="121"/>
    </w:p>
    <w:p>
      <w:pPr>
        <w:pStyle w:val="Heading4"/>
      </w:pPr>
      <w:bookmarkStart w:id="122" w:name="X35a334403f938723739025300a4eafb7282eb26"/>
      <w:r>
        <w:t xml:space="preserve">Geospatial extent</w:t>
      </w:r>
      <w:bookmarkEnd w:id="122"/>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3" w:name="X3ef0ec9863efeeaa922c5d391305a481c050bfa"/>
      <w:r>
        <w:t xml:space="preserve">Additional geospatial extents</w:t>
      </w:r>
      <w:bookmarkEnd w:id="123"/>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4" w:name="X588a05d06ef6be52311cc5cfafec95f7fa5aa17"/>
      <w:r>
        <w:t xml:space="preserve">Temporal extent</w:t>
      </w:r>
      <w:bookmarkEnd w:id="124"/>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5" w:name="X722e1c46ae3e0b90d914a68f0ef7f90696f916d"/>
      <w:r>
        <w:t xml:space="preserve">Additional temporal extents</w:t>
      </w:r>
      <w:bookmarkEnd w:id="125"/>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6" w:name="X2bdeca71a76171919cce52ccfe875d512944a72"/>
      <w:r>
        <w:t xml:space="preserve">Properties / Contacts</w:t>
      </w:r>
      <w:bookmarkEnd w:id="126"/>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7" w:name="X6dfb460a270a93b831f8e7239bbb62d3e8cef6b"/>
      <w:r>
        <w:t xml:space="preserve">Properties / Version</w:t>
      </w:r>
      <w:bookmarkEnd w:id="127"/>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8" w:name="X36daa86e8eca49ae6522f49310ca557b5f7a027"/>
      <w:r>
        <w:t xml:space="preserve">Properties / Persistent identifiers</w:t>
      </w:r>
      <w:bookmarkEnd w:id="128"/>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9"/>
      </w:r>
    </w:p>
    <w:p>
      <w:pPr>
        <w:numPr>
          <w:ilvl w:val="0"/>
          <w:numId w:val="1019"/>
        </w:numPr>
      </w:pPr>
      <w:r>
        <w:t xml:space="preserve">Archival Resource Key (ARK)</w:t>
      </w:r>
      <w:r>
        <w:rPr>
          <w:rStyle w:val="FootnoteReference"/>
        </w:rPr>
        <w:footnoteReference w:id="131"/>
      </w:r>
    </w:p>
    <w:p>
      <w:pPr>
        <w:numPr>
          <w:ilvl w:val="0"/>
          <w:numId w:val="1019"/>
        </w:numPr>
      </w:pPr>
      <w:r>
        <w:t xml:space="preserve">Handle</w:t>
      </w:r>
      <w:r>
        <w:rPr>
          <w:rStyle w:val="FootnoteReference"/>
        </w:rPr>
        <w:footnoteReference w:id="133"/>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5" w:name="X3743c39a0218b3c0ad43194440965896f7c8443"/>
      <w:r>
        <w:t xml:space="preserve">Properties / Record creation date</w:t>
      </w:r>
      <w:bookmarkEnd w:id="135"/>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6" w:name="Xa2fa2d054e18d0a85e6c71d2fddc4efdaef2423"/>
      <w:r>
        <w:t xml:space="preserve">Properties / Record update date</w:t>
      </w:r>
      <w:bookmarkEnd w:id="136"/>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7" w:name="Xe6333e3a5186d33c5cff13e42b2cb0fa9a63ef3"/>
      <w:r>
        <w:t xml:space="preserve">Properties / Status</w:t>
      </w:r>
      <w:bookmarkEnd w:id="137"/>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8" w:name="X9bf66d91514f28153c162b19c3062cce12a6395"/>
      <w:r>
        <w:t xml:space="preserve">Properties / WMO data policy</w:t>
      </w:r>
      <w:bookmarkEnd w:id="138"/>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9"/>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(e.g., Creative Commons CC0</w:t>
            </w:r>
            <w:r>
              <w:rPr>
                <w:rStyle w:val="FootnoteReference"/>
              </w:rPr>
              <w:footnoteReference w:id="140"/>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2" w:name="links-distribution"/>
      <w:r>
        <w:t xml:space="preserve">Links and distribution information</w:t>
      </w:r>
      <w:bookmarkEnd w:id="142"/>
    </w:p>
    <w:p>
      <w:pPr>
        <w:pStyle w:val="Heading4"/>
      </w:pPr>
      <w:bookmarkStart w:id="143" w:name="X983c4aa7ef28fb7032ae84e3fd3376f6e50726d"/>
      <w:r>
        <w:t xml:space="preserve">Overview</w:t>
      </w:r>
      <w:bookmarkEnd w:id="143"/>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4"/>
            </w:r>
            <w:r>
              <w:t xml:space="preserve"> </w:t>
            </w:r>
            <w:r>
              <w:t xml:space="preserve">or WCMP</w:t>
            </w:r>
            <w:r>
              <w:t xml:space="preserve"> </w:t>
            </w:r>
            <w:r>
              <w:t xml:space="preserve">defined extensions</w:t>
            </w:r>
            <w:r>
              <w:rPr>
                <w:rStyle w:val="FootnoteReference"/>
              </w:rPr>
              <w:footnoteReference w:id="146"/>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8" w:name="X5420af2afac69caf319df612af7e0a638020666"/>
      <w:r>
        <w:t xml:space="preserve">Templated links</w:t>
      </w:r>
      <w:bookmarkEnd w:id="148"/>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9"/>
            </w:r>
            <w:r>
              <w:t xml:space="preserve"> </w:t>
            </w:r>
            <w:r>
              <w:t xml:space="preserve">or the WCMP link type codelist</w:t>
            </w:r>
            <w:r>
              <w:t xml:space="preserve"> </w:t>
            </w:r>
            <w:r>
              <w:rPr>
                <w:rStyle w:val="FootnoteReference"/>
              </w:rPr>
              <w:footnoteReference w:id="150"/>
            </w:r>
            <w:r>
              <w:t xml:space="preserve">.</w:t>
            </w:r>
          </w:p>
        </w:tc>
      </w:tr>
    </w:tbl>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1" w:name="X4beeed0c4fbfcc34f46c37d8f47acf8619530c0"/>
      <w:r>
        <w:t xml:space="preserve">Distribution information</w:t>
      </w:r>
      <w:bookmarkEnd w:id="151"/>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14</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2" w:name="X0816bbae025f082caaf5aa16c47b09f1cd4e88e"/>
      <w:r>
        <w:t xml:space="preserve">Access control</w:t>
      </w:r>
      <w:bookmarkEnd w:id="152"/>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3" w:name="Xf98e04de67bba7ef0ca9a454026c8b18cfdce45"/>
      <w:r>
        <w:t xml:space="preserve">Link relation selection</w:t>
      </w:r>
      <w:bookmarkEnd w:id="15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4" w:name="X2b145b5a935ac6e14f7d0458519266699c26f66"/>
      <w:r>
        <w:t xml:space="preserve">Additional properties</w:t>
      </w:r>
      <w:bookmarkEnd w:id="15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5" w:name="X923228b5c97e1eb8dabcd1cbb2d566dfa9877af"/>
      <w:r>
        <w:t xml:space="preserve">Cataloguing considerations</w:t>
      </w:r>
      <w:bookmarkEnd w:id="15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6" w:name="X31d95753d8963ef876a659fb5032dfc02fd0b43"/>
      <w:r>
        <w:t xml:space="preserve">Faceting</w:t>
      </w:r>
      <w:bookmarkEnd w:id="15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7" w:name="X78fdb1f4716baf4c26796c550dad0531813f831"/>
      <w:r>
        <w:t xml:space="preserve">Conformance Class Abstract Test Suite (Normative)</w:t>
      </w:r>
      <w:bookmarkEnd w:id="157"/>
    </w:p>
    <w:p>
      <w:pPr>
        <w:pStyle w:val="Heading2"/>
      </w:pPr>
      <w:bookmarkStart w:id="158" w:name="X832d8df2233b24fd4778b0d5040958f69375ea7"/>
      <w:r>
        <w:t xml:space="preserve">Conformance Class: Core</w:t>
      </w:r>
      <w:bookmarkEnd w:id="158"/>
    </w:p>
    <w:p>
      <w:pPr>
        <w:pStyle w:val="DefinitionTerm"/>
      </w:pPr>
      <w:r>
        <w:t xml:space="preserve">label</w:t>
      </w:r>
    </w:p>
    <w:p>
      <w:pPr>
        <w:pStyle w:val="Definition"/>
      </w:pPr>
      <w:hyperlink r:id="rId159">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5">
    <w:p>
      <w:pPr>
        <w:pStyle w:val="FootnoteText"/>
      </w:pPr>
      <w:r>
        <w:rPr>
          <w:rStyle w:val="FootnoteReference"/>
        </w:rPr>
        <w:footnoteRef/>
      </w:r>
      <w:r>
        <w:t xml:space="preserve"> </w:t>
      </w:r>
      <w:hyperlink r:id="rId116">
        <w:r>
          <w:rPr>
            <w:rStyle w:val="Hyperlink"/>
          </w:rPr>
          <w:t xml:space="preserve">https://codes.wmo.int/wis/resource-type</w:t>
        </w:r>
      </w:hyperlink>
    </w:p>
  </w:footnote>
  <w:footnote w:id="129">
    <w:p>
      <w:pPr>
        <w:pStyle w:val="FootnoteText"/>
      </w:pPr>
      <w:r>
        <w:rPr>
          <w:rStyle w:val="FootnoteReference"/>
        </w:rPr>
        <w:footnoteRef/>
      </w:r>
      <w:r>
        <w:t xml:space="preserve"> </w:t>
      </w:r>
      <w:hyperlink r:id="rId130">
        <w:r>
          <w:rPr>
            <w:rStyle w:val="Hyperlink"/>
          </w:rPr>
          <w:t xml:space="preserve">https://doi.org</w:t>
        </w:r>
      </w:hyperlink>
    </w:p>
  </w:footnote>
  <w:footnote w:id="131">
    <w:p>
      <w:pPr>
        <w:pStyle w:val="FootnoteText"/>
      </w:pPr>
      <w:r>
        <w:rPr>
          <w:rStyle w:val="FootnoteReference"/>
        </w:rPr>
        <w:footnoteRef/>
      </w:r>
      <w:r>
        <w:t xml:space="preserve"> </w:t>
      </w:r>
      <w:hyperlink r:id="rId132">
        <w:r>
          <w:rPr>
            <w:rStyle w:val="Hyperlink"/>
          </w:rPr>
          <w:t xml:space="preserve">https://arks.org</w:t>
        </w:r>
      </w:hyperlink>
    </w:p>
  </w:footnote>
  <w:footnote w:id="133">
    <w:p>
      <w:pPr>
        <w:pStyle w:val="FootnoteText"/>
      </w:pPr>
      <w:r>
        <w:rPr>
          <w:rStyle w:val="FootnoteReference"/>
        </w:rPr>
        <w:footnoteRef/>
      </w:r>
      <w:r>
        <w:t xml:space="preserve"> </w:t>
      </w:r>
      <w:hyperlink r:id="rId134">
        <w:r>
          <w:rPr>
            <w:rStyle w:val="Hyperlink"/>
          </w:rPr>
          <w:t xml:space="preserve">https://handle.net</w:t>
        </w:r>
      </w:hyperlink>
    </w:p>
  </w:footnote>
  <w:footnote w:id="139">
    <w:p>
      <w:pPr>
        <w:pStyle w:val="FootnoteText"/>
      </w:pPr>
      <w:r>
        <w:rPr>
          <w:rStyle w:val="FootnoteReference"/>
        </w:rPr>
        <w:footnoteRef/>
      </w:r>
      <w:r>
        <w:t xml:space="preserve"> </w:t>
      </w:r>
      <w:hyperlink r:id="rId109">
        <w:r>
          <w:rPr>
            <w:rStyle w:val="Hyperlink"/>
          </w:rPr>
          <w:t xml:space="preserve">https://library.wmo.int/idurl/4/58009</w:t>
        </w:r>
      </w:hyperlink>
    </w:p>
  </w:footnote>
  <w:footnote w:id="140">
    <w:p>
      <w:pPr>
        <w:pStyle w:val="FootnoteText"/>
      </w:pPr>
      <w:r>
        <w:rPr>
          <w:rStyle w:val="FootnoteReference"/>
        </w:rPr>
        <w:footnoteRef/>
      </w:r>
      <w:r>
        <w:t xml:space="preserve"> </w:t>
      </w:r>
      <w:hyperlink r:id="rId141">
        <w:r>
          <w:rPr>
            <w:rStyle w:val="Hyperlink"/>
          </w:rPr>
          <w:t xml:space="preserve">https://creativecommons.org/publicdomain/zero/1.0/</w:t>
        </w:r>
      </w:hyperlink>
    </w:p>
  </w:footnote>
  <w:footnote w:id="144">
    <w:p>
      <w:pPr>
        <w:pStyle w:val="FootnoteText"/>
      </w:pPr>
      <w:r>
        <w:rPr>
          <w:rStyle w:val="FootnoteReference"/>
        </w:rPr>
        <w:footnoteRef/>
      </w:r>
      <w:r>
        <w:t xml:space="preserve"> </w:t>
      </w:r>
      <w:hyperlink r:id="rId145">
        <w:r>
          <w:rPr>
            <w:rStyle w:val="Hyperlink"/>
          </w:rPr>
          <w:t xml:space="preserve">https://www.iana.org/assignments/link-relations/link-relations.xhtml</w:t>
        </w:r>
      </w:hyperlink>
    </w:p>
  </w:footnote>
  <w:footnote w:id="146">
    <w:p>
      <w:pPr>
        <w:pStyle w:val="FootnoteText"/>
      </w:pPr>
      <w:r>
        <w:rPr>
          <w:rStyle w:val="FootnoteReference"/>
        </w:rPr>
        <w:footnoteRef/>
      </w:r>
      <w:r>
        <w:t xml:space="preserve"> </w:t>
      </w:r>
      <w:hyperlink r:id="rId147">
        <w:r>
          <w:rPr>
            <w:rStyle w:val="Hyperlink"/>
          </w:rPr>
          <w:t xml:space="preserve">https://codes.wmo.int/wis/link-type</w:t>
        </w:r>
      </w:hyperlink>
    </w:p>
  </w:footnote>
  <w:footnote w:id="149">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0">
    <w:p>
      <w:pPr>
        <w:pStyle w:val="FootnoteText"/>
      </w:pPr>
      <w:r>
        <w:rPr>
          <w:rStyle w:val="FootnoteReference"/>
        </w:rPr>
        <w:footnoteRef/>
      </w:r>
      <w:r>
        <w:t xml:space="preserve"> </w:t>
      </w:r>
      <w:hyperlink r:id="rId147">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2024-02-15T01:51:19Z</dcterms:created>
  <dcterms:modified xsi:type="dcterms:W3CDTF">2024-02-15T01:51:19Z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