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as well as the product description page, and need to focus on highlighting the product’s key characteristics to assist users with relevant product search results.</w:t>
      </w:r>
    </w:p>
    <w:bookmarkEnd w:id="43"/>
    <w:bookmarkStart w:id="44" w:name="X250ba32e0a891ffab1bac6b1cb7509f9368944a"/>
    <w:p>
      <w:pPr>
        <w:pStyle w:val="Heading3"/>
      </w:pPr>
      <w:r>
        <w:t xml:space="preserve">Measurement</w:t>
      </w:r>
    </w:p>
    <w:p>
      <w:pPr>
        <w:pStyle w:val="FirstParagraph"/>
      </w:pPr>
      <w:r>
        <w:t xml:space="preserve">The title of the product follows the principles of the WCMP guidance. The length is not too short or too long, contains less than three acronyms and is represented in title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contain no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and/or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what form the data takes</w:t>
      </w:r>
    </w:p>
    <w:p>
      <w:pPr>
        <w:numPr>
          <w:ilvl w:val="0"/>
          <w:numId w:val="1007"/>
        </w:numPr>
        <w:pStyle w:val="Definition"/>
      </w:pPr>
      <w:r>
        <w:t xml:space="preserve">State any other limiting information, such as time period of validity of the data</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HTML/CSV tables, extra spaces or other markup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from and/or tied to the metadata</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"For WMO Information System 2.0 (WIS 2.0) DWD provides a Global Cache Service. It offers the possibility to download cached core data from a single source. An automatic download is made possible by messages that are distributed worldwide and contain the actual download link. Subscription to receive the messages is possible via Global Brokers. General notes: 1) Maximum message size is limited to 8192 bytes, 2) Connected Global Brokers are Global Broker MF and Global Broker CMA, 3) During the test phase the data is not yet cached for 24 hours"</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contains no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weather/climate/water data and as such is critical for users to know which period(s) of time is/are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Whether a time interval is present and contains an interval with a corresponding resolution.</w:t>
      </w:r>
    </w:p>
    <w:bookmarkEnd w:id="63"/>
    <w:bookmarkStart w:id="65" w:name="X4227c19ee809ab2b68c2477d22cda463e6c3f4e"/>
    <w:p>
      <w:pPr>
        <w:pStyle w:val="Heading3"/>
      </w:pPr>
      <w:r>
        <w:t xml:space="preserve">Guidance</w:t>
      </w:r>
    </w:p>
    <w:p>
      <w:pPr>
        <w:pStyle w:val="FirstParagraph"/>
      </w:pPr>
      <w:r>
        <w:t xml:space="preserve">Ensure that the temporal extent resolution is present in the metadata record.</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Product graphic overviews provide the user with a high level preview of the product which can assist in a high level assessment and/or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using such information are here:</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Any property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well as the suggested protocol vs. HTTP. Having non-HTTPS links in a WCMP document often leads to mixed content errors in web applications deployed via HTTPS for example,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"mqtts://[yourAccount]:[yourPassword]@wis2.dwd.de:8883/"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$.properties.contacts[?(@.role=="host")]</w:t>
      </w:r>
    </w:p>
    <w:p>
      <w:pPr>
        <w:numPr>
          <w:ilvl w:val="0"/>
          <w:numId w:val="1017"/>
        </w:numPr>
      </w:pPr>
      <w:r>
        <w:rPr>
          <w:rStyle w:val="VerbatimChar"/>
        </w:rPr>
        <w:t xml:space="preserve">$.properties.contacts[?(@.role=="host")].emails</w:t>
      </w:r>
    </w:p>
    <w:p>
      <w:pPr>
        <w:numPr>
          <w:ilvl w:val="0"/>
          <w:numId w:val="1017"/>
        </w:numPr>
      </w:pPr>
      <w:r>
        <w:rPr>
          <w:rStyle w:val="VerbatimChar"/>
        </w:rPr>
        <w:t xml:space="preserve">$.properties.contacts[?(@.role=="host")].contactInstructions</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elements.</w:t>
      </w:r>
    </w:p>
    <w:p>
      <w:pPr>
        <w:numPr>
          <w:ilvl w:val="0"/>
          <w:numId w:val="1018"/>
        </w:numPr>
      </w:pPr>
      <w:r>
        <w:t xml:space="preserve">host contact information (email, contact instructions)</w:t>
      </w:r>
    </w:p>
    <w:bookmarkEnd w:id="92"/>
    <w:bookmarkStart w:id="94" w:name="Xf5ba6112f9558e410a6fb94236f0101fad77516"/>
    <w:p>
      <w:pPr>
        <w:pStyle w:val="Heading3"/>
      </w:pPr>
      <w:r>
        <w:t xml:space="preserve">Guidance</w:t>
      </w:r>
    </w:p>
    <w:p>
      <w:pPr>
        <w:numPr>
          <w:ilvl w:val="0"/>
          <w:numId w:val="1019"/>
        </w:numPr>
      </w:pPr>
      <w:r>
        <w:t xml:space="preserve">Specify a host. Note that a host does not have to be the same as the main point of contact, principal investigator</w:t>
      </w:r>
    </w:p>
    <w:p>
      <w:pPr>
        <w:numPr>
          <w:ilvl w:val="0"/>
          <w:numId w:val="1019"/>
        </w:numPr>
      </w:pPr>
      <w:r>
        <w:t xml:space="preserve">Specify an email for the host</w:t>
      </w:r>
    </w:p>
    <w:p>
      <w:pPr>
        <w:numPr>
          <w:ilvl w:val="0"/>
          <w:numId w:val="1019"/>
        </w:numPr>
      </w:pPr>
      <w:r>
        <w:t xml:space="preserve">Specify contact instructions for the host</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bl>
    <w:p>
      <w:pPr>
        <w:pStyle w:val="BodyText"/>
      </w:pPr>
      <w:r>
        <w:rPr>
          <w:bCs/>
          <w:b/>
        </w:rPr>
        <w:t xml:space="preserve">Total possible score: 3 (100%)</w:t>
      </w:r>
    </w:p>
    <w:bookmarkEnd w:id="95"/>
    <w:bookmarkEnd w:id="96"/>
    <w:bookmarkStart w:id="102"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0"/>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1"/>
        </w:numPr>
      </w:pPr>
      <w:r>
        <w:t xml:space="preserve">Provide a persistent identifier</w:t>
      </w:r>
    </w:p>
    <w:p>
      <w:pPr>
        <w:numPr>
          <w:ilvl w:val="0"/>
          <w:numId w:val="1021"/>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End w:id="102"/>
    <w:bookmarkStart w:id="103" w:name="X68100805364c71798907f6667db0c7eccd009b5"/>
    <w:p>
      <w:pPr>
        <w:pStyle w:val="Heading2"/>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2026-01-06T00:10:06Z</dcterms:created>
  <dcterms:modified xsi:type="dcterms:W3CDTF">2026-01-06T00:10:06Z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