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70.png" ContentType="image/png"/>
  <Override PartName="/word/media/rId73.png" ContentType="image/png"/>
  <Override PartName="/word/media/rId60.png" ContentType="image/png"/>
  <Override PartName="/word/media/rId63.png" ContentType="image/png"/>
  <Override PartName="/word/media/rId66.png" ContentType="image/png"/>
  <Override PartName="/word/media/rId9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2025-08-05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2025-08-05</w:t>
            </w:r>
          </w:p>
        </w:tc>
      </w:tr>
      <w:tr>
        <w:tc>
          <w:tcPr/>
          <w:p>
            <w:pPr>
              <w:jc w:val="left"/>
            </w:pPr>
            <w:r>
              <w:t xml:space="preserve">Version: 0.1.0</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2" w:name="X1ea7cbd003469405f98a7976943980a7b23bcee"/>
    <w:p>
      <w:pPr>
        <w:pStyle w:val="Heading1"/>
      </w:pPr>
      <w:r>
        <w:t xml:space="preserve">Introduction</w:t>
      </w:r>
    </w:p>
    <w:bookmarkStart w:id="25"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w:t>
      </w:r>
    </w:p>
    <w:bookmarkEnd w:id="25"/>
    <w:bookmarkStart w:id="29"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6">
        <w:r>
          <w:rPr>
            <w:rStyle w:val="Hyperlink"/>
          </w:rPr>
          <w:t xml:space="preserve">Manual on the WMO Information System</w:t>
        </w:r>
      </w:hyperlink>
    </w:p>
    <w:p>
      <w:pPr>
        <w:numPr>
          <w:ilvl w:val="0"/>
          <w:numId w:val="1001"/>
        </w:numPr>
      </w:pPr>
      <w:hyperlink r:id="rId27">
        <w:r>
          <w:rPr>
            <w:rStyle w:val="Hyperlink"/>
          </w:rPr>
          <w:t xml:space="preserve">Guide to the WMO Information System Volume II - WMO Information System 2.0</w:t>
        </w:r>
      </w:hyperlink>
    </w:p>
    <w:p>
      <w:pPr>
        <w:numPr>
          <w:ilvl w:val="0"/>
          <w:numId w:val="1001"/>
        </w:numPr>
      </w:pPr>
      <w:hyperlink r:id="rId28">
        <w:r>
          <w:rPr>
            <w:rStyle w:val="Hyperlink"/>
          </w:rPr>
          <w:t xml:space="preserve">Provisions for the Transition from the WMO Information System (WIS) 1.0 and Global Telecommunication System to WIS 2.0</w:t>
        </w:r>
      </w:hyperlink>
    </w:p>
    <w:bookmarkEnd w:id="29"/>
    <w:bookmarkStart w:id="31" w:name="X0708cee43daf730b6e332e57c71b3d85305c422"/>
    <w:p>
      <w:pPr>
        <w:pStyle w:val="Heading2"/>
      </w:pPr>
      <w:r>
        <w:t xml:space="preserve">Publication and contribution</w:t>
      </w:r>
    </w:p>
    <w:p>
      <w:pPr>
        <w:pStyle w:val="FirstParagraph"/>
      </w:pPr>
      <w:r>
        <w:t xml:space="preserve">Updates to this cookbook will be published twice per year - in March and October.</w:t>
      </w:r>
    </w:p>
    <w:p>
      <w:pPr>
        <w:pStyle w:val="BodyText"/>
      </w:pPr>
      <w:r>
        <w:t xml:space="preserve">All "recipes" published in this cookbook have been reviewed by experts from the INFCOM Standing Committee on Information Management and Technology (SC-IMT). Publication of a new release is approved by the Chair of SC-IMT.</w:t>
      </w:r>
    </w:p>
    <w:p>
      <w:pPr>
        <w:pStyle w:val="BodyText"/>
      </w:pPr>
      <w:r>
        <w:t xml:space="preserve">The WIS2 Cookbook is not regulatory material and does not follow the approval and publication process for the WIS2 Manual and Guide.</w:t>
      </w:r>
    </w:p>
    <w:p>
      <w:pPr>
        <w:pStyle w:val="BodyText"/>
      </w:pPr>
      <w:r>
        <w:t xml:space="preserve">The WIS2 community are invited to provide feedback on the "recipes" in this Cookbook and also to propose new recipes. Contributions should be made by raising issues in the</w:t>
      </w:r>
      <w:r>
        <w:t xml:space="preserve"> </w:t>
      </w:r>
      <w:hyperlink r:id="rId30">
        <w:r>
          <w:rPr>
            <w:rStyle w:val="Hyperlink"/>
          </w:rPr>
          <w:t xml:space="preserve">wmo-im/wis2-cookbook GitHub repository</w:t>
        </w:r>
      </w:hyperlink>
      <w:r>
        <w:t xml:space="preserve">. Experts from SC-IMT will review suggestions with the aim to incorporate them into the next release of the WIS2 Cookbook.</w:t>
      </w:r>
    </w:p>
    <w:bookmarkEnd w:id="31"/>
    <w:bookmarkEnd w:id="32"/>
    <w:bookmarkStart w:id="45" w:name="Xcbebc85af7d78b51242eb6b1603d07e73297f4d"/>
    <w:p>
      <w:pPr>
        <w:pStyle w:val="Heading1"/>
      </w:pPr>
      <w:r>
        <w:t xml:space="preserve">Recipes for data consumers</w:t>
      </w:r>
    </w:p>
    <w:bookmarkStart w:id="40" w:name="X1fe24d5b33d8274b61c96b985ff67b2c44e8d19"/>
    <w:p>
      <w:pPr>
        <w:pStyle w:val="Heading2"/>
      </w:pPr>
      <w:r>
        <w:t xml:space="preserve">Searching the Global Discovery Catalogue</w:t>
      </w:r>
    </w:p>
    <w:p>
      <w:pPr>
        <w:pStyle w:val="FirstParagraph"/>
      </w:pPr>
      <w:r>
        <w:t xml:space="preserve">The</w:t>
      </w:r>
      <w:r>
        <w:t xml:space="preserve"> </w:t>
      </w:r>
      <w:hyperlink r:id="rId33">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4"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4"/>
    <w:bookmarkStart w:id="35"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5"/>
    <w:bookmarkStart w:id="36"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6"/>
    <w:bookmarkStart w:id="37"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7"/>
    <w:bookmarkStart w:id="38"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8"/>
    <w:bookmarkStart w:id="39"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9"/>
    <w:bookmarkEnd w:id="40"/>
    <w:bookmarkStart w:id="44"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1">
        <w:r>
          <w:rPr>
            <w:rStyle w:val="Hyperlink"/>
          </w:rPr>
          <w:t xml:space="preserve">Global Discovery Catalogue (GDC)</w:t>
        </w:r>
      </w:hyperlink>
      <w:r>
        <w:t xml:space="preserve"> </w:t>
      </w:r>
      <w:r>
        <w:t xml:space="preserve">contains both real-time and non real-time data. The</w:t>
      </w:r>
      <w:r>
        <w:t xml:space="preserve"> </w:t>
      </w:r>
      <w:hyperlink r:id="rId42">
        <w:r>
          <w:rPr>
            <w:rStyle w:val="Hyperlink"/>
          </w:rPr>
          <w:t xml:space="preserve">WMO Core Metadata Profile (WCMP2)</w:t>
        </w:r>
      </w:hyperlink>
      <w:r>
        <w:t xml:space="preserve"> </w:t>
      </w:r>
      <w:r>
        <w:t xml:space="preserve">allows for description of real-time data via its</w:t>
      </w:r>
      <w:r>
        <w:t xml:space="preserve"> </w:t>
      </w:r>
      <w:hyperlink r:id="rId43">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4"/>
    <w:bookmarkEnd w:id="45"/>
    <w:bookmarkStart w:id="103" w:name="Xc5829fea4e901e6afa306ccbaf00b6870c57aed"/>
    <w:p>
      <w:pPr>
        <w:pStyle w:val="Heading1"/>
      </w:pPr>
      <w:r>
        <w:t xml:space="preserve">Recipes for data publishers</w:t>
      </w:r>
    </w:p>
    <w:bookmarkStart w:id="49" w:name="Xc6c976515be8accc6e30c5d2dc57ee1e3f0de9f"/>
    <w:p>
      <w:pPr>
        <w:pStyle w:val="Heading2"/>
      </w:pPr>
      <w:r>
        <w:t xml:space="preserve">Validating a WIS2 Notification Message</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a</w:t>
      </w:r>
      <w:r>
        <w:t xml:space="preserve"> </w:t>
      </w:r>
      <w:hyperlink r:id="rId47">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8">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9"/>
    <w:bookmarkStart w:id="51"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50">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1"/>
    <w:bookmarkStart w:id="55"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embed data as part of a notification (see the</w:t>
      </w:r>
      <w:r>
        <w:t xml:space="preserve"> </w:t>
      </w:r>
      <w:hyperlink r:id="rId52">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4">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5"/>
    <w:bookmarkStart w:id="56"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6"/>
    <w:bookmarkStart w:id="76" w:name="X995cd585ef30d7db82fa8cb8b475d4735b246d7"/>
    <w:p>
      <w:pPr>
        <w:pStyle w:val="Heading2"/>
      </w:pPr>
      <w:r>
        <w:t xml:space="preserve">Validating a WMO Core Metadata Profile record</w:t>
      </w:r>
    </w:p>
    <w:p>
      <w:pPr>
        <w:pStyle w:val="FirstParagraph"/>
      </w:pPr>
      <w:r>
        <w:t xml:space="preserve">The</w:t>
      </w:r>
      <w:r>
        <w:t xml:space="preserve"> </w:t>
      </w:r>
      <w:hyperlink r:id="rId57">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58">
        <w:r>
          <w:rPr>
            <w:rStyle w:val="Hyperlink"/>
          </w:rPr>
          <w:t xml:space="preserve">https://wis2-gdc.weather.gc.ca/openapi?f=html</w:t>
        </w:r>
      </w:hyperlink>
      <w:r>
        <w:t xml:space="preserve"> </w:t>
      </w:r>
      <w:r>
        <w:t xml:space="preserve">or</w:t>
      </w:r>
      <w:r>
        <w:t xml:space="preserve"> </w:t>
      </w:r>
      <w:hyperlink r:id="rId59">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1" name="Picture"/>
            <a:graphic>
              <a:graphicData uri="http://schemas.openxmlformats.org/drawingml/2006/picture">
                <pic:pic>
                  <pic:nvPicPr>
                    <pic:cNvPr descr="images/data-publishers-wcmp2-validate-request-copy-paste.png" id="62" name="Picture"/>
                    <pic:cNvPicPr>
                      <a:picLocks noChangeArrowheads="1" noChangeAspect="1"/>
                    </pic:cNvPicPr>
                  </pic:nvPicPr>
                  <pic:blipFill>
                    <a:blip r:embed="rId60"/>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64" name="Picture"/>
            <a:graphic>
              <a:graphicData uri="http://schemas.openxmlformats.org/drawingml/2006/picture">
                <pic:pic>
                  <pic:nvPicPr>
                    <pic:cNvPr descr="images/data-publishers-wcmp2-validate-request-url.png" id="65" name="Picture"/>
                    <pic:cNvPicPr>
                      <a:picLocks noChangeArrowheads="1" noChangeAspect="1"/>
                    </pic:cNvPicPr>
                  </pic:nvPicPr>
                  <pic:blipFill>
                    <a:blip r:embed="rId63"/>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67" name="Picture"/>
            <a:graphic>
              <a:graphicData uri="http://schemas.openxmlformats.org/drawingml/2006/picture">
                <pic:pic>
                  <pic:nvPicPr>
                    <pic:cNvPr descr="images/data-publishers-wcmp2-validate-response.png" id="68" name="Picture"/>
                    <pic:cNvPicPr>
                      <a:picLocks noChangeArrowheads="1" noChangeAspect="1"/>
                    </pic:cNvPicPr>
                  </pic:nvPicPr>
                  <pic:blipFill>
                    <a:blip r:embed="rId66"/>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69">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1" name="Picture"/>
            <a:graphic>
              <a:graphicData uri="http://schemas.openxmlformats.org/drawingml/2006/picture">
                <pic:pic>
                  <pic:nvPicPr>
                    <pic:cNvPr descr="images/data-publishers-wcmp2-quality-assess-request-url.png" id="72" name="Picture"/>
                    <pic:cNvPicPr>
                      <a:picLocks noChangeArrowheads="1" noChangeAspect="1"/>
                    </pic:cNvPicPr>
                  </pic:nvPicPr>
                  <pic:blipFill>
                    <a:blip r:embed="rId70"/>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74" name="Picture"/>
            <a:graphic>
              <a:graphicData uri="http://schemas.openxmlformats.org/drawingml/2006/picture">
                <pic:pic>
                  <pic:nvPicPr>
                    <pic:cNvPr descr="images/data-publishers-wcmp2-quality-assess-response.png" id="75" name="Picture"/>
                    <pic:cNvPicPr>
                      <a:picLocks noChangeArrowheads="1" noChangeAspect="1"/>
                    </pic:cNvPicPr>
                  </pic:nvPicPr>
                  <pic:blipFill>
                    <a:blip r:embed="rId73"/>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76"/>
    <w:bookmarkStart w:id="82"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validaation according to the WCMP2</w:t>
      </w:r>
      <w:r>
        <w:t xml:space="preserve"> </w:t>
      </w:r>
      <w:hyperlink r:id="rId77">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69">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78">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monitor/a/wis2/GDC_CENTRE_ID/WIS2NODE_CENTRE_ID</w:t>
      </w:r>
      <w:r>
        <w:t xml:space="preserve">, where:</w:t>
      </w:r>
    </w:p>
    <w:p>
      <w:pPr>
        <w:numPr>
          <w:ilvl w:val="0"/>
          <w:numId w:val="1013"/>
        </w:numPr>
      </w:pPr>
      <w:r>
        <w:rPr>
          <w:rStyle w:val="VerbatimChar"/>
        </w:rPr>
        <w:t xml:space="preserve">GDC_CENTRE_ID</w:t>
      </w:r>
      <w:r>
        <w:t xml:space="preserve"> </w:t>
      </w:r>
      <w:r>
        <w:t xml:space="preserve">is the centre identifier of a given GDC</w:t>
      </w:r>
    </w:p>
    <w:p>
      <w:pPr>
        <w:numPr>
          <w:ilvl w:val="0"/>
          <w:numId w:val="1013"/>
        </w:numPr>
      </w:pPr>
      <w:r>
        <w:rPr>
          <w:rStyle w:val="VerbatimChar"/>
        </w:rPr>
        <w:t xml:space="preserve">WIS2NODE_CENTRE_ID</w:t>
      </w:r>
      <w:r>
        <w:t xml:space="preserve"> </w:t>
      </w:r>
      <w:r>
        <w:t xml:space="preserve">is the centre identifier of a given WIS2 Node</w:t>
      </w:r>
    </w:p>
    <w:p>
      <w:pPr>
        <w:pStyle w:val="FirstParagraph"/>
      </w:pPr>
      <w:r>
        <w:t xml:space="preserve">For example, to subscribe to Canada GDC reports on WCMP2 records published by Japan Meteorological Agency (JMA), one would subscribe to the topic</w:t>
      </w:r>
      <w:r>
        <w:t xml:space="preserve"> </w:t>
      </w:r>
      <w:r>
        <w:rPr>
          <w:rStyle w:val="VerbatimChar"/>
        </w:rPr>
        <w:t xml:space="preserve">monitor/a/wis2/ca-eccc-msc-global-discovery-catalogue/jp-jma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p>
      <w:pPr>
        <w:pStyle w:val="CaptionedFigure"/>
      </w:pPr>
      <w:r>
        <w:drawing>
          <wp:inline>
            <wp:extent cx="5334000" cy="1389062"/>
            <wp:effectExtent b="0" l="0" r="0" t="0"/>
            <wp:docPr descr="WIS2 subscription to GDC reports of WCMP2 validation and quality assessment" title="" id="80" name="Picture"/>
            <a:graphic>
              <a:graphicData uri="http://schemas.openxmlformats.org/drawingml/2006/picture">
                <pic:pic>
                  <pic:nvPicPr>
                    <pic:cNvPr descr="images/data-publishers-monitor-gdc-wcmp2-reports.png" id="81" name="Picture"/>
                    <pic:cNvPicPr>
                      <a:picLocks noChangeArrowheads="1" noChangeAspect="1"/>
                    </pic:cNvPicPr>
                  </pic:nvPicPr>
                  <pic:blipFill>
                    <a:blip r:embed="rId79"/>
                    <a:stretch>
                      <a:fillRect/>
                    </a:stretch>
                  </pic:blipFill>
                  <pic:spPr bwMode="auto">
                    <a:xfrm>
                      <a:off x="0" y="0"/>
                      <a:ext cx="5334000" cy="1389062"/>
                    </a:xfrm>
                    <a:prstGeom prst="rect">
                      <a:avLst/>
                    </a:prstGeom>
                    <a:noFill/>
                    <a:ln w="9525">
                      <a:noFill/>
                      <a:headEnd/>
                      <a:tailEnd/>
                    </a:ln>
                  </pic:spPr>
                </pic:pic>
              </a:graphicData>
            </a:graphic>
          </wp:inline>
        </w:drawing>
      </w:r>
    </w:p>
    <w:p>
      <w:pPr>
        <w:pStyle w:val="ImageCaption"/>
      </w:pPr>
      <w:r>
        <w:t xml:space="preserve">WIS2 subscription to GDC reports of WCMP2 validation and quality assessment</w:t>
      </w:r>
    </w:p>
    <w:bookmarkEnd w:id="82"/>
    <w:bookmarkStart w:id="86"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3"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3"/>
    <w:bookmarkStart w:id="85"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84">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85"/>
    <w:bookmarkEnd w:id="86"/>
    <w:bookmarkStart w:id="102"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1" w:name="Xcd14ed162d40e716576cc34615e8a6eb13dc224"/>
    <w:p>
      <w:pPr>
        <w:pStyle w:val="Heading3"/>
      </w:pPr>
      <w:r>
        <w:t xml:space="preserve">WIS 2.0 Node - User requirements specifications</w:t>
      </w:r>
    </w:p>
    <w:bookmarkStart w:id="91" w:name="Xe91cf87d25b98be0b83690164d6c9c93cd8e334"/>
    <w:p>
      <w:pPr>
        <w:pStyle w:val="Heading4"/>
      </w:pPr>
      <w:r>
        <w:t xml:space="preserve">Introduction</w:t>
      </w:r>
    </w:p>
    <w:bookmarkStart w:id="87"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6">
              <w:r>
                <w:rPr>
                  <w:rStyle w:val="Hyperlink"/>
                </w:rPr>
                <w:t xml:space="preserve">https://library.wmo.int/idurl/4/68731</w:t>
              </w:r>
            </w:hyperlink>
          </w:p>
        </w:tc>
      </w:tr>
    </w:tbl>
    <w:bookmarkEnd w:id="87"/>
    <w:bookmarkStart w:id="90"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7">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8">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88">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89">
              <w:r>
                <w:rPr>
                  <w:rStyle w:val="Hyperlink"/>
                </w:rPr>
                <w:t xml:space="preserve">https://wmo-teams.atlassian.net/wiki/spaces/WIS2/pages/301957121/WIS2.0+how+to+define+successful+Transition</w:t>
              </w:r>
            </w:hyperlink>
          </w:p>
        </w:tc>
      </w:tr>
    </w:tbl>
    <w:bookmarkEnd w:id="90"/>
    <w:bookmarkEnd w:id="91"/>
    <w:bookmarkStart w:id="98" w:name="Xc05907125c3cf40fd23d41a88d871af00b86aaf"/>
    <w:p>
      <w:pPr>
        <w:pStyle w:val="Heading4"/>
      </w:pPr>
      <w:r>
        <w:t xml:space="preserve">System overview</w:t>
      </w:r>
    </w:p>
    <w:bookmarkStart w:id="95"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3" name="Picture"/>
            <a:graphic>
              <a:graphicData uri="http://schemas.openxmlformats.org/drawingml/2006/picture">
                <pic:pic>
                  <pic:nvPicPr>
                    <pic:cNvPr descr="images/wis2node-context-diagram.jpg" id="94" name="Picture"/>
                    <pic:cNvPicPr>
                      <a:picLocks noChangeArrowheads="1" noChangeAspect="1"/>
                    </pic:cNvPicPr>
                  </pic:nvPicPr>
                  <pic:blipFill>
                    <a:blip r:embed="rId92"/>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95"/>
    <w:bookmarkStart w:id="96"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96"/>
    <w:bookmarkStart w:id="97"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97"/>
    <w:bookmarkEnd w:id="98"/>
    <w:bookmarkStart w:id="100"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99"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99"/>
    <w:bookmarkEnd w:id="100"/>
    <w:bookmarkEnd w:id="101"/>
    <w:bookmarkEnd w:id="102"/>
    <w:bookmarkEnd w:id="103"/>
    <w:bookmarkStart w:id="113" w:name="Xc4b6438d20a4843744ed7af7618fd94dd0f800b"/>
    <w:p>
      <w:pPr>
        <w:pStyle w:val="Heading1"/>
      </w:pPr>
      <w:r>
        <w:t xml:space="preserve">Recipes for Earth system discipline domain experts</w:t>
      </w:r>
    </w:p>
    <w:bookmarkStart w:id="112"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04">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06"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05">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06"/>
    <w:bookmarkStart w:id="109" w:name="Xbdd8b194128916b8e4e6c521e41ceb6ee17bc29"/>
    <w:p>
      <w:pPr>
        <w:pStyle w:val="Heading3"/>
      </w:pPr>
      <w:r>
        <w:t xml:space="preserve">Additional Earth domain specific topics levels</w:t>
      </w:r>
    </w:p>
    <w:bookmarkStart w:id="107"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07"/>
    <w:bookmarkStart w:id="108"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08"/>
    <w:bookmarkEnd w:id="109"/>
    <w:bookmarkStart w:id="111"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10">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2">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1"/>
    <w:bookmarkEnd w:id="112"/>
    <w:bookmarkEnd w:id="113"/>
    <w:bookmarkStart w:id="114" w:name="X864da556b00c48121feccbe03ba2030f7ae3791"/>
    <w:p>
      <w:pPr>
        <w:pStyle w:val="Heading1"/>
      </w:pPr>
      <w:r>
        <w:t xml:space="preserve">Recipes for Global Service operators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2" Target="media/rId92.jpg" /><Relationship Type="http://schemas.openxmlformats.org/officeDocument/2006/relationships/hyperlink" Id="rId47" Target="http://schemas.wmo.int/wnm" TargetMode="External" /><Relationship Type="http://schemas.openxmlformats.org/officeDocument/2006/relationships/hyperlink" Id="rId10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7"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84" Target="https://json-schema.org/understanding-json-schema/reference/object#properties" TargetMode="External" /><Relationship Type="http://schemas.openxmlformats.org/officeDocument/2006/relationships/hyperlink" Id="rId88"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50" Target="https://swagger.io/specification/#security-scheme-object" TargetMode="External" /><Relationship Type="http://schemas.openxmlformats.org/officeDocument/2006/relationships/hyperlink" Id="rId58" Target="https://wis2-gdc.weather.gc.ca/openapi?f=html" TargetMode="External" /><Relationship Type="http://schemas.openxmlformats.org/officeDocument/2006/relationships/hyperlink" Id="rId59" Target="https://wis2.dwd.de/gdc/openapi?f=html" TargetMode="External" /><Relationship Type="http://schemas.openxmlformats.org/officeDocument/2006/relationships/hyperlink" Id="rId69"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77"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78"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04" Target="https://wmo-im.github.io/wis2-topic-hierarchy/standard/wis2-topic-hierarchy-STABLE.html" TargetMode="External" /><Relationship Type="http://schemas.openxmlformats.org/officeDocument/2006/relationships/hyperlink" Id="rId89" Target="https://wmo-teams.atlassian.net/wiki/spaces/WIS2/pages/301957121/WIS2.0+how+to+define+successful+Transition" TargetMode="External" /><Relationship Type="http://schemas.openxmlformats.org/officeDocument/2006/relationships/hyperlink" Id="rId110"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7" Target="http://schemas.wmo.int/wnm" TargetMode="External" /><Relationship Type="http://schemas.openxmlformats.org/officeDocument/2006/relationships/hyperlink" Id="rId105"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7"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84" Target="https://json-schema.org/understanding-json-schema/reference/object#properties" TargetMode="External" /><Relationship Type="http://schemas.openxmlformats.org/officeDocument/2006/relationships/hyperlink" Id="rId88"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50" Target="https://swagger.io/specification/#security-scheme-object" TargetMode="External" /><Relationship Type="http://schemas.openxmlformats.org/officeDocument/2006/relationships/hyperlink" Id="rId58" Target="https://wis2-gdc.weather.gc.ca/openapi?f=html" TargetMode="External" /><Relationship Type="http://schemas.openxmlformats.org/officeDocument/2006/relationships/hyperlink" Id="rId59" Target="https://wis2.dwd.de/gdc/openapi?f=html" TargetMode="External" /><Relationship Type="http://schemas.openxmlformats.org/officeDocument/2006/relationships/hyperlink" Id="rId69"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77"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78"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04" Target="https://wmo-im.github.io/wis2-topic-hierarchy/standard/wis2-topic-hierarchy-STABLE.html" TargetMode="External" /><Relationship Type="http://schemas.openxmlformats.org/officeDocument/2006/relationships/hyperlink" Id="rId89" Target="https://wmo-teams.atlassian.net/wiki/spaces/WIS2/pages/301957121/WIS2.0+how+to+define+successful+Transition" TargetMode="External" /><Relationship Type="http://schemas.openxmlformats.org/officeDocument/2006/relationships/hyperlink" Id="rId110"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2025-08-05T15:14:27Z</dcterms:created>
  <dcterms:modified xsi:type="dcterms:W3CDTF">2025-08-05T15:14:27Z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2025-08-05</vt:lpwstr>
  </property>
</Properties>
</file>