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2025-01-22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2025-01-22</w:t>
            </w:r>
          </w:p>
        </w:tc>
      </w:tr>
      <w:tr>
        <w:tc>
          <w:tcPr/>
          <w:p>
            <w:pPr>
              <w:jc w:val="left"/>
            </w:pPr>
            <w:r>
              <w:t xml:space="preserve">Version: 2024-03-28</w:t>
            </w:r>
          </w:p>
        </w:tc>
      </w:tr>
      <w:tr>
        <w:tc>
          <w:tcPr/>
          <w:p>
            <w:pPr>
              <w:jc w:val="left"/>
            </w:pPr>
            <w:r>
              <w:t xml:space="preserve">Document location:</w:t>
            </w:r>
            <w:r>
              <w:t xml:space="preserve"> </w:t>
            </w:r>
            <w:hyperlink r:id="rId20">
              <w:r>
                <w:rPr>
                  <w:rStyle w:val="Hyperlink"/>
                </w:rPr>
                <w:t xml:space="preserve">https://community.wmo.int/wis2-global-services-testing</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2025-01-22T12:19:29Z</dcterms:created>
  <dcterms:modified xsi:type="dcterms:W3CDTF">2025-01-22T12:19:29Z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2025-01-22</vt:lpwstr>
  </property>
</Properties>
</file>