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07.png" ContentType="image/png"/>
  <Override PartName="/word/media/rId193.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2026-06-03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14"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78"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57"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Any Global Service operator anticipating an outage that may exceed 4 hours should notify other WIS2 centres (including other Global Services and the WMO Secretariat) in advance to allow them to prepare for the disruption.</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End w:id="157"/>
    <w:bookmarkStart w:id="159" w:name="Xfcc4be4805698cc05bd4c15ebadc91a96d644ff"/>
    <w:p>
      <w:pPr>
        <w:pStyle w:val="Heading3"/>
      </w:pPr>
      <w:r>
        <w:t xml:space="preserve">2.7.3 Global Broker</w:t>
      </w:r>
    </w:p>
    <w:bookmarkStart w:id="158"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8"/>
    <w:bookmarkEnd w:id="159"/>
    <w:bookmarkStart w:id="165"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60"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60"/>
    <w:bookmarkStart w:id="164"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1"/>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62">
        <w:r>
          <w:rPr>
            <w:rStyle w:val="Hyperlink"/>
          </w:rPr>
          <w:t xml:space="preserve">Status Code Definitions</w:t>
        </w:r>
      </w:hyperlink>
      <w:r>
        <w:t xml:space="preserve"> </w:t>
      </w:r>
      <w:r>
        <w:t xml:space="preserve">as defined by the</w:t>
      </w:r>
      <w:r>
        <w:t xml:space="preserve"> </w:t>
      </w:r>
      <w:hyperlink r:id="rId163">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4"/>
    <w:bookmarkEnd w:id="165"/>
    <w:bookmarkStart w:id="175" w:name="Xe83d0dcd18513bbe57a5c411a3835908b8c6b21"/>
    <w:p>
      <w:pPr>
        <w:pStyle w:val="Heading3"/>
      </w:pPr>
      <w:r>
        <w:t xml:space="preserve">2.7.5 Global Discovery Catalogue</w:t>
      </w:r>
    </w:p>
    <w:bookmarkStart w:id="172"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66"/>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68"/>
      </w:r>
      <w:r>
        <w:t xml:space="preserve">, providing the following metrics as defined in the WIS2 Metric Hierarchy</w:t>
      </w:r>
      <w:r>
        <w:t xml:space="preserve"> </w:t>
      </w:r>
      <w:r>
        <w:rPr>
          <w:rStyle w:val="FootnoteReference"/>
        </w:rPr>
        <w:footnoteReference w:id="170"/>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2"/>
    <w:bookmarkStart w:id="174"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73">
        <w:r>
          <w:rPr>
            <w:rStyle w:val="Hyperlink"/>
          </w:rPr>
          <w:t xml:space="preserve">https://github.com/wmo-im/wis2-gdc</w:t>
        </w:r>
      </w:hyperlink>
      <w:r>
        <w:t xml:space="preserve">.</w:t>
      </w:r>
    </w:p>
    <w:bookmarkEnd w:id="174"/>
    <w:bookmarkEnd w:id="175"/>
    <w:bookmarkStart w:id="177" w:name="Xb46408fe4668a540edb8ef1c37fe9a479dce153"/>
    <w:p>
      <w:pPr>
        <w:pStyle w:val="Heading3"/>
      </w:pPr>
      <w:r>
        <w:t xml:space="preserve">2.7.6 Global Monitor</w:t>
      </w:r>
    </w:p>
    <w:bookmarkStart w:id="176"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76"/>
    <w:bookmarkEnd w:id="177"/>
    <w:bookmarkEnd w:id="178"/>
    <w:bookmarkStart w:id="213" w:name="X3cda763227efb85ffcf50601bb9e1b297d470ff"/>
    <w:p>
      <w:pPr>
        <w:pStyle w:val="Heading2"/>
      </w:pPr>
      <w:r>
        <w:t xml:space="preserve">2.8 Operations</w:t>
      </w:r>
    </w:p>
    <w:bookmarkStart w:id="212"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04"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9"/>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0"/>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84"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2" name="Picture"/>
            <a:graphic>
              <a:graphicData uri="http://schemas.openxmlformats.org/drawingml/2006/picture">
                <pic:pic>
                  <pic:nvPicPr>
                    <pic:cNvPr descr="images/wis2-to-swim-temp.png" id="183" name="Picture"/>
                    <pic:cNvPicPr>
                      <a:picLocks noChangeArrowheads="1" noChangeAspect="1"/>
                    </pic:cNvPicPr>
                  </pic:nvPicPr>
                  <pic:blipFill>
                    <a:blip r:embed="rId181"/>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84"/>
    <w:bookmarkStart w:id="186"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85"/>
      </w:r>
      <w:r>
        <w:t xml:space="preserve"> </w:t>
      </w:r>
      <w:r>
        <w:t xml:space="preserve">is to be used for encoding aeronautical meteorological information in SWIM.</w:t>
      </w:r>
    </w:p>
    <w:bookmarkEnd w:id="186"/>
    <w:bookmarkStart w:id="191"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87"/>
      </w:r>
      <w:r>
        <w:rPr>
          <w:rStyle w:val="FootnoteReference"/>
        </w:rPr>
        <w:footnoteReference w:id="188"/>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89"/>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0"/>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1"/>
    <w:bookmarkStart w:id="200"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2"/>
      </w:r>
    </w:p>
    <w:p>
      <w:pPr>
        <w:pStyle w:val="CaptionedFigure"/>
      </w:pPr>
      <w:r>
        <w:drawing>
          <wp:inline>
            <wp:extent cx="5334000" cy="1838335"/>
            <wp:effectExtent b="0" l="0" r="0" t="0"/>
            <wp:docPr descr="Interactions between the gateway component and the WIS2 and SWIM components" title="" id="194" name="Picture"/>
            <a:graphic>
              <a:graphicData uri="http://schemas.openxmlformats.org/drawingml/2006/picture">
                <pic:pic>
                  <pic:nvPicPr>
                    <pic:cNvPr descr="images/wis2-to-swim-interaction-temp.png" id="195" name="Picture"/>
                    <pic:cNvPicPr>
                      <a:picLocks noChangeArrowheads="1" noChangeAspect="1"/>
                    </pic:cNvPicPr>
                  </pic:nvPicPr>
                  <pic:blipFill>
                    <a:blip r:embed="rId193"/>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196"/>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197"/>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8"/>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9"/>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0"/>
    <w:bookmarkStart w:id="203"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1"/>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03"/>
    <w:bookmarkEnd w:id="204"/>
    <w:bookmarkStart w:id="211"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05"/>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0"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8" name="Picture"/>
            <a:graphic>
              <a:graphicData uri="http://schemas.openxmlformats.org/drawingml/2006/picture">
                <pic:pic>
                  <pic:nvPicPr>
                    <pic:cNvPr descr="images/wis2-odis-metadata-discovery-interop.png" id="209" name="Picture"/>
                    <pic:cNvPicPr>
                      <a:picLocks noChangeArrowheads="1" noChangeAspect="1"/>
                    </pic:cNvPicPr>
                  </pic:nvPicPr>
                  <pic:blipFill>
                    <a:blip r:embed="rId207"/>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0"/>
    <w:bookmarkEnd w:id="211"/>
    <w:bookmarkEnd w:id="212"/>
    <w:bookmarkEnd w:id="213"/>
    <w:bookmarkEnd w:id="214"/>
    <w:bookmarkStart w:id="236" w:name="Xa57fcea0326db383435a81290ee1f4280d7ce75"/>
    <w:p>
      <w:pPr>
        <w:pStyle w:val="Heading1"/>
      </w:pPr>
      <w:r>
        <w:t xml:space="preserve">PART III. Additional components</w:t>
      </w:r>
    </w:p>
    <w:bookmarkStart w:id="215" w:name="X91f34318810edfc8930b866bc6c182083d198dc"/>
    <w:p>
      <w:pPr>
        <w:pStyle w:val="Heading2"/>
      </w:pPr>
      <w:r>
        <w:t xml:space="preserve">3.1 Overview</w:t>
      </w:r>
    </w:p>
    <w:p>
      <w:pPr>
        <w:pStyle w:val="FirstParagraph"/>
      </w:pPr>
      <w:r>
        <w:t xml:space="preserve">In addition to the core set of Global Services defined, additional Global Services may exists 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bookmarkEnd w:id="215"/>
    <w:bookmarkStart w:id="225" w:name="X49c9230aa828ae783ce52bef128fc5f1edbf5bb"/>
    <w:p>
      <w:pPr>
        <w:pStyle w:val="Heading2"/>
      </w:pPr>
      <w:r>
        <w:t xml:space="preserve">3.2 Other services</w:t>
      </w:r>
    </w:p>
    <w:bookmarkStart w:id="224"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16" w:name="Xd4a16cd37216de6458e35ff030cd1221d1e6530"/>
    <w:p>
      <w:pPr>
        <w:pStyle w:val="Heading4"/>
      </w:pPr>
      <w:r>
        <w:t xml:space="preserve">3.2.1.1 Component definition</w:t>
      </w:r>
    </w:p>
    <w:p>
      <w:pPr>
        <w:numPr>
          <w:ilvl w:val="0"/>
          <w:numId w:val="1070"/>
        </w:numPr>
      </w:pPr>
      <w:r>
        <w:t xml:space="preserve">WIS2 may include a Global Replay.</w:t>
      </w:r>
    </w:p>
    <w:p>
      <w:pPr>
        <w:numPr>
          <w:ilvl w:val="0"/>
          <w:numId w:val="1070"/>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0"/>
        </w:numPr>
      </w:pPr>
      <w:r>
        <w:t xml:space="preserve">A Global Replay subscribes to all notification messages and monitoring events as published by Global Broker. It stores the notification message and monitoring events.</w:t>
      </w:r>
    </w:p>
    <w:p>
      <w:pPr>
        <w:numPr>
          <w:ilvl w:val="0"/>
          <w:numId w:val="1070"/>
        </w:numPr>
      </w:pPr>
      <w:r>
        <w:t xml:space="preserve">A Global Replay shall store copies of notification messages and monitoring events for a duration compatible with the real-time or near real-time schedule of the data and not less than:</w:t>
      </w:r>
    </w:p>
    <w:p>
      <w:pPr>
        <w:numPr>
          <w:ilvl w:val="1"/>
          <w:numId w:val="1071"/>
        </w:numPr>
      </w:pPr>
      <w:r>
        <w:t xml:space="preserve">1 day for notification messages.</w:t>
      </w:r>
    </w:p>
    <w:p>
      <w:pPr>
        <w:numPr>
          <w:ilvl w:val="1"/>
          <w:numId w:val="1071"/>
        </w:numPr>
      </w:pPr>
      <w:r>
        <w:t xml:space="preserve">7 days for monitoring events.</w:t>
      </w:r>
    </w:p>
    <w:p>
      <w:pPr>
        <w:numPr>
          <w:ilvl w:val="0"/>
          <w:numId w:val="1070"/>
        </w:numPr>
      </w:pPr>
      <w:r>
        <w:t xml:space="preserve">A Global Replay will discard notification messages and monitoring events once the retention period has expired.</w:t>
      </w:r>
    </w:p>
    <w:bookmarkEnd w:id="216"/>
    <w:bookmarkStart w:id="221" w:name="Xd4c8a4d9f9479c53b953750028bfc8e5fc06907"/>
    <w:p>
      <w:pPr>
        <w:pStyle w:val="Heading4"/>
      </w:pPr>
      <w:r>
        <w:t xml:space="preserve">3.2.1.2 Technical considerations</w:t>
      </w:r>
    </w:p>
    <w:p>
      <w:pPr>
        <w:numPr>
          <w:ilvl w:val="0"/>
          <w:numId w:val="1072"/>
        </w:numPr>
      </w:pPr>
      <w:r>
        <w:t xml:space="preserve">The Global Replay provides Global Services and data consumers with a mechanism to search, query and subscribe to notification messages and monitoring events of interest.</w:t>
      </w:r>
    </w:p>
    <w:p>
      <w:pPr>
        <w:numPr>
          <w:ilvl w:val="0"/>
          <w:numId w:val="1072"/>
        </w:numPr>
      </w:pPr>
      <w:r>
        <w:t xml:space="preserve">The Global Replay implements the OGC API – Features – Part 1: Core standard</w:t>
      </w:r>
      <w:r>
        <w:rPr>
          <w:rStyle w:val="FootnoteReference"/>
        </w:rPr>
        <w:footnoteReference w:id="217"/>
      </w:r>
      <w:r>
        <w:t xml:space="preserve">, adhering to the following conformance classes and their dependencies:</w:t>
      </w:r>
    </w:p>
    <w:p>
      <w:pPr>
        <w:numPr>
          <w:ilvl w:val="1"/>
          <w:numId w:val="1073"/>
        </w:numPr>
      </w:pPr>
      <w:r>
        <w:t xml:space="preserve">Core</w:t>
      </w:r>
    </w:p>
    <w:p>
      <w:pPr>
        <w:numPr>
          <w:ilvl w:val="1"/>
          <w:numId w:val="1073"/>
        </w:numPr>
      </w:pPr>
      <w:r>
        <w:t xml:space="preserve">GeoJSON</w:t>
      </w:r>
    </w:p>
    <w:p>
      <w:pPr>
        <w:numPr>
          <w:ilvl w:val="0"/>
          <w:numId w:val="1072"/>
        </w:numPr>
      </w:pPr>
      <w:r>
        <w:t xml:space="preserve">The Global Replay implements the OGC API – Processes - Part 1: Core standard</w:t>
      </w:r>
      <w:r>
        <w:rPr>
          <w:rStyle w:val="FootnoteReference"/>
        </w:rPr>
        <w:footnoteReference w:id="219"/>
      </w:r>
      <w:r>
        <w:t xml:space="preserve">, adhering to the following conformance classes and their dependencies:</w:t>
      </w:r>
    </w:p>
    <w:p>
      <w:pPr>
        <w:numPr>
          <w:ilvl w:val="1"/>
          <w:numId w:val="1074"/>
        </w:numPr>
      </w:pPr>
      <w:r>
        <w:t xml:space="preserve">Core</w:t>
      </w:r>
    </w:p>
    <w:p>
      <w:pPr>
        <w:numPr>
          <w:ilvl w:val="1"/>
          <w:numId w:val="1074"/>
        </w:numPr>
      </w:pPr>
      <w:r>
        <w:t xml:space="preserve">OGC Process Description</w:t>
      </w:r>
    </w:p>
    <w:p>
      <w:pPr>
        <w:numPr>
          <w:ilvl w:val="1"/>
          <w:numId w:val="1074"/>
        </w:numPr>
      </w:pPr>
      <w:r>
        <w:t xml:space="preserve">JSON</w:t>
      </w:r>
    </w:p>
    <w:p>
      <w:pPr>
        <w:numPr>
          <w:ilvl w:val="0"/>
          <w:numId w:val="1072"/>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2"/>
        </w:numPr>
      </w:pPr>
      <w:r>
        <w:t xml:space="preserve">A Global Replay shall use the notification message and monitoring event identifier to deduplicate notifications and events.</w:t>
      </w:r>
    </w:p>
    <w:p>
      <w:pPr>
        <w:numPr>
          <w:ilvl w:val="0"/>
          <w:numId w:val="1072"/>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2"/>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2"/>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75"/>
        </w:numPr>
      </w:pPr>
      <w:r>
        <w:t xml:space="preserve">the API process request accepts the following inputs:</w:t>
      </w:r>
    </w:p>
    <w:p>
      <w:pPr>
        <w:numPr>
          <w:ilvl w:val="2"/>
          <w:numId w:val="1076"/>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76"/>
        </w:numPr>
      </w:pPr>
      <w:r>
        <w:rPr>
          <w:rStyle w:val="VerbatimChar"/>
        </w:rPr>
        <w:t xml:space="preserve">subscriber-id</w:t>
      </w:r>
      <w:r>
        <w:t xml:space="preserve">: a unique identifier (UUID) defined by the user/client. This identifier may be reused.</w:t>
      </w:r>
    </w:p>
    <w:p>
      <w:pPr>
        <w:numPr>
          <w:ilvl w:val="2"/>
          <w:numId w:val="1076"/>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75"/>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77"/>
        </w:numPr>
      </w:pPr>
      <w:r>
        <w:rPr>
          <w:rStyle w:val="VerbatimChar"/>
        </w:rPr>
        <w:t xml:space="preserve">topic</w:t>
      </w:r>
      <w:r>
        <w:t xml:space="preserve"> </w:t>
      </w:r>
      <w:r>
        <w:t xml:space="preserve">is the full topic of the message as previously published to WIS2.</w:t>
      </w:r>
    </w:p>
    <w:p>
      <w:pPr>
        <w:numPr>
          <w:ilvl w:val="1"/>
          <w:numId w:val="1075"/>
        </w:numPr>
      </w:pPr>
      <w:r>
        <w:t xml:space="preserve">the API process will set temporal boundary limits to 15 minutes. When exceeded, it will result in an error message prohibiting the republishing of messages.</w:t>
      </w:r>
    </w:p>
    <w:p>
      <w:pPr>
        <w:numPr>
          <w:ilvl w:val="1"/>
          <w:numId w:val="1075"/>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2"/>
        </w:numPr>
      </w:pPr>
      <w:r>
        <w:t xml:space="preserve">A single Global Replay instance is sufficient for WIS2.</w:t>
      </w:r>
    </w:p>
    <w:p>
      <w:pPr>
        <w:numPr>
          <w:ilvl w:val="0"/>
          <w:numId w:val="1072"/>
        </w:numPr>
      </w:pPr>
      <w:r>
        <w:t xml:space="preserve">Multiple Global Replay instances may be deployed for resilience.</w:t>
      </w:r>
    </w:p>
    <w:p>
      <w:pPr>
        <w:numPr>
          <w:ilvl w:val="0"/>
          <w:numId w:val="1072"/>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2"/>
        </w:numPr>
      </w:pPr>
      <w:r>
        <w:t xml:space="preserve">A Global Replay is populated with notification messages and monitoring events received via a Global Broker instance.</w:t>
      </w:r>
    </w:p>
    <w:p>
      <w:pPr>
        <w:numPr>
          <w:ilvl w:val="0"/>
          <w:numId w:val="1072"/>
        </w:numPr>
      </w:pPr>
      <w:r>
        <w:t xml:space="preserve">A Global Replay is connected to at least two (2) Global Brokers.</w:t>
      </w:r>
    </w:p>
    <w:p>
      <w:pPr>
        <w:numPr>
          <w:ilvl w:val="0"/>
          <w:numId w:val="1072"/>
        </w:numPr>
      </w:pPr>
      <w:r>
        <w:t xml:space="preserve">A Global Replay instance will discard duplicate messages as needed.</w:t>
      </w:r>
    </w:p>
    <w:p>
      <w:pPr>
        <w:numPr>
          <w:ilvl w:val="0"/>
          <w:numId w:val="1072"/>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2"/>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2"/>
        </w:numPr>
      </w:pPr>
      <w:r>
        <w:t xml:space="preserve">A Global Replay will remove notification messages after the required retention period.</w:t>
      </w:r>
    </w:p>
    <w:p>
      <w:pPr>
        <w:numPr>
          <w:ilvl w:val="0"/>
          <w:numId w:val="1072"/>
        </w:numPr>
      </w:pPr>
      <w:r>
        <w:t xml:space="preserve">A Global Replay will remove monitoring events after the required retention period.</w:t>
      </w:r>
    </w:p>
    <w:p>
      <w:pPr>
        <w:numPr>
          <w:ilvl w:val="0"/>
          <w:numId w:val="1072"/>
        </w:numPr>
      </w:pPr>
      <w:r>
        <w:t xml:space="preserve">A Global Replay may choose to implement access control for controlling usage.</w:t>
      </w:r>
    </w:p>
    <w:p>
      <w:pPr>
        <w:numPr>
          <w:ilvl w:val="0"/>
          <w:numId w:val="1072"/>
        </w:numPr>
      </w:pPr>
      <w:r>
        <w:t xml:space="preserve">As a convention Global Replay centre-id will be</w:t>
      </w:r>
      <w:r>
        <w:t xml:space="preserve"> </w:t>
      </w:r>
      <w:r>
        <w:rPr>
          <w:rStyle w:val="VerbatimChar"/>
        </w:rPr>
        <w:t xml:space="preserve">tld-{centre-name}-global-replay</w:t>
      </w:r>
      <w:r>
        <w:t xml:space="preserve">.</w:t>
      </w:r>
    </w:p>
    <w:bookmarkEnd w:id="221"/>
    <w:bookmarkStart w:id="223"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78"/>
        </w:numPr>
      </w:pPr>
      <w:r>
        <w:t xml:space="preserve">notification messages and monitoring event subscription from a Global Broker insrtance</w:t>
      </w:r>
    </w:p>
    <w:p>
      <w:pPr>
        <w:numPr>
          <w:ilvl w:val="0"/>
          <w:numId w:val="1078"/>
        </w:numPr>
      </w:pPr>
      <w:r>
        <w:t xml:space="preserve">notification message and monitoring event ingest and API publication</w:t>
      </w:r>
    </w:p>
    <w:p>
      <w:pPr>
        <w:numPr>
          <w:ilvl w:val="0"/>
          <w:numId w:val="1078"/>
        </w:numPr>
      </w:pPr>
      <w:r>
        <w:t xml:space="preserve">user defined subscription for MQTT message replay from a Global Broker instance</w:t>
      </w:r>
    </w:p>
    <w:p>
      <w:pPr>
        <w:numPr>
          <w:ilvl w:val="0"/>
          <w:numId w:val="1078"/>
        </w:numPr>
      </w:pPr>
      <w:r>
        <w:t xml:space="preserve">OGC API - Features - Part 1: Core compliance</w:t>
      </w:r>
    </w:p>
    <w:p>
      <w:pPr>
        <w:numPr>
          <w:ilvl w:val="0"/>
          <w:numId w:val="1078"/>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22">
        <w:r>
          <w:rPr>
            <w:rStyle w:val="Hyperlink"/>
          </w:rPr>
          <w:t xml:space="preserve">https://github.com/wmo-im/wis2-grep</w:t>
        </w:r>
      </w:hyperlink>
      <w:r>
        <w:t xml:space="preserve">.</w:t>
      </w:r>
    </w:p>
    <w:bookmarkEnd w:id="223"/>
    <w:bookmarkEnd w:id="224"/>
    <w:bookmarkEnd w:id="225"/>
    <w:bookmarkStart w:id="235"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26"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79"/>
        </w:numPr>
      </w:pPr>
      <w:r>
        <w:t xml:space="preserve">the quality and performance of Global Services</w:t>
      </w:r>
    </w:p>
    <w:p>
      <w:pPr>
        <w:numPr>
          <w:ilvl w:val="0"/>
          <w:numId w:val="1079"/>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w:t>
      </w:r>
    </w:p>
    <w:p>
      <w:pPr>
        <w:pStyle w:val="BodyText"/>
      </w:pPr>
      <w:r>
        <w:t xml:space="preserve">Given that Sensors Centres may be used to monitor any function in WIS 2.0, further Sensor Centres may be proposed to meet additional requirements, such as validation of GBON or RBON compliance. Every Sensor Centre must follow the standard mechanism for publishing metrics for presentation in dashboards that can be used to monitor the performance of the WIS 2.0 function being assessed.</w:t>
      </w:r>
    </w:p>
    <w:p>
      <w:pPr>
        <w:pStyle w:val="BodyText"/>
      </w:pPr>
      <w:r>
        <w:t xml:space="preserve">Any Member may request to operate a Sensor Centre via the</w:t>
      </w:r>
      <w:r>
        <w:t xml:space="preserve"> </w:t>
      </w:r>
      <w:r>
        <w:t xml:space="preserve">designation process</w:t>
      </w:r>
      <w:r>
        <w:t xml:space="preserve"> </w:t>
      </w:r>
      <w:r>
        <w:t xml:space="preserve">- either for a new or existing type of Sensor Centre. Requests must specify what type of Sensor Centre will be operated and refer to the specification they will implement.</w:t>
      </w:r>
    </w:p>
    <w:p>
      <w:pPr>
        <w:pStyle w:val="BodyText"/>
      </w:pPr>
      <w:r>
        <w:t xml:space="preserve">The specification of a Sensor Centre must be published in a publicly accessible location, such as a public GitHub repository. Where a Sensor Centre has a role in the objective assessment of Global Service performance, the Sensor Centre specification is subject to approval by INFCOM and will be published in the Guide to WIS, Vol 2, Part III. Where a Sensor Centre has some other official role (e.g., in support of RBON compliance) the responsible body for that function may assert their own governance requirements.</w:t>
      </w:r>
    </w:p>
    <w:p>
      <w:pPr>
        <w:pStyle w:val="BodyText"/>
      </w:pPr>
      <w:r>
        <w:t xml:space="preserve">Where a Sensor Centre provides insight about the performance of WIS 2.0 as a whole, Global Monitors may agree to collect metrics from the Sensor Centre and provide monitoring dashboards. As part of the designation process, a Member may include a request for Global Monitors to harvest metrics, including suggested thresholds for metrics that would trigger a Global Monitor to publish an alert or warning.</w:t>
      </w:r>
    </w:p>
    <w:bookmarkEnd w:id="226"/>
    <w:bookmarkStart w:id="228"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27" w:name="Xde819004b7d16020146110a78ac1089e91175ba"/>
    <w:p>
      <w:pPr>
        <w:pStyle w:val="Heading4"/>
      </w:pPr>
      <w:r>
        <w:t xml:space="preserve">3.3.2.1 Technical considerations</w:t>
      </w:r>
    </w:p>
    <w:p>
      <w:pPr>
        <w:numPr>
          <w:ilvl w:val="0"/>
          <w:numId w:val="1080"/>
        </w:numPr>
      </w:pPr>
      <w:r>
        <w:t xml:space="preserve">The SCGB will connect to all Global Brokers.</w:t>
      </w:r>
    </w:p>
    <w:p>
      <w:pPr>
        <w:numPr>
          <w:ilvl w:val="0"/>
          <w:numId w:val="1080"/>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0"/>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0"/>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27"/>
    <w:bookmarkEnd w:id="228"/>
    <w:bookmarkStart w:id="232"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29">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1"/>
        </w:numPr>
      </w:pPr>
      <w:r>
        <w:t xml:space="preserve">what is the average delay to cache the data made available by WIS2 Node</w:t>
      </w:r>
    </w:p>
    <w:p>
      <w:pPr>
        <w:numPr>
          <w:ilvl w:val="0"/>
          <w:numId w:val="1081"/>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1"/>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31"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30">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2"/>
        </w:numPr>
      </w:pPr>
      <w:r>
        <w:t xml:space="preserve">Subscribe to a given</w:t>
      </w:r>
      <w:r>
        <w:t xml:space="preserve"> </w:t>
      </w:r>
      <w:r>
        <w:rPr>
          <w:rStyle w:val="VerbatimChar"/>
        </w:rPr>
        <w:t xml:space="preserve">origin/a/wis2/…​</w:t>
      </w:r>
      <w:r>
        <w:t xml:space="preserve">, it could be</w:t>
      </w:r>
      <w:r>
        <w:t xml:space="preserve"> </w:t>
      </w:r>
      <w:r>
        <w:rPr>
          <w:rStyle w:val="VerbatimChar"/>
        </w:rPr>
        <w:t xml:space="preserve">#</w:t>
      </w:r>
      <w:r>
        <w:t xml:space="preserve"> </w:t>
      </w:r>
      <w:r>
        <w:t xml:space="preserve">or a particular centre-id on at least one Global Broker</w:t>
      </w:r>
    </w:p>
    <w:p>
      <w:pPr>
        <w:numPr>
          <w:ilvl w:val="0"/>
          <w:numId w:val="1082"/>
        </w:numPr>
      </w:pPr>
      <w:r>
        <w:t xml:space="preserve">Subscribe to a given</w:t>
      </w:r>
      <w:r>
        <w:t xml:space="preserve"> </w:t>
      </w:r>
      <w:r>
        <w:rPr>
          <w:rStyle w:val="VerbatimChar"/>
        </w:rPr>
        <w:t xml:space="preserve">cache/a/wis2/…​</w:t>
      </w:r>
      <w:r>
        <w:t xml:space="preserve">, it could be</w:t>
      </w:r>
      <w:r>
        <w:t xml:space="preserve"> </w:t>
      </w:r>
      <w:r>
        <w:rPr>
          <w:rStyle w:val="VerbatimChar"/>
        </w:rPr>
        <w:t xml:space="preserve">#</w:t>
      </w:r>
      <w:r>
        <w:t xml:space="preserve"> </w:t>
      </w:r>
      <w:r>
        <w:t xml:space="preserve">or a particular centre-id on at least one Global Cache - The subscription must be done on the broker of the Global Cache (unlike normal subscription to be made only on the Global Broker)</w:t>
      </w:r>
    </w:p>
    <w:p>
      <w:pPr>
        <w:pStyle w:val="FirstParagraph"/>
      </w:pPr>
      <w:r>
        <w:t xml:space="preserve">Only on the subscription to the Global Broker:</w:t>
      </w:r>
    </w:p>
    <w:p>
      <w:pPr>
        <w:numPr>
          <w:ilvl w:val="0"/>
          <w:numId w:val="1083"/>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83"/>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83"/>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83"/>
        </w:numPr>
      </w:pPr>
      <w:r>
        <w:t xml:space="preserve">Store the time where the message as been received</w:t>
      </w:r>
    </w:p>
    <w:p>
      <w:pPr>
        <w:numPr>
          <w:ilvl w:val="0"/>
          <w:numId w:val="1083"/>
        </w:numPr>
      </w:pPr>
      <w:r>
        <w:t xml:space="preserve">(optional) Store the full Notification Message - this can be useful to analyse systematic issues</w:t>
      </w:r>
    </w:p>
    <w:p>
      <w:pPr>
        <w:pStyle w:val="FirstParagraph"/>
      </w:pPr>
      <w:r>
        <w:t xml:space="preserve">For each of the subscription to the various Global Caches:</w:t>
      </w:r>
    </w:p>
    <w:p>
      <w:pPr>
        <w:numPr>
          <w:ilvl w:val="0"/>
          <w:numId w:val="1084"/>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0"/>
          <w:numId w:val="1084"/>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0"/>
          <w:numId w:val="1084"/>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84"/>
        </w:numPr>
      </w:pPr>
      <w:r>
        <w:t xml:space="preserve">If no Notification Message for the</w:t>
      </w:r>
      <w:r>
        <w:t xml:space="preserve"> </w:t>
      </w:r>
      <w:r>
        <w:rPr>
          <w:rStyle w:val="VerbatimChar"/>
        </w:rPr>
        <w:t xml:space="preserve">data_id</w:t>
      </w:r>
      <w:r>
        <w:t xml:space="preserve"> </w:t>
      </w:r>
      <w:r>
        <w:t xml:space="preserve">is received after the highest threshold (here 600s),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must be exposed for scraping by the Global Monitor.</w:t>
      </w:r>
    </w:p>
    <w:bookmarkEnd w:id="231"/>
    <w:bookmarkEnd w:id="232"/>
    <w:bookmarkStart w:id="234"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33" w:name="X7cccda3f3c8b7915465fcd4f401ab9bbe8d8d30"/>
    <w:p>
      <w:pPr>
        <w:pStyle w:val="Heading4"/>
      </w:pPr>
      <w:r>
        <w:t xml:space="preserve">3.3.4.1 Technical considerations</w:t>
      </w:r>
    </w:p>
    <w:p>
      <w:pPr>
        <w:numPr>
          <w:ilvl w:val="0"/>
          <w:numId w:val="1085"/>
        </w:numPr>
      </w:pPr>
      <w:r>
        <w:t xml:space="preserve">The SCGDC will connect to a minimum of two Global Brokers.</w:t>
      </w:r>
    </w:p>
    <w:p>
      <w:pPr>
        <w:numPr>
          <w:ilvl w:val="0"/>
          <w:numId w:val="1085"/>
        </w:numPr>
      </w:pPr>
      <w:r>
        <w:t xml:space="preserve">The SCGDC subscribes to the metadata topic for all GDCs, by one of the following methods:</w:t>
      </w:r>
    </w:p>
    <w:p>
      <w:pPr>
        <w:numPr>
          <w:ilvl w:val="1"/>
          <w:numId w:val="108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86"/>
        </w:numPr>
      </w:pPr>
      <w:r>
        <w:t xml:space="preserve">subscribing to each GDC via</w:t>
      </w:r>
      <w:r>
        <w:t xml:space="preserve"> </w:t>
      </w:r>
      <w:r>
        <w:rPr>
          <w:rStyle w:val="VerbatimChar"/>
        </w:rPr>
        <w:t xml:space="preserve">cache/a/wis2/centre-id/metadata</w:t>
      </w:r>
      <w:r>
        <w:t xml:space="preserve">.</w:t>
      </w:r>
    </w:p>
    <w:p>
      <w:pPr>
        <w:numPr>
          <w:ilvl w:val="0"/>
          <w:numId w:val="1085"/>
        </w:numPr>
      </w:pPr>
      <w:r>
        <w:t xml:space="preserve">The SCGDC will use the link provided in the WIS2 Notification Message received to download the zip file published by the GDC.</w:t>
      </w:r>
    </w:p>
    <w:p>
      <w:pPr>
        <w:numPr>
          <w:ilvl w:val="0"/>
          <w:numId w:val="108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85"/>
        </w:numPr>
      </w:pPr>
      <w:r>
        <w:t xml:space="preserve">Once a day, the SCGDC will analyze the content of the latest zip files received across all GDCs</w:t>
      </w:r>
    </w:p>
    <w:p>
      <w:pPr>
        <w:numPr>
          <w:ilvl w:val="1"/>
          <w:numId w:val="1087"/>
        </w:numPr>
      </w:pPr>
      <w:r>
        <w:t xml:space="preserve">Files older than 24 hours will not be analyzed.</w:t>
      </w:r>
    </w:p>
    <w:p>
      <w:pPr>
        <w:numPr>
          <w:ilvl w:val="0"/>
          <w:numId w:val="108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8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85"/>
        </w:numPr>
      </w:pPr>
      <w:r>
        <w:t xml:space="preserve">For each record, the SCGDC will:</w:t>
      </w:r>
    </w:p>
    <w:p>
      <w:pPr>
        <w:numPr>
          <w:ilvl w:val="1"/>
          <w:numId w:val="108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88"/>
        </w:numPr>
      </w:pPr>
      <w:r>
        <w:t xml:space="preserve">validate the record against the latest approved version of WCMP2</w:t>
      </w:r>
    </w:p>
    <w:p>
      <w:pPr>
        <w:numPr>
          <w:ilvl w:val="2"/>
          <w:numId w:val="108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8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8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8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09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8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09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8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33"/>
    <w:bookmarkEnd w:id="234"/>
    <w:bookmarkEnd w:id="235"/>
    <w:bookmarkEnd w:id="236"/>
    <w:bookmarkStart w:id="275" w:name="X04c845455f24d191e445239c565b08607ac9dcf"/>
    <w:p>
      <w:pPr>
        <w:pStyle w:val="Heading1"/>
      </w:pPr>
      <w:r>
        <w:t xml:space="preserve">PART IV. Information management</w:t>
      </w:r>
    </w:p>
    <w:bookmarkStart w:id="274" w:name="X7c62cedf76bc574f64106f5d3e1fa9cbfaf701c"/>
    <w:p>
      <w:pPr>
        <w:pStyle w:val="Heading2"/>
      </w:pPr>
      <w:r>
        <w:t xml:space="preserve">4.1 Introduction</w:t>
      </w:r>
    </w:p>
    <w:bookmarkStart w:id="237"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37"/>
    <w:bookmarkStart w:id="239"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092"/>
        </w:numPr>
      </w:pPr>
      <w:r>
        <w:t xml:space="preserve">Planning, information creation and acquisition. The creation of information using internal and external data sources and the acquisition of information from various sources.</w:t>
      </w:r>
    </w:p>
    <w:p>
      <w:pPr>
        <w:numPr>
          <w:ilvl w:val="0"/>
          <w:numId w:val="1092"/>
        </w:numPr>
      </w:pPr>
      <w:r>
        <w:t xml:space="preserve">Representation and metadata. The use of standards to represent metadata, data and information; this is of primary importance to enable the interoperability and long-term usability of the information.</w:t>
      </w:r>
    </w:p>
    <w:p>
      <w:pPr>
        <w:numPr>
          <w:ilvl w:val="0"/>
          <w:numId w:val="1092"/>
        </w:numPr>
      </w:pPr>
      <w:r>
        <w:t xml:space="preserve">Publication and exchange of information. The creation and publication of discovery metadata in a standardized format, enabling users to discover, access and retrieve the information.</w:t>
      </w:r>
    </w:p>
    <w:p>
      <w:pPr>
        <w:numPr>
          <w:ilvl w:val="0"/>
          <w:numId w:val="1092"/>
        </w:numPr>
      </w:pPr>
      <w:r>
        <w:t xml:space="preserve">Usage and communication. The publication of guidance material on the use of published information, including on the limitations and suitability of the information and any licensing terms.</w:t>
      </w:r>
    </w:p>
    <w:p>
      <w:pPr>
        <w:numPr>
          <w:ilvl w:val="0"/>
          <w:numId w:val="1092"/>
        </w:numPr>
      </w:pPr>
      <w:r>
        <w:t xml:space="preserve">Storage, archival and disposal. The policies and procedures for business continuity and disaster recovery, as well as retention and disposal.</w:t>
      </w:r>
    </w:p>
    <w:bookmarkStart w:id="238"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93"/>
        </w:numPr>
      </w:pPr>
      <w:r>
        <w:t xml:space="preserve">Information producers or creators (those who produce or acquire the information) - they need to ensure the scientific quality of the underpinning information;</w:t>
      </w:r>
    </w:p>
    <w:p>
      <w:pPr>
        <w:numPr>
          <w:ilvl w:val="0"/>
          <w:numId w:val="1093"/>
        </w:numPr>
      </w:pPr>
      <w:r>
        <w:t xml:space="preserve">Information managers (those who manage the information);</w:t>
      </w:r>
    </w:p>
    <w:p>
      <w:pPr>
        <w:numPr>
          <w:ilvl w:val="0"/>
          <w:numId w:val="109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93"/>
        </w:numPr>
      </w:pPr>
      <w:r>
        <w:t xml:space="preserve">Service providers (those who disseminate the information) - they are responsible for ensuring information availability and maintaining capability for easy and secure access to the information;</w:t>
      </w:r>
    </w:p>
    <w:p>
      <w:pPr>
        <w:numPr>
          <w:ilvl w:val="0"/>
          <w:numId w:val="109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38"/>
    <w:bookmarkEnd w:id="239"/>
    <w:bookmarkStart w:id="251"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40" w:name="Xcf33f9e33f107799c2797793b69e9f195f4c52b"/>
    <w:p>
      <w:pPr>
        <w:pStyle w:val="Heading4"/>
      </w:pPr>
      <w:r>
        <w:t xml:space="preserve">4.2.1 Principle 1: Information is a valued asset</w:t>
      </w:r>
    </w:p>
    <w:p>
      <w:pPr>
        <w:numPr>
          <w:ilvl w:val="0"/>
          <w:numId w:val="109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9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40"/>
    <w:bookmarkStart w:id="241" w:name="Xb4288ce29349341bf806bd64cd51ad35f96f74e"/>
    <w:p>
      <w:pPr>
        <w:pStyle w:val="Heading4"/>
      </w:pPr>
      <w:r>
        <w:t xml:space="preserve">4.2.2 Principle 2: Information must be managed</w:t>
      </w:r>
    </w:p>
    <w:p>
      <w:pPr>
        <w:numPr>
          <w:ilvl w:val="0"/>
          <w:numId w:val="109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9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9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41"/>
    <w:bookmarkStart w:id="243" w:name="Xd59896b8f316477a8321e381ae23e51272b3a9d"/>
    <w:p>
      <w:pPr>
        <w:pStyle w:val="Heading4"/>
      </w:pPr>
      <w:r>
        <w:t xml:space="preserve">4.2.3 Principle 3: Information must be fit for purpose</w:t>
      </w:r>
    </w:p>
    <w:p>
      <w:pPr>
        <w:numPr>
          <w:ilvl w:val="0"/>
          <w:numId w:val="1096"/>
        </w:numPr>
      </w:pPr>
      <w:r>
        <w:t xml:space="preserve">Information should be developed and managed in accordance with its function and use for internal and external users.</w:t>
      </w:r>
    </w:p>
    <w:p>
      <w:pPr>
        <w:numPr>
          <w:ilvl w:val="0"/>
          <w:numId w:val="1096"/>
        </w:numPr>
      </w:pPr>
      <w:r>
        <w:t xml:space="preserve">WMO centres should regularly assess information to ensure that it is fit for its purpose and that the related processes, procedures and documentation are adequate.</w:t>
      </w:r>
    </w:p>
    <w:p>
      <w:pPr>
        <w:numPr>
          <w:ilvl w:val="0"/>
          <w:numId w:val="1096"/>
        </w:numPr>
      </w:pPr>
      <w:r>
        <w:t xml:space="preserve">Processes should be consistent with the general provisions and principles of quality management as described in the WMO</w:t>
      </w:r>
      <w:r>
        <w:t xml:space="preserve"> </w:t>
      </w:r>
      <w:hyperlink r:id="rId242">
        <w:r>
          <w:rPr>
            <w:rStyle w:val="Hyperlink"/>
            <w:iCs/>
            <w:i/>
          </w:rPr>
          <w:t xml:space="preserve">Technical Regulations</w:t>
        </w:r>
      </w:hyperlink>
      <w:r>
        <w:t xml:space="preserve"> </w:t>
      </w:r>
      <w:r>
        <w:t xml:space="preserve">(WMO-No. 49).</w:t>
      </w:r>
    </w:p>
    <w:bookmarkEnd w:id="243"/>
    <w:bookmarkStart w:id="244" w:name="X88c8fe8230b5e5ccb947a91df6be1e7ba7b1e0b"/>
    <w:p>
      <w:pPr>
        <w:pStyle w:val="Heading4"/>
      </w:pPr>
      <w:r>
        <w:t xml:space="preserve">4.2.4 Principle 4: Information must be standardized and interoperable</w:t>
      </w:r>
    </w:p>
    <w:p>
      <w:pPr>
        <w:numPr>
          <w:ilvl w:val="0"/>
          <w:numId w:val="109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97"/>
        </w:numPr>
      </w:pPr>
      <w:r>
        <w:t xml:space="preserve">Standardization is essential for structured information such as dataset definitions and metadata to support interoperability.</w:t>
      </w:r>
    </w:p>
    <w:p>
      <w:pPr>
        <w:numPr>
          <w:ilvl w:val="0"/>
          <w:numId w:val="109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9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97"/>
        </w:numPr>
      </w:pPr>
      <w:r>
        <w:t xml:space="preserve">The use of closed and proprietary standards is strongly discouraged.</w:t>
      </w:r>
    </w:p>
    <w:bookmarkEnd w:id="244"/>
    <w:bookmarkStart w:id="245" w:name="X650cedf7ce84f32ea21ec80b898040f4b2f02fd"/>
    <w:p>
      <w:pPr>
        <w:pStyle w:val="Heading4"/>
      </w:pPr>
      <w:r>
        <w:t xml:space="preserve">4.2.5 Principle 5: Information must be well documented</w:t>
      </w:r>
    </w:p>
    <w:p>
      <w:pPr>
        <w:numPr>
          <w:ilvl w:val="0"/>
          <w:numId w:val="1098"/>
        </w:numPr>
      </w:pPr>
      <w:r>
        <w:t xml:space="preserve">WMO centres should comprehensively document information processes, policies, and procedures to facilitate broad and long-term use.</w:t>
      </w:r>
    </w:p>
    <w:p>
      <w:pPr>
        <w:numPr>
          <w:ilvl w:val="0"/>
          <w:numId w:val="1098"/>
        </w:numPr>
      </w:pPr>
      <w:r>
        <w:t xml:space="preserve">WMO centres should keep documentation up to date to ensure full traceability of processes along the information life cycle, particularly for its creation.</w:t>
      </w:r>
    </w:p>
    <w:p>
      <w:pPr>
        <w:numPr>
          <w:ilvl w:val="0"/>
          <w:numId w:val="109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45"/>
    <w:bookmarkStart w:id="246" w:name="X5e85ae7d00bcd35bce4a64c0572cb24fee6bbf9"/>
    <w:p>
      <w:pPr>
        <w:pStyle w:val="Heading4"/>
      </w:pPr>
      <w:r>
        <w:t xml:space="preserve">4.2.6 Principle 6: Information must be discoverable, accessible and retrievable</w:t>
      </w:r>
    </w:p>
    <w:p>
      <w:pPr>
        <w:numPr>
          <w:ilvl w:val="0"/>
          <w:numId w:val="109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99"/>
        </w:numPr>
      </w:pPr>
      <w:r>
        <w:t xml:space="preserve">For information to be easily retrievable once discovered, it should be accessible using standard data exchange protocols.</w:t>
      </w:r>
    </w:p>
    <w:bookmarkEnd w:id="246"/>
    <w:bookmarkStart w:id="249" w:name="Xcc549eaa6d6dc98ca978f8c3f8040892922057f"/>
    <w:p>
      <w:pPr>
        <w:pStyle w:val="Heading4"/>
      </w:pPr>
      <w:r>
        <w:t xml:space="preserve">4.2.7 Principle 7: Information should be reusable</w:t>
      </w:r>
    </w:p>
    <w:p>
      <w:pPr>
        <w:numPr>
          <w:ilvl w:val="0"/>
          <w:numId w:val="1100"/>
        </w:numPr>
      </w:pPr>
      <w:r>
        <w:t xml:space="preserve">In order to maximize the economic benefits of an information asset, it should be made as widely available and as accessible as possible.</w:t>
      </w:r>
    </w:p>
    <w:p>
      <w:pPr>
        <w:numPr>
          <w:ilvl w:val="0"/>
          <w:numId w:val="110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00"/>
        </w:numPr>
      </w:pPr>
      <w:r>
        <w:t xml:space="preserve">The publisher should provide an explicit and well-defined licence for each information item or dataset as part of the associated metadata.</w:t>
      </w:r>
    </w:p>
    <w:p>
      <w:pPr>
        <w:numPr>
          <w:ilvl w:val="0"/>
          <w:numId w:val="110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47"/>
      </w:r>
    </w:p>
    <w:bookmarkEnd w:id="249"/>
    <w:bookmarkStart w:id="250" w:name="Xc26fb27d9b9f189ddfb4d09b54bb3bef350c931"/>
    <w:p>
      <w:pPr>
        <w:pStyle w:val="Heading4"/>
      </w:pPr>
      <w:r>
        <w:t xml:space="preserve">4.2.8 Principle 8: Information management is subject to accountability and governance</w:t>
      </w:r>
    </w:p>
    <w:p>
      <w:pPr>
        <w:numPr>
          <w:ilvl w:val="0"/>
          <w:numId w:val="110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02"/>
        </w:numPr>
      </w:pPr>
      <w:r>
        <w:t xml:space="preserve">The implementation of general information management practices, procedures and protocols, including well-defined roles, responsibilities and restrictions on managing the information;</w:t>
      </w:r>
    </w:p>
    <w:p>
      <w:pPr>
        <w:numPr>
          <w:ilvl w:val="1"/>
          <w:numId w:val="1102"/>
        </w:numPr>
      </w:pPr>
      <w:r>
        <w:t xml:space="preserve">The definition and enforcement of an appropriate retention policy, taking into account stakeholder needs and variations in value over the information life cycle;</w:t>
      </w:r>
    </w:p>
    <w:p>
      <w:pPr>
        <w:numPr>
          <w:ilvl w:val="1"/>
          <w:numId w:val="1102"/>
        </w:numPr>
      </w:pPr>
      <w:r>
        <w:t xml:space="preserve">The establishment of licensing and the definition and enforcement of any access restrictions.</w:t>
      </w:r>
    </w:p>
    <w:p>
      <w:pPr>
        <w:numPr>
          <w:ilvl w:val="1"/>
          <w:numId w:val="1102"/>
        </w:numPr>
      </w:pPr>
      <w:r>
        <w:t xml:space="preserve">The designated owner should have budget and decision-making authority with respect to preservation and data usage, including the authority to pass ownership to another entity.</w:t>
      </w:r>
    </w:p>
    <w:bookmarkEnd w:id="250"/>
    <w:bookmarkEnd w:id="251"/>
    <w:bookmarkStart w:id="268" w:name="X4929199aec71e050b1d94930339cb902a348db4"/>
    <w:p>
      <w:pPr>
        <w:pStyle w:val="Heading3"/>
      </w:pPr>
      <w:r>
        <w:t xml:space="preserve">4.3 The information management life cycle</w:t>
      </w:r>
    </w:p>
    <w:bookmarkStart w:id="252"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03"/>
        </w:numPr>
      </w:pPr>
      <w:r>
        <w:t xml:space="preserve">Planning, creation and acquisition;</w:t>
      </w:r>
    </w:p>
    <w:p>
      <w:pPr>
        <w:numPr>
          <w:ilvl w:val="0"/>
          <w:numId w:val="1103"/>
        </w:numPr>
      </w:pPr>
      <w:r>
        <w:t xml:space="preserve">Representation and metadata;</w:t>
      </w:r>
    </w:p>
    <w:p>
      <w:pPr>
        <w:numPr>
          <w:ilvl w:val="0"/>
          <w:numId w:val="1103"/>
        </w:numPr>
      </w:pPr>
      <w:r>
        <w:t xml:space="preserve">Publication and exchange;</w:t>
      </w:r>
    </w:p>
    <w:p>
      <w:pPr>
        <w:numPr>
          <w:ilvl w:val="0"/>
          <w:numId w:val="1103"/>
        </w:numPr>
      </w:pPr>
      <w:r>
        <w:t xml:space="preserve">Usage and communication;</w:t>
      </w:r>
    </w:p>
    <w:p>
      <w:pPr>
        <w:numPr>
          <w:ilvl w:val="0"/>
          <w:numId w:val="110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52"/>
    <w:bookmarkStart w:id="255" w:name="X0db61513d36abdcc7d5bfd6f287c776c8343970"/>
    <w:p>
      <w:pPr>
        <w:pStyle w:val="Heading4"/>
      </w:pPr>
      <w:r>
        <w:t xml:space="preserve">4.3.2 Overarching requirements</w:t>
      </w:r>
    </w:p>
    <w:bookmarkStart w:id="253" w:name="X824b8f9db66ff22648090c3e6e5d189d579254d"/>
    <w:p>
      <w:pPr>
        <w:pStyle w:val="Heading5"/>
      </w:pPr>
      <w:r>
        <w:t xml:space="preserve">4.3.2.1 Governance</w:t>
      </w:r>
    </w:p>
    <w:p>
      <w:pPr>
        <w:numPr>
          <w:ilvl w:val="0"/>
          <w:numId w:val="110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0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04"/>
        </w:numPr>
      </w:pPr>
      <w:r>
        <w:t xml:space="preserve">WMO centres should establish a board or leadership group to develop and regularly review such a governance structure and ensure compliance with its requirements.</w:t>
      </w:r>
    </w:p>
    <w:bookmarkEnd w:id="253"/>
    <w:bookmarkStart w:id="254" w:name="Xa83a9547ee24c5b5059542879186427de25e4f8"/>
    <w:p>
      <w:pPr>
        <w:pStyle w:val="Heading5"/>
      </w:pPr>
      <w:r>
        <w:t xml:space="preserve">4.3.2.2 Documentation</w:t>
      </w:r>
    </w:p>
    <w:p>
      <w:pPr>
        <w:numPr>
          <w:ilvl w:val="0"/>
          <w:numId w:val="110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0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54"/>
    <w:bookmarkEnd w:id="255"/>
    <w:bookmarkStart w:id="267" w:name="X5d9956e6f7cee22294b4d51e9b21afad03cd809"/>
    <w:p>
      <w:pPr>
        <w:pStyle w:val="Heading4"/>
      </w:pPr>
      <w:r>
        <w:t xml:space="preserve">4.3.3 Aspects of the information management life cycle</w:t>
      </w:r>
    </w:p>
    <w:bookmarkStart w:id="256"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06"/>
        </w:numPr>
      </w:pPr>
      <w:r>
        <w:t xml:space="preserve">Why the information is required;</w:t>
      </w:r>
    </w:p>
    <w:p>
      <w:pPr>
        <w:numPr>
          <w:ilvl w:val="0"/>
          <w:numId w:val="1106"/>
        </w:numPr>
      </w:pPr>
      <w:r>
        <w:t xml:space="preserve">How it will be collected or created;</w:t>
      </w:r>
    </w:p>
    <w:p>
      <w:pPr>
        <w:numPr>
          <w:ilvl w:val="0"/>
          <w:numId w:val="1106"/>
        </w:numPr>
      </w:pPr>
      <w:r>
        <w:t xml:space="preserve">How it will be stored;</w:t>
      </w:r>
    </w:p>
    <w:p>
      <w:pPr>
        <w:numPr>
          <w:ilvl w:val="0"/>
          <w:numId w:val="1106"/>
        </w:numPr>
      </w:pPr>
      <w:r>
        <w:t xml:space="preserve">Whether it will be exchanged with other users and under what policy;</w:t>
      </w:r>
    </w:p>
    <w:p>
      <w:pPr>
        <w:numPr>
          <w:ilvl w:val="0"/>
          <w:numId w:val="1106"/>
        </w:numPr>
      </w:pPr>
      <w:r>
        <w:t xml:space="preserve">Where it should be submitted for long-term archival;</w:t>
      </w:r>
    </w:p>
    <w:p>
      <w:pPr>
        <w:numPr>
          <w:ilvl w:val="0"/>
          <w:numId w:val="110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56"/>
    <w:bookmarkStart w:id="258"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57">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58"/>
    <w:bookmarkStart w:id="260"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59">
        <w:r>
          <w:rPr>
            <w:rStyle w:val="Hyperlink"/>
            <w:iCs/>
            <w:i/>
          </w:rPr>
          <w:t xml:space="preserve">https://community.wmo.int/news/operational-newsletter</w:t>
        </w:r>
      </w:hyperlink>
      <w:r>
        <w:t xml:space="preserve">.</w:t>
      </w:r>
    </w:p>
    <w:bookmarkEnd w:id="260"/>
    <w:bookmarkStart w:id="264"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0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0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61">
        <w:r>
          <w:rPr>
            <w:rStyle w:val="Hyperlink"/>
            <w:iCs/>
            <w:i/>
          </w:rPr>
          <w:t xml:space="preserve">Manual on the WMO Integrated Global Observing System</w:t>
        </w:r>
      </w:hyperlink>
      <w:r>
        <w:t xml:space="preserve"> </w:t>
      </w:r>
      <w:r>
        <w:t xml:space="preserve">(WMO-No. 1160) and the</w:t>
      </w:r>
      <w:r>
        <w:t xml:space="preserve"> </w:t>
      </w:r>
      <w:hyperlink r:id="rId262">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63">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64"/>
    <w:bookmarkStart w:id="266"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65">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66"/>
    <w:bookmarkEnd w:id="267"/>
    <w:bookmarkEnd w:id="268"/>
    <w:bookmarkStart w:id="273" w:name="X35204cf3ee03a678864bfb46ad7b3703fafab2a"/>
    <w:p>
      <w:pPr>
        <w:pStyle w:val="Heading3"/>
      </w:pPr>
      <w:r>
        <w:t xml:space="preserve">4.4 Other considerations</w:t>
      </w:r>
    </w:p>
    <w:bookmarkStart w:id="270"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69">
        <w:r>
          <w:rPr>
            <w:rStyle w:val="Hyperlink"/>
            <w:iCs/>
            <w:i/>
          </w:rPr>
          <w:t xml:space="preserve">WMO Guidelines on Emerging Data Issues</w:t>
        </w:r>
      </w:hyperlink>
      <w:r>
        <w:t xml:space="preserve"> </w:t>
      </w:r>
      <w:r>
        <w:t xml:space="preserve">(WMO-No. 1239).</w:t>
      </w:r>
    </w:p>
    <w:bookmarkEnd w:id="270"/>
    <w:bookmarkStart w:id="272"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71">
        <w:r>
          <w:rPr>
            <w:rStyle w:val="Hyperlink"/>
            <w:iCs/>
            <w:i/>
          </w:rPr>
          <w:t xml:space="preserve">Guide to Information Technology Security</w:t>
        </w:r>
      </w:hyperlink>
      <w:r>
        <w:t xml:space="preserve"> </w:t>
      </w:r>
      <w:r>
        <w:t xml:space="preserve">(WMO-No. 1115).</w:t>
      </w:r>
    </w:p>
    <w:bookmarkEnd w:id="272"/>
    <w:bookmarkEnd w:id="273"/>
    <w:bookmarkEnd w:id="274"/>
    <w:bookmarkEnd w:id="275"/>
    <w:bookmarkStart w:id="277"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08"/>
        </w:numPr>
      </w:pPr>
      <w:r>
        <w:rPr>
          <w:iCs/>
          <w:i/>
        </w:rPr>
        <w:t xml:space="preserve">Guide to Information Technology Security</w:t>
      </w:r>
      <w:r>
        <w:t xml:space="preserve"> </w:t>
      </w:r>
      <w:r>
        <w:t xml:space="preserve">(WMO-No. 1115);</w:t>
      </w:r>
    </w:p>
    <w:p>
      <w:pPr>
        <w:numPr>
          <w:ilvl w:val="0"/>
          <w:numId w:val="1108"/>
        </w:numPr>
      </w:pPr>
      <w:hyperlink r:id="rId276">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77"/>
    <w:bookmarkStart w:id="28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78">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79">
              <w:r>
                <w:rPr>
                  <w:rStyle w:val="Hyperlink"/>
                </w:rPr>
                <w:t xml:space="preserve">See GitHub</w:t>
              </w:r>
            </w:hyperlink>
          </w:p>
        </w:tc>
        <w:tc>
          <w:tcPr/>
          <w:p>
            <w:pPr>
              <w:jc w:val="left"/>
            </w:pPr>
            <w:r>
              <w:t xml:space="preserve">Fast-track 2025-2</w:t>
            </w:r>
          </w:p>
        </w:tc>
      </w:tr>
    </w:tbl>
    <w:bookmarkEnd w:id="280"/>
    <w:bookmarkStart w:id="281"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61">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6">
    <w:p>
      <w:pPr>
        <w:pStyle w:val="FootnoteText"/>
      </w:pPr>
      <w:r>
        <w:rPr>
          <w:rStyle w:val="FootnoteReference"/>
        </w:rPr>
        <w:footnoteRef/>
      </w:r>
      <w:r>
        <w:t xml:space="preserve"> </w:t>
      </w:r>
      <w:r>
        <w:t xml:space="preserve">See OGC-API Records - Part 1</w:t>
      </w:r>
      <w:r>
        <w:t xml:space="preserve"> </w:t>
      </w:r>
      <w:hyperlink r:id="rId167">
        <w:r>
          <w:rPr>
            <w:rStyle w:val="Hyperlink"/>
          </w:rPr>
          <w:t xml:space="preserve">https://docs.ogc.org/is/20-004r1/20-004r1.html</w:t>
        </w:r>
      </w:hyperlink>
      <w:r>
        <w:t xml:space="preserve">.</w:t>
      </w:r>
    </w:p>
  </w:footnote>
  <w:footnote w:id="168">
    <w:p>
      <w:pPr>
        <w:pStyle w:val="FootnoteText"/>
      </w:pPr>
      <w:r>
        <w:rPr>
          <w:rStyle w:val="FootnoteReference"/>
        </w:rPr>
        <w:footnoteRef/>
      </w:r>
      <w:r>
        <w:t xml:space="preserve"> </w:t>
      </w:r>
      <w:hyperlink r:id="rId169">
        <w:r>
          <w:rPr>
            <w:rStyle w:val="Hyperlink"/>
          </w:rPr>
          <w:t xml:space="preserve">https://wmo-im.github.io/wcmp2/kpi/wcmp2-kpi-STABLE.html</w:t>
        </w:r>
      </w:hyperlink>
    </w:p>
  </w:footnote>
  <w:footnote w:id="170">
    <w:p>
      <w:pPr>
        <w:pStyle w:val="FootnoteText"/>
      </w:pPr>
      <w:r>
        <w:rPr>
          <w:rStyle w:val="FootnoteReference"/>
        </w:rPr>
        <w:footnoteRef/>
      </w:r>
      <w:r>
        <w:t xml:space="preserve"> </w:t>
      </w:r>
      <w:hyperlink r:id="rId171">
        <w:r>
          <w:rPr>
            <w:rStyle w:val="Hyperlink"/>
          </w:rPr>
          <w:t xml:space="preserve">https://github.com/wmo-im/wis2-metric-hierarchy/blob/main/metrics/gdc.csv</w:t>
        </w:r>
      </w:hyperlink>
    </w:p>
  </w:footnote>
  <w:footnote w:id="179">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0">
    <w:p>
      <w:pPr>
        <w:pStyle w:val="FootnoteText"/>
      </w:pPr>
      <w:r>
        <w:rPr>
          <w:rStyle w:val="FootnoteReference"/>
        </w:rPr>
        <w:footnoteRef/>
      </w:r>
      <w:r>
        <w:t xml:space="preserve"> </w:t>
      </w:r>
      <w:r>
        <w:t xml:space="preserve">AMQP 1.0 is one of the protocols proposed in the draft PANS-IM.</w:t>
      </w:r>
    </w:p>
  </w:footnote>
  <w:footnote w:id="185">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7">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88">
    <w:p>
      <w:pPr>
        <w:pStyle w:val="FootnoteText"/>
      </w:pPr>
      <w:r>
        <w:rPr>
          <w:rStyle w:val="FootnoteReference"/>
        </w:rPr>
        <w:footnoteRef/>
      </w:r>
      <w:r>
        <w:t xml:space="preserve"> </w:t>
      </w:r>
      <w:r>
        <w:t xml:space="preserve">WIS2 does not provide any guidance on use of Public Key Infrastructure (PKI).</w:t>
      </w:r>
    </w:p>
  </w:footnote>
  <w:footnote w:id="189">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0">
    <w:p>
      <w:pPr>
        <w:pStyle w:val="FootnoteText"/>
      </w:pPr>
      <w:r>
        <w:rPr>
          <w:rStyle w:val="FootnoteReference"/>
        </w:rPr>
        <w:footnoteRef/>
      </w:r>
      <w:r>
        <w:t xml:space="preserve"> </w:t>
      </w:r>
      <w:r>
        <w:t xml:space="preserve">Where the data resource does not exceed 4 Kb, it may be embedded in the notification message.</w:t>
      </w:r>
    </w:p>
  </w:footnote>
  <w:footnote w:id="192">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96">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7">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8">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201">
    <w:p>
      <w:pPr>
        <w:pStyle w:val="FootnoteText"/>
      </w:pPr>
      <w:r>
        <w:rPr>
          <w:rStyle w:val="FootnoteReference"/>
        </w:rPr>
        <w:footnoteRef/>
      </w:r>
      <w:r>
        <w:t xml:space="preserve"> </w:t>
      </w:r>
      <w:r>
        <w:t xml:space="preserve">See AMQP 1.0:</w:t>
      </w:r>
      <w:r>
        <w:t xml:space="preserve"> </w:t>
      </w:r>
      <w:hyperlink r:id="rId202">
        <w:r>
          <w:rPr>
            <w:rStyle w:val="Hyperlink"/>
          </w:rPr>
          <w:t xml:space="preserve">https://www.amqp.org/resources/specifications</w:t>
        </w:r>
      </w:hyperlink>
      <w:r>
        <w:t xml:space="preserve">.</w:t>
      </w:r>
    </w:p>
  </w:footnote>
  <w:footnote w:id="205">
    <w:p>
      <w:pPr>
        <w:pStyle w:val="FootnoteText"/>
      </w:pPr>
      <w:r>
        <w:rPr>
          <w:rStyle w:val="FootnoteReference"/>
        </w:rPr>
        <w:footnoteRef/>
      </w:r>
      <w:r>
        <w:t xml:space="preserve"> </w:t>
      </w:r>
      <w:r>
        <w:t xml:space="preserve">See</w:t>
      </w:r>
      <w:r>
        <w:t xml:space="preserve"> </w:t>
      </w:r>
      <w:hyperlink r:id="rId206">
        <w:r>
          <w:rPr>
            <w:rStyle w:val="Hyperlink"/>
          </w:rPr>
          <w:t xml:space="preserve">https://schema.org</w:t>
        </w:r>
      </w:hyperlink>
      <w:r>
        <w:t xml:space="preserve">.</w:t>
      </w:r>
    </w:p>
  </w:footnote>
  <w:footnote w:id="217">
    <w:p>
      <w:pPr>
        <w:pStyle w:val="FootnoteText"/>
      </w:pPr>
      <w:r>
        <w:rPr>
          <w:rStyle w:val="FootnoteReference"/>
        </w:rPr>
        <w:footnoteRef/>
      </w:r>
      <w:r>
        <w:t xml:space="preserve"> </w:t>
      </w:r>
      <w:hyperlink r:id="rId218">
        <w:r>
          <w:rPr>
            <w:rStyle w:val="Hyperlink"/>
          </w:rPr>
          <w:t xml:space="preserve">https://docs.ogc.org/is/17-069r4/17-069r4.html</w:t>
        </w:r>
      </w:hyperlink>
    </w:p>
  </w:footnote>
  <w:footnote w:id="219">
    <w:p>
      <w:pPr>
        <w:pStyle w:val="FootnoteText"/>
      </w:pPr>
      <w:r>
        <w:rPr>
          <w:rStyle w:val="FootnoteReference"/>
        </w:rPr>
        <w:footnoteRef/>
      </w:r>
      <w:r>
        <w:t xml:space="preserve"> </w:t>
      </w:r>
      <w:hyperlink r:id="rId220">
        <w:r>
          <w:rPr>
            <w:rStyle w:val="Hyperlink"/>
          </w:rPr>
          <w:t xml:space="preserve">https://docs.ogc.org/is/18-062r2/18-062r2.html</w:t>
        </w:r>
      </w:hyperlink>
    </w:p>
  </w:footnote>
  <w:footnote w:id="247">
    <w:p>
      <w:pPr>
        <w:pStyle w:val="FootnoteText"/>
      </w:pPr>
      <w:r>
        <w:rPr>
          <w:rStyle w:val="FootnoteReference"/>
        </w:rPr>
        <w:footnoteRef/>
      </w:r>
      <w:r>
        <w:t xml:space="preserve"> </w:t>
      </w:r>
      <w:hyperlink r:id="rId248">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07" Target="media/rId207.png" /><Relationship Type="http://schemas.openxmlformats.org/officeDocument/2006/relationships/image" Id="rId193" Target="media/rId193.png" /><Relationship Type="http://schemas.openxmlformats.org/officeDocument/2006/relationships/image" Id="rId181" Target="media/rId181.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2026-06-03T12:02:44Z</dcterms:created>
  <dcterms:modified xsi:type="dcterms:W3CDTF">2026-06-03T12:02:44Z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2026-06-03</vt:lpwstr>
  </property>
</Properties>
</file>