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2026-08-21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2026-08-21</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In the event of an incident affecting the operation of Global Service, the operating Member should maintain a record of the start time, the end time, and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Appendix A,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wmo_wis2_gb_messages_invalid_topic_total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wmo_wis2_gb_messages_invalid_format_total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wmo_wis2_gb_messages_invalid_format_total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 The deduplication mechanism mentioned above applies; only one WME per non-cached data instance shall be generated, regardless of the number of received notification messages.</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FirstParagraph"/>
      </w:pPr>
      <w:r>
        <w:t xml:space="preserve">This appendix contains additional information to section 2.7.2.9. The operational criteria specific for each category of designated Global Services are set out below. Criteria for other types of Global Service will be added in subsequent revisions of this Guide.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2026-08-21T11:02:00Z</dcterms:created>
  <dcterms:modified xsi:type="dcterms:W3CDTF">2026-08-21T11:02:00Z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2026-08-21</vt:lpwstr>
  </property>
</Properties>
</file>