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2026-06-17</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6"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2"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1"/>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2"/>
    <w:bookmarkEnd w:id="173"/>
    <w:bookmarkStart w:id="183" w:name="Xe83d0dcd18513bbe57a5c411a3835908b8c6b21"/>
    <w:p>
      <w:pPr>
        <w:pStyle w:val="Heading3"/>
      </w:pPr>
      <w:r>
        <w:t xml:space="preserve">2.7.5 Global Discovery Catalogue</w:t>
      </w:r>
    </w:p>
    <w:bookmarkStart w:id="180"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4"/>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6"/>
      </w:r>
      <w:r>
        <w:t xml:space="preserve">, providing the following metrics as defined in the WIS2 Metric Hierarchy</w:t>
      </w:r>
      <w:r>
        <w:t xml:space="preserve"> </w:t>
      </w:r>
      <w:r>
        <w:rPr>
          <w:rStyle w:val="FootnoteReference"/>
        </w:rPr>
        <w:footnoteReference w:id="178"/>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0"/>
    <w:bookmarkStart w:id="182"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1">
        <w:r>
          <w:rPr>
            <w:rStyle w:val="Hyperlink"/>
          </w:rPr>
          <w:t xml:space="preserve">https://github.com/wmo-im/wis2-gdc</w:t>
        </w:r>
      </w:hyperlink>
      <w:r>
        <w:t xml:space="preserve">.</w:t>
      </w:r>
    </w:p>
    <w:bookmarkEnd w:id="182"/>
    <w:bookmarkEnd w:id="183"/>
    <w:bookmarkStart w:id="185" w:name="Xb46408fe4668a540edb8ef1c37fe9a479dce153"/>
    <w:p>
      <w:pPr>
        <w:pStyle w:val="Heading3"/>
      </w:pPr>
      <w:r>
        <w:t xml:space="preserve">2.7.6 Global Monitor</w:t>
      </w:r>
    </w:p>
    <w:bookmarkStart w:id="184"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4"/>
    <w:bookmarkEnd w:id="185"/>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8"/>
        </w:numPr>
      </w:pPr>
      <w:r>
        <w:t xml:space="preserve">provide value added capabilities and insights into WIS2</w:t>
      </w:r>
    </w:p>
    <w:p>
      <w:pPr>
        <w:numPr>
          <w:ilvl w:val="0"/>
          <w:numId w:val="1068"/>
        </w:numPr>
      </w:pPr>
      <w:r>
        <w:t xml:space="preserve">are not required components of WIS2</w:t>
      </w:r>
    </w:p>
    <w:p>
      <w:pPr>
        <w:numPr>
          <w:ilvl w:val="0"/>
          <w:numId w:val="1068"/>
        </w:numPr>
      </w:pPr>
      <w:r>
        <w:t xml:space="preserve">may be provided with various access control policies depending on their scope</w:t>
      </w:r>
    </w:p>
    <w:p>
      <w:pPr>
        <w:pStyle w:val="FirstParagraph"/>
      </w:pPr>
      <w:r>
        <w:t xml:space="preserve">Sensor Centres:</w:t>
      </w:r>
    </w:p>
    <w:p>
      <w:pPr>
        <w:numPr>
          <w:ilvl w:val="0"/>
          <w:numId w:val="1069"/>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0"/>
        </w:numPr>
      </w:pPr>
      <w:r>
        <w:t xml:space="preserve">Request to host an Additional Component: the "service offer".</w:t>
      </w:r>
    </w:p>
    <w:p>
      <w:pPr>
        <w:numPr>
          <w:ilvl w:val="1"/>
          <w:numId w:val="1071"/>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1"/>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0"/>
        </w:numPr>
      </w:pPr>
      <w:r>
        <w:t xml:space="preserve">Complete the WIS2 Register.</w:t>
      </w:r>
    </w:p>
    <w:p>
      <w:pPr>
        <w:numPr>
          <w:ilvl w:val="1"/>
          <w:numId w:val="1072"/>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0"/>
        </w:numPr>
      </w:pPr>
      <w:r>
        <w:t xml:space="preserve">Provide details of WIS2 components.</w:t>
      </w:r>
    </w:p>
    <w:p>
      <w:pPr>
        <w:numPr>
          <w:ilvl w:val="1"/>
          <w:numId w:val="1073"/>
        </w:numPr>
      </w:pPr>
      <w:r>
        <w:t xml:space="preserve">The Secretariat provides connection details (such as IP addresses or hostnames) for the WIS2 services or components to which Additional Component needs to connect.</w:t>
      </w:r>
    </w:p>
    <w:p>
      <w:pPr>
        <w:numPr>
          <w:ilvl w:val="0"/>
          <w:numId w:val="1070"/>
        </w:numPr>
      </w:pPr>
      <w:r>
        <w:t xml:space="preserve">Additional Component assessment.</w:t>
      </w:r>
    </w:p>
    <w:p>
      <w:pPr>
        <w:numPr>
          <w:ilvl w:val="1"/>
          <w:numId w:val="1074"/>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4"/>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0"/>
        </w:numPr>
      </w:pPr>
      <w:r>
        <w:t xml:space="preserve">Approve the designation of the Additional Component.</w:t>
      </w:r>
    </w:p>
    <w:p>
      <w:pPr>
        <w:numPr>
          <w:ilvl w:val="1"/>
          <w:numId w:val="1075"/>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0"/>
        </w:numPr>
      </w:pPr>
      <w:r>
        <w:t xml:space="preserve">Add new Additional Component to WIS2 (if approved).</w:t>
      </w:r>
    </w:p>
    <w:p>
      <w:pPr>
        <w:numPr>
          <w:ilvl w:val="1"/>
          <w:numId w:val="1076"/>
        </w:numPr>
      </w:pPr>
      <w:r>
        <w:t xml:space="preserve">The Additional Component is added to the list of designated Additional Components maintained and published by the WMO Secretariat.</w:t>
      </w:r>
    </w:p>
    <w:p>
      <w:pPr>
        <w:numPr>
          <w:ilvl w:val="1"/>
          <w:numId w:val="1076"/>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7"/>
        </w:numPr>
      </w:pPr>
      <w:r>
        <w:t xml:space="preserve">WIS2 may include a Global Replay.</w:t>
      </w:r>
    </w:p>
    <w:p>
      <w:pPr>
        <w:numPr>
          <w:ilvl w:val="0"/>
          <w:numId w:val="1077"/>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7"/>
        </w:numPr>
      </w:pPr>
      <w:r>
        <w:t xml:space="preserve">A Global Replay subscribes to all notification messages and monitoring events as published by Global Broker. It stores the notification message and monitoring events.</w:t>
      </w:r>
    </w:p>
    <w:p>
      <w:pPr>
        <w:numPr>
          <w:ilvl w:val="0"/>
          <w:numId w:val="1077"/>
        </w:numPr>
      </w:pPr>
      <w:r>
        <w:t xml:space="preserve">A Global Replay shall store copies of notification messages and monitoring events for a duration compatible with the real-time or near real-time schedule of the data and not less than:</w:t>
      </w:r>
    </w:p>
    <w:p>
      <w:pPr>
        <w:numPr>
          <w:ilvl w:val="1"/>
          <w:numId w:val="1078"/>
        </w:numPr>
      </w:pPr>
      <w:r>
        <w:t xml:space="preserve">1 day for notification messages.</w:t>
      </w:r>
    </w:p>
    <w:p>
      <w:pPr>
        <w:numPr>
          <w:ilvl w:val="1"/>
          <w:numId w:val="1078"/>
        </w:numPr>
      </w:pPr>
      <w:r>
        <w:t xml:space="preserve">7 days for monitoring events.</w:t>
      </w:r>
    </w:p>
    <w:p>
      <w:pPr>
        <w:numPr>
          <w:ilvl w:val="0"/>
          <w:numId w:val="1077"/>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79"/>
        </w:numPr>
      </w:pPr>
      <w:r>
        <w:t xml:space="preserve">The Global Replay provides Global Services and data consumers with a mechanism to search, query and subscribe to notification messages and monitoring events of interest.</w:t>
      </w:r>
    </w:p>
    <w:p>
      <w:pPr>
        <w:numPr>
          <w:ilvl w:val="0"/>
          <w:numId w:val="1079"/>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0"/>
        </w:numPr>
      </w:pPr>
      <w:r>
        <w:t xml:space="preserve">Core</w:t>
      </w:r>
    </w:p>
    <w:p>
      <w:pPr>
        <w:numPr>
          <w:ilvl w:val="1"/>
          <w:numId w:val="1080"/>
        </w:numPr>
      </w:pPr>
      <w:r>
        <w:t xml:space="preserve">GeoJSON</w:t>
      </w:r>
    </w:p>
    <w:p>
      <w:pPr>
        <w:numPr>
          <w:ilvl w:val="0"/>
          <w:numId w:val="1079"/>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1"/>
        </w:numPr>
      </w:pPr>
      <w:r>
        <w:t xml:space="preserve">Core</w:t>
      </w:r>
    </w:p>
    <w:p>
      <w:pPr>
        <w:numPr>
          <w:ilvl w:val="1"/>
          <w:numId w:val="1081"/>
        </w:numPr>
      </w:pPr>
      <w:r>
        <w:t xml:space="preserve">OGC Process Description</w:t>
      </w:r>
    </w:p>
    <w:p>
      <w:pPr>
        <w:numPr>
          <w:ilvl w:val="1"/>
          <w:numId w:val="1081"/>
        </w:numPr>
      </w:pPr>
      <w:r>
        <w:t xml:space="preserve">JSON</w:t>
      </w:r>
    </w:p>
    <w:p>
      <w:pPr>
        <w:numPr>
          <w:ilvl w:val="0"/>
          <w:numId w:val="1079"/>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9"/>
        </w:numPr>
      </w:pPr>
      <w:r>
        <w:t xml:space="preserve">A Global Replay shall use the notification message and monitoring event identifier to deduplicate notifications and events.</w:t>
      </w:r>
    </w:p>
    <w:p>
      <w:pPr>
        <w:numPr>
          <w:ilvl w:val="0"/>
          <w:numId w:val="1079"/>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9"/>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9"/>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2"/>
        </w:numPr>
      </w:pPr>
      <w:r>
        <w:t xml:space="preserve">the API process request accepts the following inputs:</w:t>
      </w:r>
    </w:p>
    <w:p>
      <w:pPr>
        <w:numPr>
          <w:ilvl w:val="2"/>
          <w:numId w:val="1083"/>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3"/>
        </w:numPr>
      </w:pPr>
      <w:r>
        <w:rPr>
          <w:rStyle w:val="VerbatimChar"/>
        </w:rPr>
        <w:t xml:space="preserve">subscriber-id</w:t>
      </w:r>
      <w:r>
        <w:t xml:space="preserve">: a unique identifier (UUID) defined by the user/client. This identifier may be reused.</w:t>
      </w:r>
    </w:p>
    <w:p>
      <w:pPr>
        <w:numPr>
          <w:ilvl w:val="2"/>
          <w:numId w:val="1083"/>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2"/>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4"/>
        </w:numPr>
      </w:pPr>
      <w:r>
        <w:rPr>
          <w:rStyle w:val="VerbatimChar"/>
        </w:rPr>
        <w:t xml:space="preserve">topic</w:t>
      </w:r>
      <w:r>
        <w:t xml:space="preserve"> </w:t>
      </w:r>
      <w:r>
        <w:t xml:space="preserve">is the full topic of the message as previously published to WIS2.</w:t>
      </w:r>
    </w:p>
    <w:p>
      <w:pPr>
        <w:numPr>
          <w:ilvl w:val="1"/>
          <w:numId w:val="1082"/>
        </w:numPr>
      </w:pPr>
      <w:r>
        <w:t xml:space="preserve">the API process will set temporal boundary limits to 15 minutes. When exceeded, it will result in an error message prohibiting the republishing of messages.</w:t>
      </w:r>
    </w:p>
    <w:p>
      <w:pPr>
        <w:numPr>
          <w:ilvl w:val="1"/>
          <w:numId w:val="1082"/>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9"/>
        </w:numPr>
      </w:pPr>
      <w:r>
        <w:t xml:space="preserve">A single Global Replay instance is sufficient for WIS2.</w:t>
      </w:r>
    </w:p>
    <w:p>
      <w:pPr>
        <w:numPr>
          <w:ilvl w:val="0"/>
          <w:numId w:val="1079"/>
        </w:numPr>
      </w:pPr>
      <w:r>
        <w:t xml:space="preserve">Multiple Global Replay instances may be deployed for resilience.</w:t>
      </w:r>
    </w:p>
    <w:p>
      <w:pPr>
        <w:numPr>
          <w:ilvl w:val="0"/>
          <w:numId w:val="1079"/>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9"/>
        </w:numPr>
      </w:pPr>
      <w:r>
        <w:t xml:space="preserve">A Global Replay is populated with notification messages and monitoring events received via a Global Broker instance.</w:t>
      </w:r>
    </w:p>
    <w:p>
      <w:pPr>
        <w:numPr>
          <w:ilvl w:val="0"/>
          <w:numId w:val="1079"/>
        </w:numPr>
      </w:pPr>
      <w:r>
        <w:t xml:space="preserve">A Global Replay is connected to at least two (2) Global Brokers.</w:t>
      </w:r>
    </w:p>
    <w:p>
      <w:pPr>
        <w:numPr>
          <w:ilvl w:val="0"/>
          <w:numId w:val="1079"/>
        </w:numPr>
      </w:pPr>
      <w:r>
        <w:t xml:space="preserve">A Global Replay instance will discard duplicate messages as needed.</w:t>
      </w:r>
    </w:p>
    <w:p>
      <w:pPr>
        <w:numPr>
          <w:ilvl w:val="0"/>
          <w:numId w:val="1079"/>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9"/>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9"/>
        </w:numPr>
      </w:pPr>
      <w:r>
        <w:t xml:space="preserve">A Global Replay will remove notification messages after the required retention period.</w:t>
      </w:r>
    </w:p>
    <w:p>
      <w:pPr>
        <w:numPr>
          <w:ilvl w:val="0"/>
          <w:numId w:val="1079"/>
        </w:numPr>
      </w:pPr>
      <w:r>
        <w:t xml:space="preserve">A Global Replay will remove monitoring events after the required retention period.</w:t>
      </w:r>
    </w:p>
    <w:p>
      <w:pPr>
        <w:numPr>
          <w:ilvl w:val="0"/>
          <w:numId w:val="1079"/>
        </w:numPr>
      </w:pPr>
      <w:r>
        <w:t xml:space="preserve">A Global Replay may choose to implement access control for controlling usage.</w:t>
      </w:r>
    </w:p>
    <w:p>
      <w:pPr>
        <w:numPr>
          <w:ilvl w:val="0"/>
          <w:numId w:val="1079"/>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5"/>
        </w:numPr>
      </w:pPr>
      <w:r>
        <w:t xml:space="preserve">notification messages and monitoring event subscription from a Global Broker insrtance</w:t>
      </w:r>
    </w:p>
    <w:p>
      <w:pPr>
        <w:numPr>
          <w:ilvl w:val="0"/>
          <w:numId w:val="1085"/>
        </w:numPr>
      </w:pPr>
      <w:r>
        <w:t xml:space="preserve">notification message and monitoring event ingest and API publication</w:t>
      </w:r>
    </w:p>
    <w:p>
      <w:pPr>
        <w:numPr>
          <w:ilvl w:val="0"/>
          <w:numId w:val="1085"/>
        </w:numPr>
      </w:pPr>
      <w:r>
        <w:t xml:space="preserve">user defined subscription for MQTT message replay from a Global Broker instance</w:t>
      </w:r>
    </w:p>
    <w:p>
      <w:pPr>
        <w:numPr>
          <w:ilvl w:val="0"/>
          <w:numId w:val="1085"/>
        </w:numPr>
      </w:pPr>
      <w:r>
        <w:t xml:space="preserve">OGC API - Features - Part 1: Core compliance</w:t>
      </w:r>
    </w:p>
    <w:p>
      <w:pPr>
        <w:numPr>
          <w:ilvl w:val="0"/>
          <w:numId w:val="1085"/>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6"/>
        </w:numPr>
      </w:pPr>
      <w:r>
        <w:t xml:space="preserve">the quality and performance of Global Services</w:t>
      </w:r>
    </w:p>
    <w:p>
      <w:pPr>
        <w:numPr>
          <w:ilvl w:val="0"/>
          <w:numId w:val="1086"/>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7"/>
        </w:numPr>
      </w:pPr>
      <w:r>
        <w:t xml:space="preserve">The SCGB will connect to all Global Brokers.</w:t>
      </w:r>
    </w:p>
    <w:p>
      <w:pPr>
        <w:numPr>
          <w:ilvl w:val="0"/>
          <w:numId w:val="1087"/>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7"/>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7"/>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8"/>
        </w:numPr>
      </w:pPr>
      <w:r>
        <w:t xml:space="preserve">what is the average delay to cache the data made available by WIS2 Node</w:t>
      </w:r>
    </w:p>
    <w:p>
      <w:pPr>
        <w:numPr>
          <w:ilvl w:val="0"/>
          <w:numId w:val="1088"/>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8"/>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9"/>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0"/>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0"/>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0"/>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0"/>
        </w:numPr>
      </w:pPr>
      <w:r>
        <w:t xml:space="preserve">Store the time where the message as been received</w:t>
      </w:r>
    </w:p>
    <w:p>
      <w:pPr>
        <w:numPr>
          <w:ilvl w:val="0"/>
          <w:numId w:val="1090"/>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1"/>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2"/>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2"/>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2"/>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1"/>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3"/>
        </w:numPr>
      </w:pPr>
      <w:r>
        <w:t xml:space="preserve">Select randomly every minute a sample of at least 5 data granules successfully cached by all Global Caches</w:t>
      </w:r>
    </w:p>
    <w:p>
      <w:pPr>
        <w:numPr>
          <w:ilvl w:val="0"/>
          <w:numId w:val="1093"/>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3"/>
        </w:numPr>
      </w:pPr>
      <w:r>
        <w:t xml:space="preserve">Attempt a download for that same granule against all Global Caches</w:t>
      </w:r>
    </w:p>
    <w:p>
      <w:pPr>
        <w:numPr>
          <w:ilvl w:val="0"/>
          <w:numId w:val="1093"/>
        </w:numPr>
      </w:pPr>
      <w:r>
        <w:t xml:space="preserve">Increment</w:t>
      </w:r>
      <w:r>
        <w:t xml:space="preserve"> </w:t>
      </w:r>
      <w:r>
        <w:rPr>
          <w:rStyle w:val="VerbatimChar"/>
        </w:rPr>
        <w:t xml:space="preserve">wmo_wis2_scgc_download_successful_total</w:t>
      </w:r>
      <w:r>
        <w:t xml:space="preserve"> </w:t>
      </w:r>
      <w:r>
        <w:t xml:space="preserve">by 1 if the download is succesful</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4"/>
        </w:numPr>
      </w:pPr>
      <w:r>
        <w:t xml:space="preserve">the centre-id</w:t>
      </w:r>
    </w:p>
    <w:p>
      <w:pPr>
        <w:numPr>
          <w:ilvl w:val="0"/>
          <w:numId w:val="1094"/>
        </w:numPr>
      </w:pPr>
      <w:r>
        <w:t xml:space="preserve">the full topic where the WIS2 Notification Message has been originally published</w:t>
      </w:r>
    </w:p>
    <w:p>
      <w:pPr>
        <w:numPr>
          <w:ilvl w:val="0"/>
          <w:numId w:val="1094"/>
        </w:numPr>
      </w:pPr>
      <w:r>
        <w:t xml:space="preserve">the full WIS2 Notification Message as published by the origin centre-id</w:t>
      </w:r>
    </w:p>
    <w:p>
      <w:pPr>
        <w:numPr>
          <w:ilvl w:val="0"/>
          <w:numId w:val="1094"/>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4"/>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5"/>
        </w:numPr>
      </w:pPr>
      <w:r>
        <w:t xml:space="preserve">The SCGDC will connect to a minimum of two Global Brokers.</w:t>
      </w:r>
    </w:p>
    <w:p>
      <w:pPr>
        <w:numPr>
          <w:ilvl w:val="0"/>
          <w:numId w:val="1095"/>
        </w:numPr>
      </w:pPr>
      <w:r>
        <w:t xml:space="preserve">The SCGDC subscribes to the metadata topic for all GDCs, by one of the following methods:</w:t>
      </w:r>
    </w:p>
    <w:p>
      <w:pPr>
        <w:numPr>
          <w:ilvl w:val="1"/>
          <w:numId w:val="109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6"/>
        </w:numPr>
      </w:pPr>
      <w:r>
        <w:t xml:space="preserve">subscribing to each GDC via</w:t>
      </w:r>
      <w:r>
        <w:t xml:space="preserve"> </w:t>
      </w:r>
      <w:r>
        <w:rPr>
          <w:rStyle w:val="VerbatimChar"/>
        </w:rPr>
        <w:t xml:space="preserve">cache/a/wis2/centre-id/metadata</w:t>
      </w:r>
      <w:r>
        <w:t xml:space="preserve">.</w:t>
      </w:r>
    </w:p>
    <w:p>
      <w:pPr>
        <w:numPr>
          <w:ilvl w:val="0"/>
          <w:numId w:val="1095"/>
        </w:numPr>
      </w:pPr>
      <w:r>
        <w:t xml:space="preserve">The SCGDC will use the link provided in the WIS2 Notification Message received to download the zip file published by the GDC.</w:t>
      </w:r>
    </w:p>
    <w:p>
      <w:pPr>
        <w:numPr>
          <w:ilvl w:val="0"/>
          <w:numId w:val="109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5"/>
        </w:numPr>
      </w:pPr>
      <w:r>
        <w:t xml:space="preserve">Once a day, the SCGDC will analyze the content of the latest zip files received across all GDCs</w:t>
      </w:r>
    </w:p>
    <w:p>
      <w:pPr>
        <w:numPr>
          <w:ilvl w:val="1"/>
          <w:numId w:val="1097"/>
        </w:numPr>
      </w:pPr>
      <w:r>
        <w:t xml:space="preserve">Files older than 24 hours will not be analyzed.</w:t>
      </w:r>
    </w:p>
    <w:p>
      <w:pPr>
        <w:numPr>
          <w:ilvl w:val="0"/>
          <w:numId w:val="109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5"/>
        </w:numPr>
      </w:pPr>
      <w:r>
        <w:t xml:space="preserve">For each record, the SCGDC will:</w:t>
      </w:r>
    </w:p>
    <w:p>
      <w:pPr>
        <w:numPr>
          <w:ilvl w:val="1"/>
          <w:numId w:val="109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8"/>
        </w:numPr>
      </w:pPr>
      <w:r>
        <w:t xml:space="preserve">validate the record against the latest approved version of WCMP2</w:t>
      </w:r>
    </w:p>
    <w:p>
      <w:pPr>
        <w:numPr>
          <w:ilvl w:val="2"/>
          <w:numId w:val="109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2"/>
        </w:numPr>
      </w:pPr>
      <w:r>
        <w:t xml:space="preserve">Planning, information creation and acquisition. The creation of information using internal and external data sources and the acquisition of information from various sources.</w:t>
      </w:r>
    </w:p>
    <w:p>
      <w:pPr>
        <w:numPr>
          <w:ilvl w:val="0"/>
          <w:numId w:val="1102"/>
        </w:numPr>
      </w:pPr>
      <w:r>
        <w:t xml:space="preserve">Representation and metadata. The use of standards to represent metadata, data and information; this is of primary importance to enable the interoperability and long-term usability of the information.</w:t>
      </w:r>
    </w:p>
    <w:p>
      <w:pPr>
        <w:numPr>
          <w:ilvl w:val="0"/>
          <w:numId w:val="1102"/>
        </w:numPr>
      </w:pPr>
      <w:r>
        <w:t xml:space="preserve">Publication and exchange of information. The creation and publication of discovery metadata in a standardized format, enabling users to discover, access and retrieve the information.</w:t>
      </w:r>
    </w:p>
    <w:p>
      <w:pPr>
        <w:numPr>
          <w:ilvl w:val="0"/>
          <w:numId w:val="1102"/>
        </w:numPr>
      </w:pPr>
      <w:r>
        <w:t xml:space="preserve">Usage and communication. The publication of guidance material on the use of published information, including on the limitations and suitability of the information and any licensing terms.</w:t>
      </w:r>
    </w:p>
    <w:p>
      <w:pPr>
        <w:numPr>
          <w:ilvl w:val="0"/>
          <w:numId w:val="1102"/>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3"/>
        </w:numPr>
      </w:pPr>
      <w:r>
        <w:t xml:space="preserve">Information producers or creators (those who produce or acquire the information) - they need to ensure the scientific quality of the underpinning information;</w:t>
      </w:r>
    </w:p>
    <w:p>
      <w:pPr>
        <w:numPr>
          <w:ilvl w:val="0"/>
          <w:numId w:val="1103"/>
        </w:numPr>
      </w:pPr>
      <w:r>
        <w:t xml:space="preserve">Information managers (those who manage the information);</w:t>
      </w:r>
    </w:p>
    <w:p>
      <w:pPr>
        <w:numPr>
          <w:ilvl w:val="0"/>
          <w:numId w:val="110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3"/>
        </w:numPr>
      </w:pPr>
      <w:r>
        <w:t xml:space="preserve">Service providers (those who disseminate the information) - they are responsible for ensuring information availability and maintaining capability for easy and secure access to the information;</w:t>
      </w:r>
    </w:p>
    <w:p>
      <w:pPr>
        <w:numPr>
          <w:ilvl w:val="0"/>
          <w:numId w:val="110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6"/>
        </w:numPr>
      </w:pPr>
      <w:r>
        <w:t xml:space="preserve">Information should be developed and managed in accordance with its function and use for internal and external users.</w:t>
      </w:r>
    </w:p>
    <w:p>
      <w:pPr>
        <w:numPr>
          <w:ilvl w:val="0"/>
          <w:numId w:val="1106"/>
        </w:numPr>
      </w:pPr>
      <w:r>
        <w:t xml:space="preserve">WMO centres should regularly assess information to ensure that it is fit for its purpose and that the related processes, procedures and documentation are adequate.</w:t>
      </w:r>
    </w:p>
    <w:p>
      <w:pPr>
        <w:numPr>
          <w:ilvl w:val="0"/>
          <w:numId w:val="1106"/>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7"/>
        </w:numPr>
      </w:pPr>
      <w:r>
        <w:t xml:space="preserve">Standardization is essential for structured information such as dataset definitions and metadata to support interoperability.</w:t>
      </w:r>
    </w:p>
    <w:p>
      <w:pPr>
        <w:numPr>
          <w:ilvl w:val="0"/>
          <w:numId w:val="110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7"/>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8"/>
        </w:numPr>
      </w:pPr>
      <w:r>
        <w:t xml:space="preserve">WMO centres should comprehensively document information processes, policies, and procedures to facilitate broad and long-term use.</w:t>
      </w:r>
    </w:p>
    <w:p>
      <w:pPr>
        <w:numPr>
          <w:ilvl w:val="0"/>
          <w:numId w:val="1108"/>
        </w:numPr>
      </w:pPr>
      <w:r>
        <w:t xml:space="preserve">WMO centres should keep documentation up to date to ensure full traceability of processes along the information life cycle, particularly for its creation.</w:t>
      </w:r>
    </w:p>
    <w:p>
      <w:pPr>
        <w:numPr>
          <w:ilvl w:val="0"/>
          <w:numId w:val="110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0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9"/>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0"/>
        </w:numPr>
      </w:pPr>
      <w:r>
        <w:t xml:space="preserve">In order to maximize the economic benefits of an information asset, it should be made as widely available and as accessible as possible.</w:t>
      </w:r>
    </w:p>
    <w:p>
      <w:pPr>
        <w:numPr>
          <w:ilvl w:val="0"/>
          <w:numId w:val="111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0"/>
        </w:numPr>
      </w:pPr>
      <w:r>
        <w:t xml:space="preserve">The publisher should provide an explicit and well-defined licence for each information item or dataset as part of the associated metadata.</w:t>
      </w:r>
    </w:p>
    <w:p>
      <w:pPr>
        <w:numPr>
          <w:ilvl w:val="0"/>
          <w:numId w:val="111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2"/>
        </w:numPr>
      </w:pPr>
      <w:r>
        <w:t xml:space="preserve">The implementation of general information management practices, procedures and protocols, including well-defined roles, responsibilities and restrictions on managing the information;</w:t>
      </w:r>
    </w:p>
    <w:p>
      <w:pPr>
        <w:numPr>
          <w:ilvl w:val="1"/>
          <w:numId w:val="1112"/>
        </w:numPr>
      </w:pPr>
      <w:r>
        <w:t xml:space="preserve">The definition and enforcement of an appropriate retention policy, taking into account stakeholder needs and variations in value over the information life cycle;</w:t>
      </w:r>
    </w:p>
    <w:p>
      <w:pPr>
        <w:numPr>
          <w:ilvl w:val="1"/>
          <w:numId w:val="1112"/>
        </w:numPr>
      </w:pPr>
      <w:r>
        <w:t xml:space="preserve">The establishment of licensing and the definition and enforcement of any access restrictions.</w:t>
      </w:r>
    </w:p>
    <w:p>
      <w:pPr>
        <w:numPr>
          <w:ilvl w:val="1"/>
          <w:numId w:val="1112"/>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3"/>
        </w:numPr>
      </w:pPr>
      <w:r>
        <w:t xml:space="preserve">Planning, creation and acquisition;</w:t>
      </w:r>
    </w:p>
    <w:p>
      <w:pPr>
        <w:numPr>
          <w:ilvl w:val="0"/>
          <w:numId w:val="1113"/>
        </w:numPr>
      </w:pPr>
      <w:r>
        <w:t xml:space="preserve">Representation and metadata;</w:t>
      </w:r>
    </w:p>
    <w:p>
      <w:pPr>
        <w:numPr>
          <w:ilvl w:val="0"/>
          <w:numId w:val="1113"/>
        </w:numPr>
      </w:pPr>
      <w:r>
        <w:t xml:space="preserve">Publication and exchange;</w:t>
      </w:r>
    </w:p>
    <w:p>
      <w:pPr>
        <w:numPr>
          <w:ilvl w:val="0"/>
          <w:numId w:val="1113"/>
        </w:numPr>
      </w:pPr>
      <w:r>
        <w:t xml:space="preserve">Usage and communication;</w:t>
      </w:r>
    </w:p>
    <w:p>
      <w:pPr>
        <w:numPr>
          <w:ilvl w:val="0"/>
          <w:numId w:val="111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4"/>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6"/>
        </w:numPr>
      </w:pPr>
      <w:r>
        <w:t xml:space="preserve">Why the information is required;</w:t>
      </w:r>
    </w:p>
    <w:p>
      <w:pPr>
        <w:numPr>
          <w:ilvl w:val="0"/>
          <w:numId w:val="1116"/>
        </w:numPr>
      </w:pPr>
      <w:r>
        <w:t xml:space="preserve">How it will be collected or created;</w:t>
      </w:r>
    </w:p>
    <w:p>
      <w:pPr>
        <w:numPr>
          <w:ilvl w:val="0"/>
          <w:numId w:val="1116"/>
        </w:numPr>
      </w:pPr>
      <w:r>
        <w:t xml:space="preserve">How it will be stored;</w:t>
      </w:r>
    </w:p>
    <w:p>
      <w:pPr>
        <w:numPr>
          <w:ilvl w:val="0"/>
          <w:numId w:val="1116"/>
        </w:numPr>
      </w:pPr>
      <w:r>
        <w:t xml:space="preserve">Whether it will be exchanged with other users and under what policy;</w:t>
      </w:r>
    </w:p>
    <w:p>
      <w:pPr>
        <w:numPr>
          <w:ilvl w:val="0"/>
          <w:numId w:val="1116"/>
        </w:numPr>
      </w:pPr>
      <w:r>
        <w:t xml:space="preserve">Where it should be submitted for long-term archival;</w:t>
      </w:r>
    </w:p>
    <w:p>
      <w:pPr>
        <w:numPr>
          <w:ilvl w:val="0"/>
          <w:numId w:val="111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8"/>
        </w:numPr>
      </w:pPr>
      <w:r>
        <w:rPr>
          <w:iCs/>
          <w:i/>
        </w:rPr>
        <w:t xml:space="preserve">Guide to Information Technology Security</w:t>
      </w:r>
      <w:r>
        <w:t xml:space="preserve"> </w:t>
      </w:r>
      <w:r>
        <w:t xml:space="preserve">(WMO-No. 1115);</w:t>
      </w:r>
    </w:p>
    <w:p>
      <w:pPr>
        <w:numPr>
          <w:ilvl w:val="0"/>
          <w:numId w:val="1118"/>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293"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1">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4">
    <w:p>
      <w:pPr>
        <w:pStyle w:val="FootnoteText"/>
      </w:pPr>
      <w:r>
        <w:rPr>
          <w:rStyle w:val="FootnoteReference"/>
        </w:rPr>
        <w:footnoteRef/>
      </w:r>
      <w:r>
        <w:t xml:space="preserve"> </w:t>
      </w:r>
      <w:r>
        <w:t xml:space="preserve">See OGC-API Records - Part 1</w:t>
      </w:r>
      <w:r>
        <w:t xml:space="preserve"> </w:t>
      </w:r>
      <w:hyperlink r:id="rId175">
        <w:r>
          <w:rPr>
            <w:rStyle w:val="Hyperlink"/>
          </w:rPr>
          <w:t xml:space="preserve">https://docs.ogc.org/is/20-004r1/20-004r1.html</w:t>
        </w:r>
      </w:hyperlink>
      <w:r>
        <w:t xml:space="preserve">.</w:t>
      </w:r>
    </w:p>
  </w:footnote>
  <w:footnote w:id="176">
    <w:p>
      <w:pPr>
        <w:pStyle w:val="FootnoteText"/>
      </w:pPr>
      <w:r>
        <w:rPr>
          <w:rStyle w:val="FootnoteReference"/>
        </w:rPr>
        <w:footnoteRef/>
      </w:r>
      <w:r>
        <w:t xml:space="preserve"> </w:t>
      </w:r>
      <w:hyperlink r:id="rId177">
        <w:r>
          <w:rPr>
            <w:rStyle w:val="Hyperlink"/>
          </w:rPr>
          <w:t xml:space="preserve">https://wmo-im.github.io/wcmp2/kpi/wcmp2-kpi-STABLE.html</w:t>
        </w:r>
      </w:hyperlink>
    </w:p>
  </w:footnote>
  <w:footnote w:id="178">
    <w:p>
      <w:pPr>
        <w:pStyle w:val="FootnoteText"/>
      </w:pPr>
      <w:r>
        <w:rPr>
          <w:rStyle w:val="FootnoteReference"/>
        </w:rPr>
        <w:footnoteRef/>
      </w:r>
      <w:r>
        <w:t xml:space="preserve"> </w:t>
      </w:r>
      <w:hyperlink r:id="rId179">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5"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1"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79"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7"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5"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1"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79"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7"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2026-06-17T22:03:07Z</dcterms:created>
  <dcterms:modified xsi:type="dcterms:W3CDTF">2026-06-17T22:03:07Z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