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20.png" ContentType="image/png"/>
  <Override PartName="/word/media/rId206.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2026-06-07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27"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91"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70"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Any Global Service operator anticipating an outage that may exceed 4 hours should notify other WIS2 centres (including other Global Services and the WMO Secretariat) in advance to allow them to prepare for the disruption.</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Start w:id="157" w:name="X5cf8facfca0797dd12b99d36a4bfeece4ec9a3a"/>
    <w:p>
      <w:pPr>
        <w:pStyle w:val="Heading4"/>
      </w:pPr>
      <w:r>
        <w:t xml:space="preserve">2.7.2.4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7"/>
    <w:bookmarkStart w:id="158"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8"/>
    <w:bookmarkStart w:id="159"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59"/>
    <w:bookmarkStart w:id="160"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0"/>
    <w:bookmarkStart w:id="164" w:name="X1f2b8056b1bd6aa22a5e64a361c532f9248adb0"/>
    <w:p>
      <w:pPr>
        <w:pStyle w:val="Heading4"/>
      </w:pPr>
      <w:r>
        <w:t xml:space="preserve">2.7.2.8 Remediation and restoration</w:t>
      </w:r>
    </w:p>
    <w:bookmarkStart w:id="161"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1"/>
    <w:bookmarkStart w:id="162"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2"/>
    <w:bookmarkStart w:id="163"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3"/>
    <w:bookmarkEnd w:id="164"/>
    <w:bookmarkStart w:id="169"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5"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5"/>
    <w:bookmarkStart w:id="166"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6"/>
    <w:bookmarkStart w:id="167" w:name="X18e420a9762b1d226bd0a027383e028da32655a"/>
    <w:p>
      <w:pPr>
        <w:pStyle w:val="Heading5"/>
      </w:pPr>
      <w:r>
        <w:t xml:space="preserve">2.7.2.9.3 Global Discovery Catalogue</w:t>
      </w:r>
    </w:p>
    <w:p>
      <w:pPr>
        <w:pStyle w:val="FirstParagraph"/>
      </w:pPr>
      <w:r>
        <w:t xml:space="preserve">A Global Discovery Catalogue is considered operational when, evaluated continuously over the assessment period: not less than 99 per cent of WCMP2 metadata records published by source catalogues are successfully harvested within the latency target set out in the technical reference document; the search and access interfaces are available to consumers for not less than 99.9 per cent of the time, with response times below the threshold set out in the technical reference document; one hundred per cent of catalogue records conform to the WMO Core Metadata Profile (Appendix F of the Manual); and the operational metrics required under §4.7 of the Manual are published.</w:t>
      </w:r>
    </w:p>
    <w:p>
      <w:pPr>
        <w:pStyle w:val="BodyText"/>
      </w:pPr>
      <w:r>
        <w:t xml:space="preserve">For a Global Discovery Catalogue, the API should support a minimum of 25 requests per second, and the service level shall not be less than 98 per cent of operational time per calendar month.</w:t>
      </w:r>
    </w:p>
    <w:bookmarkEnd w:id="167"/>
    <w:bookmarkStart w:id="168" w:name="X70211b07e938a461f096d40f78cc811a29852d7"/>
    <w:p>
      <w:pPr>
        <w:pStyle w:val="Heading5"/>
      </w:pPr>
      <w:r>
        <w:t xml:space="preserve">2.7.2.9.4 Global Monitor</w:t>
      </w:r>
    </w:p>
    <w:p>
      <w:pPr>
        <w:pStyle w:val="FirstParagraph"/>
      </w:pPr>
      <w:r>
        <w:t xml:space="preserve">A Global Monitor is considered operational when, evaluated continuously over the assessment period: not less than 99 per cent of operational metric streams published by Global Services and Sensor Centres are successfully ingested; the dashboards and statistical summary interfaces are available to consumers for not less than 99 per cent of the time; and not less than 99 per cent of operational issues meeting the alerting criteria set out in the technical reference document trigger an alert within the latency target set out in the same document.</w:t>
      </w:r>
    </w:p>
    <w:p>
      <w:pPr>
        <w:pStyle w:val="BodyText"/>
      </w:pPr>
      <w:r>
        <w:t xml:space="preserve">For a Global Monitor, the service level is not less than 98 per cent of operational time per calendar month.</w:t>
      </w:r>
    </w:p>
    <w:p>
      <w:pPr>
        <w:pStyle w:val="BodyText"/>
      </w:pPr>
      <w:r>
        <w:t xml:space="preserve">The detailed endpoint checks, conformance tests and operational criteria for each category of Global Service are maintained in a technical reference document published by the WMO Secretariat on behalf of SC-IMT as the operational practice evolves.</w:t>
      </w:r>
    </w:p>
    <w:bookmarkEnd w:id="168"/>
    <w:bookmarkEnd w:id="169"/>
    <w:bookmarkEnd w:id="170"/>
    <w:bookmarkStart w:id="172" w:name="Xfcc4be4805698cc05bd4c15ebadc91a96d644ff"/>
    <w:p>
      <w:pPr>
        <w:pStyle w:val="Heading3"/>
      </w:pPr>
      <w:r>
        <w:t xml:space="preserve">2.7.3 Global Broker</w:t>
      </w:r>
    </w:p>
    <w:bookmarkStart w:id="171"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1"/>
    <w:bookmarkEnd w:id="172"/>
    <w:bookmarkStart w:id="178"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73"/>
    <w:bookmarkStart w:id="177"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74"/>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75">
        <w:r>
          <w:rPr>
            <w:rStyle w:val="Hyperlink"/>
          </w:rPr>
          <w:t xml:space="preserve">Status Code Definitions</w:t>
        </w:r>
      </w:hyperlink>
      <w:r>
        <w:t xml:space="preserve"> </w:t>
      </w:r>
      <w:r>
        <w:t xml:space="preserve">as defined by the</w:t>
      </w:r>
      <w:r>
        <w:t xml:space="preserve"> </w:t>
      </w:r>
      <w:hyperlink r:id="rId176">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77"/>
    <w:bookmarkEnd w:id="178"/>
    <w:bookmarkStart w:id="188" w:name="Xe83d0dcd18513bbe57a5c411a3835908b8c6b21"/>
    <w:p>
      <w:pPr>
        <w:pStyle w:val="Heading3"/>
      </w:pPr>
      <w:r>
        <w:t xml:space="preserve">2.7.5 Global Discovery Catalogue</w:t>
      </w:r>
    </w:p>
    <w:bookmarkStart w:id="185"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79"/>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81"/>
      </w:r>
      <w:r>
        <w:t xml:space="preserve">, providing the following metrics as defined in the WIS2 Metric Hierarchy</w:t>
      </w:r>
      <w:r>
        <w:t xml:space="preserve"> </w:t>
      </w:r>
      <w:r>
        <w:rPr>
          <w:rStyle w:val="FootnoteReference"/>
        </w:rPr>
        <w:footnoteReference w:id="183"/>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5"/>
    <w:bookmarkStart w:id="187"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6">
        <w:r>
          <w:rPr>
            <w:rStyle w:val="Hyperlink"/>
          </w:rPr>
          <w:t xml:space="preserve">https://github.com/wmo-im/wis2-gdc</w:t>
        </w:r>
      </w:hyperlink>
      <w:r>
        <w:t xml:space="preserve">.</w:t>
      </w:r>
    </w:p>
    <w:bookmarkEnd w:id="187"/>
    <w:bookmarkEnd w:id="188"/>
    <w:bookmarkStart w:id="190" w:name="Xb46408fe4668a540edb8ef1c37fe9a479dce153"/>
    <w:p>
      <w:pPr>
        <w:pStyle w:val="Heading3"/>
      </w:pPr>
      <w:r>
        <w:t xml:space="preserve">2.7.6 Global Monitor</w:t>
      </w:r>
    </w:p>
    <w:bookmarkStart w:id="189"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89"/>
    <w:bookmarkEnd w:id="190"/>
    <w:bookmarkEnd w:id="191"/>
    <w:bookmarkStart w:id="226" w:name="X3cda763227efb85ffcf50601bb9e1b297d470ff"/>
    <w:p>
      <w:pPr>
        <w:pStyle w:val="Heading2"/>
      </w:pPr>
      <w:r>
        <w:t xml:space="preserve">2.8 Operations</w:t>
      </w:r>
    </w:p>
    <w:bookmarkStart w:id="225"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7"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92"/>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3"/>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7"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5" name="Picture"/>
            <a:graphic>
              <a:graphicData uri="http://schemas.openxmlformats.org/drawingml/2006/picture">
                <pic:pic>
                  <pic:nvPicPr>
                    <pic:cNvPr descr="images/wis2-to-swim-temp.png" id="196" name="Picture"/>
                    <pic:cNvPicPr>
                      <a:picLocks noChangeArrowheads="1" noChangeAspect="1"/>
                    </pic:cNvPicPr>
                  </pic:nvPicPr>
                  <pic:blipFill>
                    <a:blip r:embed="rId194"/>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7"/>
    <w:bookmarkStart w:id="199"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8"/>
      </w:r>
      <w:r>
        <w:t xml:space="preserve"> </w:t>
      </w:r>
      <w:r>
        <w:t xml:space="preserve">is to be used for encoding aeronautical meteorological information in SWIM.</w:t>
      </w:r>
    </w:p>
    <w:bookmarkEnd w:id="199"/>
    <w:bookmarkStart w:id="204"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200"/>
      </w:r>
      <w:r>
        <w:rPr>
          <w:rStyle w:val="FootnoteReference"/>
        </w:rPr>
        <w:footnoteReference w:id="201"/>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202"/>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3"/>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4"/>
    <w:bookmarkStart w:id="213"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5"/>
      </w:r>
    </w:p>
    <w:p>
      <w:pPr>
        <w:pStyle w:val="CaptionedFigure"/>
      </w:pPr>
      <w:r>
        <w:drawing>
          <wp:inline>
            <wp:extent cx="5334000" cy="1838335"/>
            <wp:effectExtent b="0" l="0" r="0" t="0"/>
            <wp:docPr descr="Interactions between the gateway component and the WIS2 and SWIM components" title="" id="207" name="Picture"/>
            <a:graphic>
              <a:graphicData uri="http://schemas.openxmlformats.org/drawingml/2006/picture">
                <pic:pic>
                  <pic:nvPicPr>
                    <pic:cNvPr descr="images/wis2-to-swim-interaction-temp.png" id="208" name="Picture"/>
                    <pic:cNvPicPr>
                      <a:picLocks noChangeArrowheads="1" noChangeAspect="1"/>
                    </pic:cNvPicPr>
                  </pic:nvPicPr>
                  <pic:blipFill>
                    <a:blip r:embed="rId206"/>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9"/>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10"/>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11"/>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12"/>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3"/>
    <w:bookmarkStart w:id="216"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4"/>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6"/>
    <w:bookmarkEnd w:id="217"/>
    <w:bookmarkStart w:id="224"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8"/>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3"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21" name="Picture"/>
            <a:graphic>
              <a:graphicData uri="http://schemas.openxmlformats.org/drawingml/2006/picture">
                <pic:pic>
                  <pic:nvPicPr>
                    <pic:cNvPr descr="images/wis2-odis-metadata-discovery-interop.png" id="222" name="Picture"/>
                    <pic:cNvPicPr>
                      <a:picLocks noChangeArrowheads="1" noChangeAspect="1"/>
                    </pic:cNvPicPr>
                  </pic:nvPicPr>
                  <pic:blipFill>
                    <a:blip r:embed="rId220"/>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3"/>
    <w:bookmarkEnd w:id="224"/>
    <w:bookmarkEnd w:id="225"/>
    <w:bookmarkEnd w:id="226"/>
    <w:bookmarkEnd w:id="227"/>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28"/>
    <w:bookmarkStart w:id="238" w:name="X49c9230aa828ae783ce52bef128fc5f1edbf5bb"/>
    <w:p>
      <w:pPr>
        <w:pStyle w:val="Heading2"/>
      </w:pPr>
      <w:r>
        <w:t xml:space="preserve">3.2 Other services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1 day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w:t>
      </w:r>
    </w:p>
    <w:p>
      <w:pPr>
        <w:pStyle w:val="BodyText"/>
      </w:pPr>
      <w:r>
        <w:t xml:space="preserve">Given that Sensors Centres may be used to monitor any function in WIS 2.0, further Sensor Centres may be proposed to meet additional requirements, such as validation of GBON or RBON compliance. Every Sensor Centre must follow the standard mechanism for publishing metrics for presentation in dashboards that can be used to monitor the performance of the WIS 2.0 function being assessed.</w:t>
      </w:r>
    </w:p>
    <w:p>
      <w:pPr>
        <w:pStyle w:val="BodyText"/>
      </w:pPr>
      <w:r>
        <w:t xml:space="preserve">Any Member may request to operate a Sensor Centre via the</w:t>
      </w:r>
      <w:r>
        <w:t xml:space="preserve"> </w:t>
      </w:r>
      <w:r>
        <w:t xml:space="preserve">designation process</w:t>
      </w:r>
      <w:r>
        <w:t xml:space="preserve"> </w:t>
      </w:r>
      <w:r>
        <w:t xml:space="preserve">- either for a new or existing type of Sensor Centre. Requests must specify what type of Sensor Centre will be operated and refer to the specification they will implement.</w:t>
      </w:r>
    </w:p>
    <w:p>
      <w:pPr>
        <w:pStyle w:val="BodyText"/>
      </w:pPr>
      <w:r>
        <w:t xml:space="preserve">The specification of a Sensor Centre must be published in a publicly accessible location, such as a public GitHub repository. Where a Sensor Centre has a role in the objective assessment of Global Service performance, the Sensor Centre specification is subject to approval by INFCOM and will be published in the Guide to WIS, Vol 2, Part III. Where a Sensor Centre has some other official role (e.g., in support of RBON compliance) the responsible body for that function may assert their own governance requirements.</w:t>
      </w:r>
    </w:p>
    <w:p>
      <w:pPr>
        <w:pStyle w:val="BodyText"/>
      </w:pPr>
      <w:r>
        <w:t xml:space="preserve">Where a Sensor Centre provides insight about the performance of WIS 2.0 as a whole, Global Monitors may agree to collect metrics from the Sensor Centre and provide monitoring dashboards. As part of the designation process, a Member may include a request for Global Monitors to harvest metrics, including suggested thresholds for metrics that would trigger a Global Monitor to publish an alert or warning.</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83"/>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 `properties.global-cache`value to select the Global Cache:</w:t>
      </w:r>
    </w:p>
    <w:p>
      <w:pPr>
        <w:numPr>
          <w:ilvl w:val="0"/>
          <w:numId w:val="1084"/>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85"/>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85"/>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85"/>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86"/>
        </w:numPr>
      </w:pPr>
      <w:r>
        <w:t xml:space="preserve">the centre-id</w:t>
      </w:r>
    </w:p>
    <w:p>
      <w:pPr>
        <w:numPr>
          <w:ilvl w:val="0"/>
          <w:numId w:val="1086"/>
        </w:numPr>
      </w:pPr>
      <w:r>
        <w:t xml:space="preserve">the full topic where the WIS2 Notification Message has been originally published</w:t>
      </w:r>
    </w:p>
    <w:p>
      <w:pPr>
        <w:numPr>
          <w:ilvl w:val="0"/>
          <w:numId w:val="1086"/>
        </w:numPr>
      </w:pPr>
      <w:r>
        <w:t xml:space="preserve">the full WIS2 Notification Message as published by the origin centre-id</w:t>
      </w:r>
    </w:p>
    <w:p>
      <w:pPr>
        <w:numPr>
          <w:ilvl w:val="0"/>
          <w:numId w:val="1086"/>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86"/>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87"/>
        </w:numPr>
      </w:pPr>
      <w:r>
        <w:t xml:space="preserve">The SCGDC will connect to a minimum of two Global Brokers.</w:t>
      </w:r>
    </w:p>
    <w:p>
      <w:pPr>
        <w:numPr>
          <w:ilvl w:val="0"/>
          <w:numId w:val="1087"/>
        </w:numPr>
      </w:pPr>
      <w:r>
        <w:t xml:space="preserve">The SCGDC subscribes to the metadata topic for all GDCs, by one of the following methods:</w:t>
      </w:r>
    </w:p>
    <w:p>
      <w:pPr>
        <w:numPr>
          <w:ilvl w:val="1"/>
          <w:numId w:val="1088"/>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8"/>
        </w:numPr>
      </w:pPr>
      <w:r>
        <w:t xml:space="preserve">subscribing to each GDC via</w:t>
      </w:r>
      <w:r>
        <w:t xml:space="preserve"> </w:t>
      </w:r>
      <w:r>
        <w:rPr>
          <w:rStyle w:val="VerbatimChar"/>
        </w:rPr>
        <w:t xml:space="preserve">cache/a/wis2/centre-id/metadata</w:t>
      </w:r>
      <w:r>
        <w:t xml:space="preserve">.</w:t>
      </w:r>
    </w:p>
    <w:p>
      <w:pPr>
        <w:numPr>
          <w:ilvl w:val="0"/>
          <w:numId w:val="1087"/>
        </w:numPr>
      </w:pPr>
      <w:r>
        <w:t xml:space="preserve">The SCGDC will use the link provided in the WIS2 Notification Message received to download the zip file published by the GDC.</w:t>
      </w:r>
    </w:p>
    <w:p>
      <w:pPr>
        <w:numPr>
          <w:ilvl w:val="0"/>
          <w:numId w:val="1087"/>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7"/>
        </w:numPr>
      </w:pPr>
      <w:r>
        <w:t xml:space="preserve">Once a day, the SCGDC will analyze the content of the latest zip files received across all GDCs</w:t>
      </w:r>
    </w:p>
    <w:p>
      <w:pPr>
        <w:numPr>
          <w:ilvl w:val="1"/>
          <w:numId w:val="1089"/>
        </w:numPr>
      </w:pPr>
      <w:r>
        <w:t xml:space="preserve">Files older than 24 hours will not be analyzed.</w:t>
      </w:r>
    </w:p>
    <w:p>
      <w:pPr>
        <w:numPr>
          <w:ilvl w:val="0"/>
          <w:numId w:val="1087"/>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7"/>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7"/>
        </w:numPr>
      </w:pPr>
      <w:r>
        <w:t xml:space="preserve">For each record, the SCGDC will:</w:t>
      </w:r>
    </w:p>
    <w:p>
      <w:pPr>
        <w:numPr>
          <w:ilvl w:val="1"/>
          <w:numId w:val="1090"/>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0"/>
        </w:numPr>
      </w:pPr>
      <w:r>
        <w:t xml:space="preserve">validate the record against the latest approved version of WCMP2</w:t>
      </w:r>
    </w:p>
    <w:p>
      <w:pPr>
        <w:numPr>
          <w:ilvl w:val="2"/>
          <w:numId w:val="1091"/>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0"/>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0"/>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0"/>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0"/>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3"/>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7"/>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4"/>
        </w:numPr>
      </w:pPr>
      <w:r>
        <w:t xml:space="preserve">Planning, information creation and acquisition. The creation of information using internal and external data sources and the acquisition of information from various sources.</w:t>
      </w:r>
    </w:p>
    <w:p>
      <w:pPr>
        <w:numPr>
          <w:ilvl w:val="0"/>
          <w:numId w:val="1094"/>
        </w:numPr>
      </w:pPr>
      <w:r>
        <w:t xml:space="preserve">Representation and metadata. The use of standards to represent metadata, data and information; this is of primary importance to enable the interoperability and long-term usability of the information.</w:t>
      </w:r>
    </w:p>
    <w:p>
      <w:pPr>
        <w:numPr>
          <w:ilvl w:val="0"/>
          <w:numId w:val="1094"/>
        </w:numPr>
      </w:pPr>
      <w:r>
        <w:t xml:space="preserve">Publication and exchange of information. The creation and publication of discovery metadata in a standardized format, enabling users to discover, access and retrieve the information.</w:t>
      </w:r>
    </w:p>
    <w:p>
      <w:pPr>
        <w:numPr>
          <w:ilvl w:val="0"/>
          <w:numId w:val="1094"/>
        </w:numPr>
      </w:pPr>
      <w:r>
        <w:t xml:space="preserve">Usage and communication. The publication of guidance material on the use of published information, including on the limitations and suitability of the information and any licensing terms.</w:t>
      </w:r>
    </w:p>
    <w:p>
      <w:pPr>
        <w:numPr>
          <w:ilvl w:val="0"/>
          <w:numId w:val="1094"/>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5"/>
        </w:numPr>
      </w:pPr>
      <w:r>
        <w:t xml:space="preserve">Information producers or creators (those who produce or acquire the information) - they need to ensure the scientific quality of the underpinning information;</w:t>
      </w:r>
    </w:p>
    <w:p>
      <w:pPr>
        <w:numPr>
          <w:ilvl w:val="0"/>
          <w:numId w:val="1095"/>
        </w:numPr>
      </w:pPr>
      <w:r>
        <w:t xml:space="preserve">Information managers (those who manage the information);</w:t>
      </w:r>
    </w:p>
    <w:p>
      <w:pPr>
        <w:numPr>
          <w:ilvl w:val="0"/>
          <w:numId w:val="1095"/>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5"/>
        </w:numPr>
      </w:pPr>
      <w:r>
        <w:t xml:space="preserve">Service providers (those who disseminate the information) - they are responsible for ensuring information availability and maintaining capability for easy and secure access to the information;</w:t>
      </w:r>
    </w:p>
    <w:p>
      <w:pPr>
        <w:numPr>
          <w:ilvl w:val="0"/>
          <w:numId w:val="1095"/>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096"/>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6"/>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097"/>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7"/>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7"/>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098"/>
        </w:numPr>
      </w:pPr>
      <w:r>
        <w:t xml:space="preserve">Information should be developed and managed in accordance with its function and use for internal and external users.</w:t>
      </w:r>
    </w:p>
    <w:p>
      <w:pPr>
        <w:numPr>
          <w:ilvl w:val="0"/>
          <w:numId w:val="1098"/>
        </w:numPr>
      </w:pPr>
      <w:r>
        <w:t xml:space="preserve">WMO centres should regularly assess information to ensure that it is fit for its purpose and that the related processes, procedures and documentation are adequate.</w:t>
      </w:r>
    </w:p>
    <w:p>
      <w:pPr>
        <w:numPr>
          <w:ilvl w:val="0"/>
          <w:numId w:val="1098"/>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099"/>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9"/>
        </w:numPr>
      </w:pPr>
      <w:r>
        <w:t xml:space="preserve">Standardization is essential for structured information such as dataset definitions and metadata to support interoperability.</w:t>
      </w:r>
    </w:p>
    <w:p>
      <w:pPr>
        <w:numPr>
          <w:ilvl w:val="0"/>
          <w:numId w:val="1099"/>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9"/>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9"/>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100"/>
        </w:numPr>
      </w:pPr>
      <w:r>
        <w:t xml:space="preserve">WMO centres should comprehensively document information processes, policies, and procedures to facilitate broad and long-term use.</w:t>
      </w:r>
    </w:p>
    <w:p>
      <w:pPr>
        <w:numPr>
          <w:ilvl w:val="0"/>
          <w:numId w:val="1100"/>
        </w:numPr>
      </w:pPr>
      <w:r>
        <w:t xml:space="preserve">WMO centres should keep documentation up to date to ensure full traceability of processes along the information life cycle, particularly for its creation.</w:t>
      </w:r>
    </w:p>
    <w:p>
      <w:pPr>
        <w:numPr>
          <w:ilvl w:val="0"/>
          <w:numId w:val="1100"/>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101"/>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01"/>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02"/>
        </w:numPr>
      </w:pPr>
      <w:r>
        <w:t xml:space="preserve">In order to maximize the economic benefits of an information asset, it should be made as widely available and as accessible as possible.</w:t>
      </w:r>
    </w:p>
    <w:p>
      <w:pPr>
        <w:numPr>
          <w:ilvl w:val="0"/>
          <w:numId w:val="1102"/>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2"/>
        </w:numPr>
      </w:pPr>
      <w:r>
        <w:t xml:space="preserve">The publisher should provide an explicit and well-defined licence for each information item or dataset as part of the associated metadata.</w:t>
      </w:r>
    </w:p>
    <w:p>
      <w:pPr>
        <w:numPr>
          <w:ilvl w:val="0"/>
          <w:numId w:val="1102"/>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03"/>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4"/>
        </w:numPr>
      </w:pPr>
      <w:r>
        <w:t xml:space="preserve">The implementation of general information management practices, procedures and protocols, including well-defined roles, responsibilities and restrictions on managing the information;</w:t>
      </w:r>
    </w:p>
    <w:p>
      <w:pPr>
        <w:numPr>
          <w:ilvl w:val="1"/>
          <w:numId w:val="1104"/>
        </w:numPr>
      </w:pPr>
      <w:r>
        <w:t xml:space="preserve">The definition and enforcement of an appropriate retention policy, taking into account stakeholder needs and variations in value over the information life cycle;</w:t>
      </w:r>
    </w:p>
    <w:p>
      <w:pPr>
        <w:numPr>
          <w:ilvl w:val="1"/>
          <w:numId w:val="1104"/>
        </w:numPr>
      </w:pPr>
      <w:r>
        <w:t xml:space="preserve">The establishment of licensing and the definition and enforcement of any access restrictions.</w:t>
      </w:r>
    </w:p>
    <w:p>
      <w:pPr>
        <w:numPr>
          <w:ilvl w:val="1"/>
          <w:numId w:val="1104"/>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5"/>
        </w:numPr>
      </w:pPr>
      <w:r>
        <w:t xml:space="preserve">Planning, creation and acquisition;</w:t>
      </w:r>
    </w:p>
    <w:p>
      <w:pPr>
        <w:numPr>
          <w:ilvl w:val="0"/>
          <w:numId w:val="1105"/>
        </w:numPr>
      </w:pPr>
      <w:r>
        <w:t xml:space="preserve">Representation and metadata;</w:t>
      </w:r>
    </w:p>
    <w:p>
      <w:pPr>
        <w:numPr>
          <w:ilvl w:val="0"/>
          <w:numId w:val="1105"/>
        </w:numPr>
      </w:pPr>
      <w:r>
        <w:t xml:space="preserve">Publication and exchange;</w:t>
      </w:r>
    </w:p>
    <w:p>
      <w:pPr>
        <w:numPr>
          <w:ilvl w:val="0"/>
          <w:numId w:val="1105"/>
        </w:numPr>
      </w:pPr>
      <w:r>
        <w:t xml:space="preserve">Usage and communication;</w:t>
      </w:r>
    </w:p>
    <w:p>
      <w:pPr>
        <w:numPr>
          <w:ilvl w:val="0"/>
          <w:numId w:val="1105"/>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06"/>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6"/>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6"/>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07"/>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7"/>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8"/>
        </w:numPr>
      </w:pPr>
      <w:r>
        <w:t xml:space="preserve">Why the information is required;</w:t>
      </w:r>
    </w:p>
    <w:p>
      <w:pPr>
        <w:numPr>
          <w:ilvl w:val="0"/>
          <w:numId w:val="1108"/>
        </w:numPr>
      </w:pPr>
      <w:r>
        <w:t xml:space="preserve">How it will be collected or created;</w:t>
      </w:r>
    </w:p>
    <w:p>
      <w:pPr>
        <w:numPr>
          <w:ilvl w:val="0"/>
          <w:numId w:val="1108"/>
        </w:numPr>
      </w:pPr>
      <w:r>
        <w:t xml:space="preserve">How it will be stored;</w:t>
      </w:r>
    </w:p>
    <w:p>
      <w:pPr>
        <w:numPr>
          <w:ilvl w:val="0"/>
          <w:numId w:val="1108"/>
        </w:numPr>
      </w:pPr>
      <w:r>
        <w:t xml:space="preserve">Whether it will be exchanged with other users and under what policy;</w:t>
      </w:r>
    </w:p>
    <w:p>
      <w:pPr>
        <w:numPr>
          <w:ilvl w:val="0"/>
          <w:numId w:val="1108"/>
        </w:numPr>
      </w:pPr>
      <w:r>
        <w:t xml:space="preserve">Where it should be submitted for long-term archival;</w:t>
      </w:r>
    </w:p>
    <w:p>
      <w:pPr>
        <w:numPr>
          <w:ilvl w:val="0"/>
          <w:numId w:val="1108"/>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9"/>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9"/>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0"/>
        </w:numPr>
      </w:pPr>
      <w:r>
        <w:rPr>
          <w:iCs/>
          <w:i/>
        </w:rPr>
        <w:t xml:space="preserve">Guide to Information Technology Security</w:t>
      </w:r>
      <w:r>
        <w:t xml:space="preserve"> </w:t>
      </w:r>
      <w:r>
        <w:t xml:space="preserve">(WMO-No. 1115);</w:t>
      </w:r>
    </w:p>
    <w:p>
      <w:pPr>
        <w:numPr>
          <w:ilvl w:val="0"/>
          <w:numId w:val="1110"/>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bl>
    <w:bookmarkEnd w:id="293"/>
    <w:bookmarkStart w:id="294"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74">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79">
    <w:p>
      <w:pPr>
        <w:pStyle w:val="FootnoteText"/>
      </w:pPr>
      <w:r>
        <w:rPr>
          <w:rStyle w:val="FootnoteReference"/>
        </w:rPr>
        <w:footnoteRef/>
      </w:r>
      <w:r>
        <w:t xml:space="preserve"> </w:t>
      </w:r>
      <w:r>
        <w:t xml:space="preserve">See OGC-API Records - Part 1</w:t>
      </w:r>
      <w:r>
        <w:t xml:space="preserve"> </w:t>
      </w:r>
      <w:hyperlink r:id="rId180">
        <w:r>
          <w:rPr>
            <w:rStyle w:val="Hyperlink"/>
          </w:rPr>
          <w:t xml:space="preserve">https://docs.ogc.org/is/20-004r1/20-004r1.html</w:t>
        </w:r>
      </w:hyperlink>
      <w:r>
        <w:t xml:space="preserve">.</w:t>
      </w:r>
    </w:p>
  </w:footnote>
  <w:footnote w:id="181">
    <w:p>
      <w:pPr>
        <w:pStyle w:val="FootnoteText"/>
      </w:pPr>
      <w:r>
        <w:rPr>
          <w:rStyle w:val="FootnoteReference"/>
        </w:rPr>
        <w:footnoteRef/>
      </w:r>
      <w:r>
        <w:t xml:space="preserve"> </w:t>
      </w:r>
      <w:hyperlink r:id="rId182">
        <w:r>
          <w:rPr>
            <w:rStyle w:val="Hyperlink"/>
          </w:rPr>
          <w:t xml:space="preserve">https://wmo-im.github.io/wcmp2/kpi/wcmp2-kpi-STABLE.html</w:t>
        </w:r>
      </w:hyperlink>
    </w:p>
  </w:footnote>
  <w:footnote w:id="183">
    <w:p>
      <w:pPr>
        <w:pStyle w:val="FootnoteText"/>
      </w:pPr>
      <w:r>
        <w:rPr>
          <w:rStyle w:val="FootnoteReference"/>
        </w:rPr>
        <w:footnoteRef/>
      </w:r>
      <w:r>
        <w:t xml:space="preserve"> </w:t>
      </w:r>
      <w:hyperlink r:id="rId184">
        <w:r>
          <w:rPr>
            <w:rStyle w:val="Hyperlink"/>
          </w:rPr>
          <w:t xml:space="preserve">https://github.com/wmo-im/wis2-metric-hierarchy/blob/main/metrics/gdc.csv</w:t>
        </w:r>
      </w:hyperlink>
    </w:p>
  </w:footnote>
  <w:footnote w:id="192">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3">
    <w:p>
      <w:pPr>
        <w:pStyle w:val="FootnoteText"/>
      </w:pPr>
      <w:r>
        <w:rPr>
          <w:rStyle w:val="FootnoteReference"/>
        </w:rPr>
        <w:footnoteRef/>
      </w:r>
      <w:r>
        <w:t xml:space="preserve"> </w:t>
      </w:r>
      <w:r>
        <w:t xml:space="preserve">AMQP 1.0 is one of the protocols proposed in the draft PANS-IM.</w:t>
      </w:r>
    </w:p>
  </w:footnote>
  <w:footnote w:id="198">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200">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201">
    <w:p>
      <w:pPr>
        <w:pStyle w:val="FootnoteText"/>
      </w:pPr>
      <w:r>
        <w:rPr>
          <w:rStyle w:val="FootnoteReference"/>
        </w:rPr>
        <w:footnoteRef/>
      </w:r>
      <w:r>
        <w:t xml:space="preserve"> </w:t>
      </w:r>
      <w:r>
        <w:t xml:space="preserve">WIS2 does not provide any guidance on use of Public Key Infrastructure (PKI).</w:t>
      </w:r>
    </w:p>
  </w:footnote>
  <w:footnote w:id="202">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3">
    <w:p>
      <w:pPr>
        <w:pStyle w:val="FootnoteText"/>
      </w:pPr>
      <w:r>
        <w:rPr>
          <w:rStyle w:val="FootnoteReference"/>
        </w:rPr>
        <w:footnoteRef/>
      </w:r>
      <w:r>
        <w:t xml:space="preserve"> </w:t>
      </w:r>
      <w:r>
        <w:t xml:space="preserve">Where the data resource does not exceed 4 Kb, it may be embedded in the notification message.</w:t>
      </w:r>
    </w:p>
  </w:footnote>
  <w:footnote w:id="205">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9">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10">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11">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12">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14">
    <w:p>
      <w:pPr>
        <w:pStyle w:val="FootnoteText"/>
      </w:pPr>
      <w:r>
        <w:rPr>
          <w:rStyle w:val="FootnoteReference"/>
        </w:rPr>
        <w:footnoteRef/>
      </w:r>
      <w:r>
        <w:t xml:space="preserve"> </w:t>
      </w:r>
      <w:r>
        <w:t xml:space="preserve">See AMQP 1.0:</w:t>
      </w:r>
      <w:r>
        <w:t xml:space="preserve"> </w:t>
      </w:r>
      <w:hyperlink r:id="rId215">
        <w:r>
          <w:rPr>
            <w:rStyle w:val="Hyperlink"/>
          </w:rPr>
          <w:t xml:space="preserve">https://www.amqp.org/resources/specifications</w:t>
        </w:r>
      </w:hyperlink>
      <w:r>
        <w:t xml:space="preserve">.</w:t>
      </w:r>
    </w:p>
  </w:footnote>
  <w:footnote w:id="218">
    <w:p>
      <w:pPr>
        <w:pStyle w:val="FootnoteText"/>
      </w:pPr>
      <w:r>
        <w:rPr>
          <w:rStyle w:val="FootnoteReference"/>
        </w:rPr>
        <w:footnoteRef/>
      </w:r>
      <w:r>
        <w:t xml:space="preserve"> </w:t>
      </w:r>
      <w:r>
        <w:t xml:space="preserve">See</w:t>
      </w:r>
      <w:r>
        <w:t xml:space="preserve"> </w:t>
      </w:r>
      <w:hyperlink r:id="rId219">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20" Target="media/rId220.png" /><Relationship Type="http://schemas.openxmlformats.org/officeDocument/2006/relationships/image" Id="rId206" Target="media/rId206.png" /><Relationship Type="http://schemas.openxmlformats.org/officeDocument/2006/relationships/image" Id="rId194" Target="media/rId194.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76" Target="https://datatracker.ietf.org/doc/html/rfc2616" TargetMode="External" /><Relationship Type="http://schemas.openxmlformats.org/officeDocument/2006/relationships/hyperlink" Id="rId175"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80"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86"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84"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19"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82"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5"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2026-06-07T19:58:59Z</dcterms:created>
  <dcterms:modified xsi:type="dcterms:W3CDTF">2026-06-07T19:58:59Z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2026-06-07</vt:lpwstr>
  </property>
</Properties>
</file>