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200.png" ContentType="image/png"/>
  <Override PartName="/word/media/rId186.png" ContentType="image/png"/>
  <Override PartName="/word/media/rId1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(APPROVED)</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2025-07-13</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2025-07-13</w:t>
            </w:r>
          </w:p>
        </w:tc>
      </w:tr>
      <w:tr>
        <w:tc>
          <w:tcPr/>
          <w:p>
            <w:pPr>
              <w:jc w:val="left"/>
            </w:pPr>
            <w:r>
              <w:t xml:space="preserve">Version: 1.0.0</w:t>
            </w:r>
          </w:p>
        </w:tc>
      </w:tr>
      <w:tr>
        <w:tc>
          <w:tcPr/>
          <w:p>
            <w:pPr>
              <w:jc w:val="left"/>
            </w:pPr>
            <w:r>
              <w:t xml:space="preserve">Document status: APPROVED</w:t>
            </w:r>
          </w:p>
        </w:tc>
      </w:tr>
      <w:tr>
        <w:tc>
          <w:tcPr/>
          <w:p>
            <w:pPr>
              <w:jc w:val="left"/>
            </w:pPr>
            <w:r>
              <w:t xml:space="preserve">Document location:</w:t>
            </w:r>
            <w:r>
              <w:t xml:space="preserve"> </w:t>
            </w:r>
            <w:hyperlink r:id="rId20">
              <w:r>
                <w:rPr>
                  <w:rStyle w:val="Hyperlink"/>
                </w:rPr>
                <w:t xml:space="preserve">https://wmo-im.github.io/wis2-guide/guide/wis2-guide-APPROVED.html</w:t>
              </w:r>
            </w:hyperlink>
          </w:p>
        </w:tc>
      </w:tr>
      <w:tr>
        <w:tc>
          <w:tcPr/>
          <w:p>
            <w:pPr>
              <w:jc w:val="left"/>
            </w:pPr>
            <w:r>
              <w:t xml:space="preserve">WMO publication location:</w:t>
            </w:r>
            <w:r>
              <w:t xml:space="preserve"> </w:t>
            </w:r>
            <w:hyperlink r:id="rId21">
              <w:r>
                <w:rPr>
                  <w:rStyle w:val="Hyperlink"/>
                </w:rPr>
                <w:t xml:space="preserve">https://library.wmo.int/idurl/4/69130</w:t>
              </w:r>
            </w:hyperlink>
          </w:p>
        </w:tc>
      </w:tr>
      <w:tr>
        <w:tc>
          <w:tcPr/>
          <w:p>
            <w:pPr>
              <w:jc w:val="left"/>
            </w:pPr>
            <w:r>
              <w:t xml:space="preserve">Standing Committee on Information Management and Technology (SC-IMT)</w:t>
            </w:r>
            <w:r>
              <w:rPr>
                <w:rStyle w:val="FootnoteReference"/>
              </w:rPr>
              <w:footnoteReference w:id="22"/>
            </w:r>
          </w:p>
        </w:tc>
      </w:tr>
      <w:tr>
        <w:tc>
          <w:tcPr/>
          <w:p>
            <w:pPr>
              <w:jc w:val="left"/>
            </w:pPr>
            <w:r>
              <w:t xml:space="preserve">Commission for Observation, Infrastructure and Information Systems (INFCOM)</w:t>
            </w:r>
            <w:r>
              <w:rPr>
                <w:rStyle w:val="FootnoteReference"/>
              </w:rPr>
              <w:footnoteReference w:id="24"/>
            </w:r>
          </w:p>
        </w:tc>
      </w:tr>
      <w:tr>
        <w:tc>
          <w:tcPr/>
          <w:p>
            <w:pPr>
              <w:jc w:val="left"/>
            </w:pPr>
            <w:r>
              <w:t xml:space="preserve">Copyright © 2024 World Meteorological Organization (WMO)</w:t>
            </w:r>
          </w:p>
        </w:tc>
      </w:tr>
    </w:tbl>
    <w:bookmarkStart w:id="27" w:name="Xdb39c97f36a34d1119c282ef3c19502667c20f6"/>
    <w:p>
      <w:pPr>
        <w:pStyle w:val="Heading1"/>
      </w:pPr>
      <w:r>
        <w:t xml:space="preserve">Purpose of this Guide</w:t>
      </w:r>
    </w:p>
    <w:p>
      <w:pPr>
        <w:pStyle w:val="FirstParagraph"/>
      </w:pPr>
      <w:r>
        <w:t xml:space="preserve">In conjunction with the</w:t>
      </w:r>
      <w:r>
        <w:t xml:space="preserve"> </w:t>
      </w:r>
      <w:hyperlink r:id="rId26">
        <w:r>
          <w:rPr>
            <w:rStyle w:val="Hyperlink"/>
            <w:iCs/>
            <w:i/>
          </w:rPr>
          <w:t xml:space="preserve">Manual on the WMO Information System</w:t>
        </w:r>
      </w:hyperlink>
      <w:r>
        <w:t xml:space="preserve"> </w:t>
      </w:r>
      <w:r>
        <w:t xml:space="preserve">(WMO-No. 1060), Volume II – WMO Information System 2.0 (</w:t>
      </w:r>
      <w:r>
        <w:rPr>
          <w:iCs/>
          <w:i/>
        </w:rPr>
        <w:t xml:space="preserve">Manual on WIS</w:t>
      </w:r>
      <w:r>
        <w:t xml:space="preserve">, Volume II), the present</w:t>
      </w:r>
      <w:r>
        <w:t xml:space="preserve"> </w:t>
      </w:r>
      <w:r>
        <w:rPr>
          <w:iCs/>
          <w:i/>
        </w:rPr>
        <w:t xml:space="preserve">Guide to the WMO Information System</w:t>
      </w:r>
      <w:r>
        <w:t xml:space="preserve"> </w:t>
      </w:r>
      <w:r>
        <w:t xml:space="preserve">(WMO-No. 1061), Volume II – WMO Information System 2.0</w:t>
      </w:r>
      <w:r>
        <w:t xml:space="preserve"> </w:t>
      </w:r>
      <w:r>
        <w:rPr>
          <w:iCs/>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Cs/>
          <w:i/>
        </w:rPr>
        <w:t xml:space="preserve">Manual on WIS</w:t>
      </w:r>
      <w:r>
        <w:t xml:space="preserve">, Volume II contains standard and recommended practices, procedures and specifications. The</w:t>
      </w:r>
      <w:r>
        <w:t xml:space="preserve"> </w:t>
      </w:r>
      <w:r>
        <w:rPr>
          <w:iCs/>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bookmarkEnd w:id="27"/>
    <w:bookmarkStart w:id="104" w:name="Xfeb33fdf76b5a49060663e933d4caf2d52676bd"/>
    <w:p>
      <w:pPr>
        <w:pStyle w:val="Heading1"/>
      </w:pPr>
      <w:r>
        <w:t xml:space="preserve">PART I. Introduction</w:t>
      </w:r>
    </w:p>
    <w:bookmarkStart w:id="36" w:name="X7546568dd94592ed391239410095c0f550a04d7"/>
    <w:p>
      <w:pPr>
        <w:pStyle w:val="Heading2"/>
      </w:pPr>
      <w:r>
        <w:t xml:space="preserve">1.1 Background</w:t>
      </w:r>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28">
        <w:r>
          <w:rPr>
            <w:rStyle w:val="Hyperlink"/>
            <w:iCs/>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bookmarkStart w:id="29" w:name="Xb4ad5357c4c9200b68f7f92991f712bfd49ecb1"/>
    <w:p>
      <w:pPr>
        <w:pStyle w:val="Heading3"/>
      </w:pPr>
      <w:r>
        <w:t xml:space="preserve">1.1.1 Leveraging open standards</w:t>
      </w:r>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bookmarkEnd w:id="29"/>
    <w:bookmarkStart w:id="30" w:name="X04cb5f7cd50abc7af398ed5cd6069c571277b22"/>
    <w:p>
      <w:pPr>
        <w:pStyle w:val="Heading3"/>
      </w:pPr>
      <w:r>
        <w:t xml:space="preserve">1.1.2 Simpler data exchange</w:t>
      </w:r>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bookmarkEnd w:id="30"/>
    <w:bookmarkStart w:id="31" w:name="Xfed29e3c003b4e9d338d9080ffac9bc1ce70308"/>
    <w:p>
      <w:pPr>
        <w:pStyle w:val="Heading3"/>
      </w:pPr>
      <w:r>
        <w:t xml:space="preserve">1.1.3 Cloud-ready solutions</w:t>
      </w:r>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bookmarkEnd w:id="31"/>
    <w:bookmarkStart w:id="35" w:name="Xf01718976bafe57ca3daa3bdcd8b72a9412c429"/>
    <w:p>
      <w:pPr>
        <w:pStyle w:val="Heading3"/>
      </w:pPr>
      <w:r>
        <w:t xml:space="preserve">1.1.4 Why are datasets so important?</w:t>
      </w:r>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2"/>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p>
    <w:p>
      <w:pPr>
        <w:numPr>
          <w:ilvl w:val="0"/>
          <w:numId w:val="1002"/>
        </w:numPr>
      </w:pPr>
      <w:r>
        <w:t xml:space="preserve">Assign this resource an identifier and use this identifier to unambiguously refer to collections of data;</w:t>
      </w:r>
    </w:p>
    <w:p>
      <w:pPr>
        <w:numPr>
          <w:ilvl w:val="0"/>
          <w:numId w:val="1002"/>
        </w:numPr>
      </w:pPr>
      <w:r>
        <w:t xml:space="preserve">Make statements about the dataset (that is, metadata) and infer that these statements apply to the entire collection.</w:t>
      </w:r>
    </w:p>
    <w:p>
      <w:pPr>
        <w:pStyle w:val="FirstParagraph"/>
      </w:pPr>
      <w:r>
        <w:t xml:space="preserve">The dataset concept is central to WIS2:</w:t>
      </w:r>
    </w:p>
    <w:p>
      <w:pPr>
        <w:numPr>
          <w:ilvl w:val="0"/>
          <w:numId w:val="1003"/>
        </w:numPr>
      </w:pPr>
      <w:r>
        <w:t xml:space="preserve">Discovery metadata about datasets are published, as specified in the</w:t>
      </w:r>
      <w:r>
        <w:t xml:space="preserve"> </w:t>
      </w:r>
      <w:r>
        <w:rPr>
          <w:iCs/>
          <w:i/>
        </w:rPr>
        <w:t xml:space="preserve">Manual on WIS</w:t>
      </w:r>
      <w:r>
        <w:t xml:space="preserve">, Volume II – Appendix F. WMO Core Metadata Profile (Version 2);</w:t>
      </w:r>
    </w:p>
    <w:p>
      <w:pPr>
        <w:numPr>
          <w:ilvl w:val="0"/>
          <w:numId w:val="1003"/>
        </w:numPr>
      </w:pPr>
      <w:r>
        <w:t xml:space="preserve">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p>
    <w:p>
      <w:pPr>
        <w:numPr>
          <w:ilvl w:val="0"/>
          <w:numId w:val="1003"/>
        </w:numPr>
      </w:pPr>
      <w:r>
        <w:t xml:space="preserve">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p>
    <w:p>
      <w:pPr>
        <w:numPr>
          <w:ilvl w:val="0"/>
          <w:numId w:val="1003"/>
        </w:numPr>
      </w:pPr>
      <w:r>
        <w:t xml:space="preserve">Data consumers can access the data that comprise a dataset from a single location using a well-described mechanism.</w:t>
      </w:r>
    </w:p>
    <w:p>
      <w:pPr>
        <w:pStyle w:val="FirstParagraph"/>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Some examples of datasets include:</w:t>
      </w:r>
    </w:p>
    <w:p>
      <w:pPr>
        <w:numPr>
          <w:ilvl w:val="0"/>
          <w:numId w:val="1005"/>
        </w:numPr>
      </w:pPr>
      <w:r>
        <w:t xml:space="preserve">The most recent five days of synoptic observations for an entire country or territory;</w:t>
      </w:r>
      <w:r>
        <w:t xml:space="preserve"> </w:t>
      </w:r>
      <w:r>
        <w:rPr>
          <w:rStyle w:val="FootnoteReference"/>
        </w:rPr>
        <w:footnoteReference w:id="34"/>
      </w:r>
    </w:p>
    <w:p>
      <w:pPr>
        <w:numPr>
          <w:ilvl w:val="0"/>
          <w:numId w:val="1005"/>
        </w:numPr>
      </w:pPr>
      <w:r>
        <w:t xml:space="preserve">A long-term record of observed water quality for a managed set of hydrological stations;</w:t>
      </w:r>
    </w:p>
    <w:p>
      <w:pPr>
        <w:numPr>
          <w:ilvl w:val="0"/>
          <w:numId w:val="1005"/>
        </w:numPr>
      </w:pPr>
      <w:r>
        <w:t xml:space="preserve">The output from the most recent 24 hours of operational numerical weather prediction model runs;</w:t>
      </w:r>
    </w:p>
    <w:p>
      <w:pPr>
        <w:numPr>
          <w:ilvl w:val="0"/>
          <w:numId w:val="1005"/>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5"/>
        </w:numPr>
      </w:pPr>
      <w:r>
        <w:t xml:space="preserve">A multi-petabyte global reanalysis spanning 1950 to the present.</w:t>
      </w:r>
    </w:p>
    <w:p>
      <w:pPr>
        <w:pStyle w:val="FirstParagraph"/>
      </w:pPr>
      <w:r>
        <w:t xml:space="preserve">In summary, datasets are important because they are how data are managed in WIS2.</w:t>
      </w:r>
    </w:p>
    <w:bookmarkEnd w:id="35"/>
    <w:bookmarkEnd w:id="36"/>
    <w:bookmarkStart w:id="46" w:name="Xfcaec57ccd60762d3a9b7231d22e40a837cf0f9"/>
    <w:p>
      <w:pPr>
        <w:pStyle w:val="Heading2"/>
      </w:pPr>
      <w:r>
        <w:t xml:space="preserve">1.2 Information for the data consumer</w:t>
      </w:r>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bookmarkStart w:id="37" w:name="X9f821515f278ff8faca6fd872f78dd4fa741ea6"/>
    <w:p>
      <w:pPr>
        <w:pStyle w:val="Heading3"/>
      </w:pPr>
      <w:r>
        <w:t xml:space="preserve">1.2.1 How to search the Global Discovery Catalogue to find datasets</w:t>
      </w:r>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Cs/>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a3b486d690c63130663ad7bf25467f63f046e52">
        <w:r>
          <w:rPr>
            <w:rStyle w:val="Hyperlink"/>
          </w:rPr>
          <w:t xml:space="preserve">2.4.4 Global Discovery Catalogue</w:t>
        </w:r>
      </w:hyperlink>
      <w:r>
        <w:t xml:space="preserve">). Internet search engines are able to index the discovery metadata in the Global Discovery Catalogue, thereby providing data consumers with an alternative means to search for WIS2 data.</w:t>
      </w:r>
    </w:p>
    <w:bookmarkEnd w:id="37"/>
    <w:bookmarkStart w:id="39" w:name="X4f3b3d033f6486e939b1c36c84f21325d2511ca"/>
    <w:p>
      <w:pPr>
        <w:pStyle w:val="Heading3"/>
      </w:pPr>
      <w:r>
        <w:t xml:space="preserve">1.2.2 How to subscribe to notifications about the availability of new data</w:t>
      </w:r>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Cs/>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38"/>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6"/>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Cs/>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bookmarkEnd w:id="39"/>
    <w:bookmarkStart w:id="40" w:name="X4b769086e144bb72be66170fdf7bbd4c052cdad"/>
    <w:p>
      <w:pPr>
        <w:pStyle w:val="Heading3"/>
      </w:pPr>
      <w:r>
        <w:t xml:space="preserve">1.2.3 How to use a notification message to decide whether to download data</w:t>
      </w:r>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Cs/>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bookmarkEnd w:id="40"/>
    <w:bookmarkStart w:id="43" w:name="X1c330540af2520d0e22ddfeb8f38afbe6904691"/>
    <w:p>
      <w:pPr>
        <w:pStyle w:val="Heading3"/>
      </w:pPr>
      <w:r>
        <w:t xml:space="preserve">1.2.4 How to download data</w:t>
      </w:r>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1"/>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bookmarkEnd w:id="43"/>
    <w:bookmarkStart w:id="44" w:name="X7bb9f16c3e36926db2646ebd57edbc3e6378355"/>
    <w:p>
      <w:pPr>
        <w:pStyle w:val="Heading3"/>
      </w:pPr>
      <w:r>
        <w:t xml:space="preserve">1.2.5 How to use data</w:t>
      </w:r>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7"/>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7"/>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Cs/>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bookmarkEnd w:id="44"/>
    <w:bookmarkStart w:id="45" w:name="X38a362da6a73812bdd071fccb45dc7f1b5567e0"/>
    <w:p>
      <w:pPr>
        <w:pStyle w:val="Heading3"/>
      </w:pPr>
      <w:r>
        <w:t xml:space="preserve">1.2.6 Further reading for data consumers</w:t>
      </w:r>
    </w:p>
    <w:p>
      <w:pPr>
        <w:pStyle w:val="FirstParagraph"/>
      </w:pPr>
      <w:r>
        <w:t xml:space="preserve">Data consumers wanting to use data published via WIS2 should, at a minimum, read the following sections:</w:t>
      </w:r>
    </w:p>
    <w:p>
      <w:pPr>
        <w:numPr>
          <w:ilvl w:val="0"/>
          <w:numId w:val="1009"/>
        </w:numPr>
      </w:pPr>
      <w:hyperlink w:anchor="Xfeb33fdf76b5a49060663e933d4caf2d52676bd">
        <w:r>
          <w:rPr>
            <w:rStyle w:val="Hyperlink"/>
          </w:rPr>
          <w:t xml:space="preserve">PART I. Introduction</w:t>
        </w:r>
      </w:hyperlink>
    </w:p>
    <w:p>
      <w:pPr>
        <w:numPr>
          <w:ilvl w:val="0"/>
          <w:numId w:val="1009"/>
        </w:numPr>
      </w:pPr>
      <w:hyperlink w:anchor="X28f5541877c33125cf202024e3ac20634883b4b">
        <w:r>
          <w:rPr>
            <w:rStyle w:val="Hyperlink"/>
          </w:rPr>
          <w:t xml:space="preserve">2.1 WIS2 architecture</w:t>
        </w:r>
      </w:hyperlink>
    </w:p>
    <w:p>
      <w:pPr>
        <w:numPr>
          <w:ilvl w:val="0"/>
          <w:numId w:val="1009"/>
        </w:numPr>
      </w:pPr>
      <w:hyperlink w:anchor="X2aab2acdf50eeb2b0e5317fdf565808e30de610">
        <w:r>
          <w:rPr>
            <w:rStyle w:val="Hyperlink"/>
          </w:rPr>
          <w:t xml:space="preserve">2.2 Roles in WIS2</w:t>
        </w:r>
      </w:hyperlink>
    </w:p>
    <w:p>
      <w:pPr>
        <w:numPr>
          <w:ilvl w:val="0"/>
          <w:numId w:val="1009"/>
        </w:numPr>
      </w:pPr>
      <w:hyperlink w:anchor="X437cf0d280dd2c8ea8a0f1dcec8faa61a3122e7">
        <w:r>
          <w:rPr>
            <w:rStyle w:val="Hyperlink"/>
          </w:rPr>
          <w:t xml:space="preserve">2.4 WIS2 Components</w:t>
        </w:r>
      </w:hyperlink>
    </w:p>
    <w:p>
      <w:pPr>
        <w:pStyle w:val="FirstParagraph"/>
      </w:pPr>
      <w:r>
        <w:t xml:space="preserve">The following specifications in the</w:t>
      </w:r>
      <w:r>
        <w:t xml:space="preserve"> </w:t>
      </w:r>
      <w:r>
        <w:rPr>
          <w:iCs/>
          <w:i/>
        </w:rPr>
        <w:t xml:space="preserve">Manual on WIS</w:t>
      </w:r>
      <w:r>
        <w:t xml:space="preserve">, Volume II also provide useful information:</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(Version 2).</w:t>
      </w:r>
    </w:p>
    <w:bookmarkEnd w:id="45"/>
    <w:bookmarkEnd w:id="46"/>
    <w:bookmarkStart w:id="103" w:name="X7222784fd097f7a21754bed12cc368d461bec8d"/>
    <w:p>
      <w:pPr>
        <w:pStyle w:val="Heading2"/>
      </w:pPr>
      <w:r>
        <w:t xml:space="preserve">1.3 Information for the data publisher</w:t>
      </w:r>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bookmarkStart w:id="47" w:name="X4f39ceb2dc63f026d3c2883f6ba2c37349bedbd"/>
    <w:p>
      <w:pPr>
        <w:pStyle w:val="Heading3"/>
      </w:pPr>
      <w:r>
        <w:t xml:space="preserve">1.3.1 How to get started</w:t>
      </w:r>
    </w:p>
    <w:p>
      <w:pPr>
        <w:pStyle w:val="FirstParagraph"/>
      </w:pPr>
      <w:r>
        <w:t xml:space="preserve">The first step is to consider the data, how they can be conceptually grouped into one or more datasets (see</w:t>
      </w:r>
      <w:r>
        <w:t xml:space="preserve"> </w:t>
      </w:r>
      <w:hyperlink w:anchor="Xf01718976bafe57ca3daa3bdcd8b72a9412c429">
        <w:r>
          <w:rPr>
            <w:rStyle w:val="Hyperlink"/>
          </w:rPr>
          <w:t xml:space="preserve">1.1.4 Why are datasets so important?</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Cs/>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69908ca4935ba9b97e7a17332d181125367ef26">
        <w:r>
          <w:rPr>
            <w:rStyle w:val="Hyperlink"/>
          </w:rPr>
          <w:t xml:space="preserve">2.4.1 WIS2 Node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bookmarkEnd w:id="47"/>
    <w:bookmarkStart w:id="54" w:name="X21009dfafa1cda8133b39b7f2906d1497fde257"/>
    <w:p>
      <w:pPr>
        <w:pStyle w:val="Heading3"/>
      </w:pPr>
      <w:r>
        <w:t xml:space="preserve">1.3.2 How to provide discovery metadata to WIS2</w:t>
      </w:r>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48"/>
      </w:r>
      <w:r>
        <w:t xml:space="preserve">) and must conform to the specification given in the</w:t>
      </w:r>
      <w:r>
        <w:t xml:space="preserve"> </w:t>
      </w:r>
      <w:r>
        <w:rPr>
          <w:iCs/>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50"/>
      </w:r>
      <w:r>
        <w:t xml:space="preserve"> </w:t>
      </w:r>
      <w:r>
        <w:t xml:space="preserve">using one of two methods: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a data publisher may operate a local metadata catalogue through which discovery metadata records can be shared using an API (for example, OGC API – Records</w:t>
      </w:r>
      <w:r>
        <w:rPr>
          <w:rStyle w:val="FootnoteReference"/>
        </w:rPr>
        <w:footnoteReference w:id="51"/>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3"/>
      </w:r>
      <w:r>
        <w:t xml:space="preserve"> </w:t>
      </w:r>
      <w:r>
        <w:t xml:space="preserve">Notification messages shall conform to the specification given in the</w:t>
      </w:r>
      <w:r>
        <w:t xml:space="preserve"> </w:t>
      </w:r>
      <w:r>
        <w:rPr>
          <w:iCs/>
          <w:i/>
        </w:rPr>
        <w:t xml:space="preserve">Manual on WIS</w:t>
      </w:r>
      <w:r>
        <w:t xml:space="preserve">, Volume II - Appendix E. WIS2 Notification Message. They must also be published on a topic that conforms to the specification given in the</w:t>
      </w:r>
      <w:r>
        <w:t xml:space="preserve"> </w:t>
      </w:r>
      <w:r>
        <w:rPr>
          <w:iCs/>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bookmarkEnd w:id="54"/>
    <w:bookmarkStart w:id="101" w:name="X051e310d7e625aa45f193b489aa4a4179af83e2"/>
    <w:p>
      <w:pPr>
        <w:pStyle w:val="Heading3"/>
      </w:pPr>
      <w:r>
        <w:t xml:space="preserve">1.3.3 How to provide data to WIS2</w:t>
      </w:r>
    </w:p>
    <w:p>
      <w:pPr>
        <w:pStyle w:val="FirstParagraph"/>
      </w:pPr>
      <w:r>
        <w:t xml:space="preserve">WIS2 is based on the web architecture.</w:t>
      </w:r>
      <w:r>
        <w:rPr>
          <w:rStyle w:val="FootnoteReference"/>
        </w:rPr>
        <w:footnoteReference w:id="55"/>
      </w:r>
      <w:r>
        <w:t xml:space="preserve"> </w:t>
      </w:r>
      <w:r>
        <w:t xml:space="preserve">As such it is</w:t>
      </w:r>
      <w:r>
        <w:t xml:space="preserve"> </w:t>
      </w:r>
      <w:r>
        <w:rPr>
          <w:iCs/>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57"/>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59"/>
      </w:r>
      <w:r>
        <w:t xml:space="preserve">, and making them available via a data server - most typically a web server using HTTP protocol.</w:t>
      </w:r>
      <w:r>
        <w:rPr>
          <w:rStyle w:val="FootnoteReference"/>
        </w:rPr>
        <w:footnoteReference w:id="60"/>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bookmarkStart w:id="62" w:name="X8351b54c2e430ed5222ae0e2680f410730e0e28"/>
    <w:p>
      <w:pPr>
        <w:pStyle w:val="Heading4"/>
      </w:pPr>
      <w:r>
        <w:t xml:space="preserve">1.3.3.1 Data formats and encodings</w:t>
      </w:r>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1">
        <w:r>
          <w:rPr>
            <w:rStyle w:val="Hyperlink"/>
            <w:iCs/>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bookmarkEnd w:id="62"/>
    <w:bookmarkStart w:id="68" w:name="X5c9d605accd1d79be7858ebf8e3ffa8cfd4f97b"/>
    <w:p>
      <w:pPr>
        <w:pStyle w:val="Heading4"/>
      </w:pPr>
      <w:r>
        <w:t xml:space="preserve">1.3.3.2 Providing data as files</w:t>
      </w:r>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5"/>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bookmarkEnd w:id="68"/>
    <w:bookmarkStart w:id="79" w:name="X58413531c1ab7a780d47faf8330540fc2fbdabd"/>
    <w:p>
      <w:pPr>
        <w:pStyle w:val="Heading4"/>
      </w:pPr>
      <w:r>
        <w:t xml:space="preserve">1.3.3.3 Providing interactive access to data with APIs</w:t>
      </w:r>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3"/>
        </w:numPr>
      </w:pPr>
      <w:r>
        <w:t xml:space="preserve">Interpret a user’s request;</w:t>
      </w:r>
    </w:p>
    <w:p>
      <w:pPr>
        <w:numPr>
          <w:ilvl w:val="0"/>
          <w:numId w:val="1013"/>
        </w:numPr>
      </w:pPr>
      <w:r>
        <w:t xml:space="preserve">Extract the data from wherever they are stored;</w:t>
      </w:r>
    </w:p>
    <w:p>
      <w:pPr>
        <w:numPr>
          <w:ilvl w:val="0"/>
          <w:numId w:val="1013"/>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4"/>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4"/>
        </w:numPr>
      </w:pPr>
      <w:r>
        <w:t xml:space="preserve">Third, the OGC has developed a suite of APIs</w:t>
      </w:r>
      <w:r>
        <w:rPr>
          <w:rStyle w:val="FootnoteReference"/>
        </w:rPr>
        <w:footnoteReference w:id="71"/>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Cs/>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bookmarkEnd w:id="79"/>
    <w:bookmarkStart w:id="87" w:name="X994dfbb07bfc98f8cd58eb856dd1435c0dbcf59"/>
    <w:p>
      <w:pPr>
        <w:pStyle w:val="Heading4"/>
      </w:pPr>
      <w:r>
        <w:t xml:space="preserve">1.3.3.4 Providing data in (near) real time</w:t>
      </w:r>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3"/>
      </w:r>
      <w:r>
        <w:t xml:space="preserve"> </w:t>
      </w:r>
      <w:r>
        <w:t xml:space="preserve">using the MQTT protocol and immediately delivered to all users subscribing to that queue. A queue is associated with a specific</w:t>
      </w:r>
      <w:r>
        <w:t xml:space="preserve"> </w:t>
      </w:r>
      <w:r>
        <w:rPr>
          <w:iCs/>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Cs/>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4"/>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Cs/>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5"/>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Cs/>
          <w:i/>
        </w:rPr>
        <w:t xml:space="preserve">Manual on WIS</w:t>
      </w:r>
      <w:r>
        <w:t xml:space="preserve">, Volume II, Appendix D. WIS2 Topic Hierarchy, section 1.2 Publishing.</w:t>
      </w:r>
    </w:p>
    <w:p>
      <w:pPr>
        <w:pStyle w:val="BodyText"/>
      </w:pPr>
      <w:r>
        <w:t xml:space="preserve">Whatever topic is used, the discovery metadata provided to the Global Discovery Catalogue must include subscription links using that topic.</w:t>
      </w:r>
      <w:r>
        <w:rPr>
          <w:rStyle w:val="FootnoteReference"/>
        </w:rPr>
        <w:footnoteReference w:id="86"/>
      </w:r>
      <w:r>
        <w:t xml:space="preserve"> </w:t>
      </w:r>
      <w:r>
        <w:t xml:space="preserve">The Global Broker will only republish notification messages on topics specified in the discovery metadata records.</w:t>
      </w:r>
    </w:p>
    <w:bookmarkEnd w:id="87"/>
    <w:bookmarkStart w:id="91" w:name="X92e016493de8f5137348918844e02b79b0f6693"/>
    <w:p>
      <w:pPr>
        <w:pStyle w:val="Heading4"/>
      </w:pPr>
      <w:r>
        <w:t xml:space="preserve">1.3.3.5 Considerations when providing core data in WIS2</w:t>
      </w:r>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Cs/>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88"/>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Cs/>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89"/>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90"/>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Cs/>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bookmarkEnd w:id="91"/>
    <w:bookmarkStart w:id="98" w:name="Xd0bd182a7c1fc70068a7486071d51e95016173a"/>
    <w:p>
      <w:pPr>
        <w:pStyle w:val="Heading4"/>
      </w:pPr>
      <w:r>
        <w:t xml:space="preserve">1.3.3.6 Implementing access control</w:t>
      </w:r>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2"/>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Cs/>
          <w:i/>
        </w:rPr>
        <w:t xml:space="preserve">presigned</w:t>
      </w:r>
      <w:r>
        <w:t xml:space="preserve"> </w:t>
      </w:r>
      <w:r>
        <w:t xml:space="preserve">with the data publisher’s credentials and valid for the cache retention period (for example, 24 hours).</w:t>
      </w:r>
      <w:r>
        <w:rPr>
          <w:rStyle w:val="FootnoteReference"/>
        </w:rPr>
        <w:footnoteReference w:id="96"/>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bookmarkEnd w:id="98"/>
    <w:bookmarkStart w:id="100" w:name="X26d403da9e25add1beffef44cd4295568427077"/>
    <w:p>
      <w:pPr>
        <w:pStyle w:val="Heading4"/>
      </w:pPr>
      <w:r>
        <w:t xml:space="preserve">1.3.3.7 Providing access to data archives</w:t>
      </w:r>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99"/>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bookmarkEnd w:id="100"/>
    <w:bookmarkEnd w:id="101"/>
    <w:bookmarkStart w:id="102" w:name="X3c0f058502cbf12e2dd8dea423559d84f1e29d8"/>
    <w:p>
      <w:pPr>
        <w:pStyle w:val="Heading3"/>
      </w:pPr>
      <w:r>
        <w:t xml:space="preserve">1.3.4 Further reading for data publishers</w:t>
      </w:r>
    </w:p>
    <w:p>
      <w:pPr>
        <w:pStyle w:val="FirstParagraph"/>
      </w:pPr>
      <w:r>
        <w:t xml:space="preserve">Data publishers planning to operate WIS2 Nodes, at a minimum, should read the following sections:</w:t>
      </w:r>
    </w:p>
    <w:p>
      <w:pPr>
        <w:numPr>
          <w:ilvl w:val="0"/>
          <w:numId w:val="1016"/>
        </w:numPr>
      </w:pPr>
      <w:hyperlink w:anchor="Xfeb33fdf76b5a49060663e933d4caf2d52676bd">
        <w:r>
          <w:rPr>
            <w:rStyle w:val="Hyperlink"/>
          </w:rPr>
          <w:t xml:space="preserve">PART I. Introduction</w:t>
        </w:r>
      </w:hyperlink>
    </w:p>
    <w:p>
      <w:pPr>
        <w:numPr>
          <w:ilvl w:val="0"/>
          <w:numId w:val="1016"/>
        </w:numPr>
      </w:pPr>
      <w:hyperlink w:anchor="X28f5541877c33125cf202024e3ac20634883b4b">
        <w:r>
          <w:rPr>
            <w:rStyle w:val="Hyperlink"/>
          </w:rPr>
          <w:t xml:space="preserve">2.1 WIS2 architecture</w:t>
        </w:r>
      </w:hyperlink>
    </w:p>
    <w:p>
      <w:pPr>
        <w:numPr>
          <w:ilvl w:val="0"/>
          <w:numId w:val="1016"/>
        </w:numPr>
      </w:pPr>
      <w:hyperlink w:anchor="X2aab2acdf50eeb2b0e5317fdf565808e30de610">
        <w:r>
          <w:rPr>
            <w:rStyle w:val="Hyperlink"/>
          </w:rPr>
          <w:t xml:space="preserve">2.2 Roles in WIS2</w:t>
        </w:r>
      </w:hyperlink>
    </w:p>
    <w:p>
      <w:pPr>
        <w:numPr>
          <w:ilvl w:val="0"/>
          <w:numId w:val="1016"/>
        </w:numPr>
      </w:pPr>
      <w:hyperlink w:anchor="X437cf0d280dd2c8ea8a0f1dcec8faa61a3122e7">
        <w:r>
          <w:rPr>
            <w:rStyle w:val="Hyperlink"/>
          </w:rPr>
          <w:t xml:space="preserve">2.4 WIS2 Components</w:t>
        </w:r>
      </w:hyperlink>
    </w:p>
    <w:p>
      <w:pPr>
        <w:numPr>
          <w:ilvl w:val="0"/>
          <w:numId w:val="1016"/>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7"/>
        </w:numPr>
      </w:pPr>
      <w:hyperlink w:anchor="X389c54ef161459295e2409da7e6e7a438d97537">
        <w:r>
          <w:rPr>
            <w:rStyle w:val="Hyperlink"/>
          </w:rPr>
          <w:t xml:space="preserve">PART III. Information management</w:t>
        </w:r>
      </w:hyperlink>
    </w:p>
    <w:p>
      <w:pPr>
        <w:numPr>
          <w:ilvl w:val="0"/>
          <w:numId w:val="1017"/>
        </w:numPr>
      </w:pPr>
      <w:hyperlink w:anchor="Xf0816da4cf7fb19671f2d7fe0d061de4ae60249">
        <w:r>
          <w:rPr>
            <w:rStyle w:val="Hyperlink"/>
          </w:rPr>
          <w:t xml:space="preserve">PART IV. Security</w:t>
        </w:r>
      </w:hyperlink>
    </w:p>
    <w:p>
      <w:pPr>
        <w:numPr>
          <w:ilvl w:val="0"/>
          <w:numId w:val="1017"/>
        </w:numPr>
      </w:pPr>
      <w:hyperlink w:anchor="X3b22a87a2b2970364529e1b1e33cb197e766c93">
        <w:r>
          <w:rPr>
            <w:rStyle w:val="Hyperlink"/>
          </w:rPr>
          <w:t xml:space="preserve">PART V. Competencies</w:t>
        </w:r>
      </w:hyperlink>
    </w:p>
    <w:p>
      <w:pPr>
        <w:pStyle w:val="FirstParagraph"/>
      </w:pPr>
      <w:r>
        <w:t xml:space="preserve">Note that</w:t>
      </w:r>
      <w:r>
        <w:t xml:space="preserve"> </w:t>
      </w:r>
      <w:r>
        <w:rPr>
          <w:iCs/>
          <w:i/>
        </w:rPr>
        <w:t xml:space="preserve">PART IV. Security</w:t>
      </w:r>
      <w:r>
        <w:t xml:space="preserve"> </w:t>
      </w:r>
      <w:r>
        <w:t xml:space="preserve">and</w:t>
      </w:r>
      <w:r>
        <w:t xml:space="preserve"> </w:t>
      </w:r>
      <w:r>
        <w:rPr>
          <w:iCs/>
          <w:i/>
        </w:rPr>
        <w:t xml:space="preserve">PART V.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dfcef8a51a47770744d1c6284d6cc8465e590d9">
        <w:r>
          <w:rPr>
            <w:rStyle w:val="Hyperlink"/>
          </w:rPr>
          <w:t xml:space="preserve">2.8.1.1 Publishing meteorological data through WIS2 into ICAO SWIM</w:t>
        </w:r>
      </w:hyperlink>
      <w:r>
        <w:t xml:space="preserve">.</w:t>
      </w:r>
    </w:p>
    <w:p>
      <w:pPr>
        <w:pStyle w:val="BodyText"/>
      </w:pPr>
      <w:r>
        <w:t xml:space="preserve">Finally, data publishers should also review the specifications in the</w:t>
      </w:r>
      <w:r>
        <w:t xml:space="preserve"> </w:t>
      </w:r>
      <w:r>
        <w:rPr>
          <w:iCs/>
          <w:i/>
        </w:rPr>
        <w:t xml:space="preserve">Manual on WIS</w:t>
      </w:r>
      <w:r>
        <w:t xml:space="preserve">, Volume II:</w:t>
      </w:r>
    </w:p>
    <w:p>
      <w:pPr>
        <w:numPr>
          <w:ilvl w:val="0"/>
          <w:numId w:val="1018"/>
        </w:numPr>
      </w:pPr>
      <w:r>
        <w:t xml:space="preserve">Appendix D. WIS2 Topic Hierarchy</w:t>
      </w:r>
    </w:p>
    <w:p>
      <w:pPr>
        <w:numPr>
          <w:ilvl w:val="0"/>
          <w:numId w:val="1018"/>
        </w:numPr>
      </w:pPr>
      <w:r>
        <w:t xml:space="preserve">Appendix E. WIS2 Notification Message</w:t>
      </w:r>
    </w:p>
    <w:p>
      <w:pPr>
        <w:numPr>
          <w:ilvl w:val="0"/>
          <w:numId w:val="1018"/>
        </w:numPr>
      </w:pPr>
      <w:r>
        <w:t xml:space="preserve">Appendix F. WMO Core Metadata Profile (Version 2)</w:t>
      </w:r>
    </w:p>
    <w:bookmarkEnd w:id="102"/>
    <w:bookmarkEnd w:id="103"/>
    <w:bookmarkEnd w:id="104"/>
    <w:bookmarkStart w:id="207" w:name="X091eefe62f3e875434678e1907ab2349ff25d3c"/>
    <w:p>
      <w:pPr>
        <w:pStyle w:val="Heading1"/>
      </w:pPr>
      <w:r>
        <w:t xml:space="preserve">PART II. Architecture, implementation and operations</w:t>
      </w:r>
    </w:p>
    <w:bookmarkStart w:id="105" w:name="X28f5541877c33125cf202024e3ac20634883b4b"/>
    <w:p>
      <w:pPr>
        <w:pStyle w:val="Heading2"/>
      </w:pPr>
      <w:r>
        <w:t xml:space="preserve">2.1 WIS2 architecture</w:t>
      </w:r>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Cs/>
          <w:i/>
        </w:rPr>
        <w:t xml:space="preserve">Manual on WIS</w:t>
      </w:r>
      <w:r>
        <w:t xml:space="preserve">, Volume II.</w:t>
      </w:r>
    </w:p>
    <w:bookmarkEnd w:id="105"/>
    <w:bookmarkStart w:id="110" w:name="X2aab2acdf50eeb2b0e5317fdf565808e30de610"/>
    <w:p>
      <w:pPr>
        <w:pStyle w:val="Heading2"/>
      </w:pPr>
      <w:r>
        <w:t xml:space="preserve">2.2 Roles in WIS2</w:t>
      </w:r>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bookmarkStart w:id="106" w:name="Xedffd8645c78e6956cdbfea962d2b5423af3488"/>
    <w:p>
      <w:pPr>
        <w:pStyle w:val="Heading3"/>
      </w:pPr>
      <w:r>
        <w:t xml:space="preserve">2.2.1 Data publisher</w:t>
      </w:r>
    </w:p>
    <w:p>
      <w:pPr>
        <w:numPr>
          <w:ilvl w:val="0"/>
          <w:numId w:val="1020"/>
        </w:numPr>
      </w:pPr>
      <w:r>
        <w:t xml:space="preserve">This role is fulfilled by NCs and DCPCs.</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and provide details on how it can be accessed and under what conditions;</w:t>
      </w:r>
    </w:p>
    <w:p>
      <w:pPr>
        <w:numPr>
          <w:ilvl w:val="1"/>
          <w:numId w:val="1021"/>
        </w:numPr>
      </w:pPr>
      <w:r>
        <w:t xml:space="preserve">An API or web service to access or interact with the dataset;</w:t>
      </w:r>
    </w:p>
    <w:p>
      <w:pPr>
        <w:numPr>
          <w:ilvl w:val="1"/>
          <w:numId w:val="1021"/>
        </w:numPr>
      </w:pPr>
      <w:r>
        <w:t xml:space="preserve">Notification messages advertising the availability of new data and metadata.</w:t>
      </w:r>
    </w:p>
    <w:bookmarkEnd w:id="106"/>
    <w:bookmarkStart w:id="107" w:name="Xa591cc3322f5aeef758d0e2363ca48b3c10753e"/>
    <w:p>
      <w:pPr>
        <w:pStyle w:val="Heading3"/>
      </w:pPr>
      <w:r>
        <w:t xml:space="preserve">2.2.2 Global coordinator</w:t>
      </w:r>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bookmarkEnd w:id="107"/>
    <w:bookmarkStart w:id="108" w:name="X9d9963bf3882e20c8c1fe906f367365dce1b9cc"/>
    <w:p>
      <w:pPr>
        <w:pStyle w:val="Heading3"/>
      </w:pPr>
      <w:r>
        <w:t xml:space="preserve">2.2.3 Global Service operator</w:t>
      </w:r>
    </w:p>
    <w:p>
      <w:pPr>
        <w:numPr>
          <w:ilvl w:val="0"/>
          <w:numId w:val="1023"/>
        </w:numPr>
      </w:pPr>
      <w:r>
        <w:t xml:space="preserve">To ensure highly available global data exchange, a WIS centre may operate one or more Global Services:</w:t>
      </w:r>
    </w:p>
    <w:p>
      <w:pPr>
        <w:numPr>
          <w:ilvl w:val="1"/>
          <w:numId w:val="1024"/>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4"/>
        </w:numPr>
      </w:pPr>
      <w:r>
        <w:t xml:space="preserve">A Global Broker provides highly available messaging services through which users may subscribe to notifications about all datasets provided by data publishers;</w:t>
      </w:r>
    </w:p>
    <w:p>
      <w:pPr>
        <w:numPr>
          <w:ilvl w:val="1"/>
          <w:numId w:val="1024"/>
        </w:numPr>
      </w:pPr>
      <w:r>
        <w:t xml:space="preserve">A Global Cache provides a highly available download service for cached copies of core data downloaded from data publishers’ web services;</w:t>
      </w:r>
    </w:p>
    <w:p>
      <w:pPr>
        <w:numPr>
          <w:ilvl w:val="1"/>
          <w:numId w:val="1024"/>
        </w:numPr>
      </w:pPr>
      <w:r>
        <w:t xml:space="preserve">A Global Monitor gathers and displays system performance, data availability, and other metrics from all WIS2 Nodes and Global Services.</w:t>
      </w:r>
    </w:p>
    <w:bookmarkEnd w:id="108"/>
    <w:bookmarkStart w:id="109" w:name="X1dad0ee763c824c05222b8d64a106fa2ccf4bfa"/>
    <w:p>
      <w:pPr>
        <w:pStyle w:val="Heading3"/>
      </w:pPr>
      <w:r>
        <w:t xml:space="preserve">2.2.4 Data consumer</w:t>
      </w:r>
    </w:p>
    <w:p>
      <w:pPr>
        <w:numPr>
          <w:ilvl w:val="0"/>
          <w:numId w:val="1025"/>
        </w:numPr>
      </w:pPr>
      <w:r>
        <w:t xml:space="preserve">This role represents anyone wanting to find, access, and use data from WIS2. Examples include NMHSs, government agencies, research institutions, private sector organizations, and so forth.</w:t>
      </w:r>
    </w:p>
    <w:p>
      <w:pPr>
        <w:numPr>
          <w:ilvl w:val="0"/>
          <w:numId w:val="1025"/>
        </w:numPr>
      </w:pPr>
      <w:r>
        <w:t xml:space="preserve">Data consumers search or browse a Global Discovery Catalogue (or another search engine) to discover the datasets that meet their needs ("datasets of interest").</w:t>
      </w:r>
    </w:p>
    <w:p>
      <w:pPr>
        <w:numPr>
          <w:ilvl w:val="0"/>
          <w:numId w:val="1025"/>
        </w:numPr>
      </w:pPr>
      <w:r>
        <w:t xml:space="preserve">Data consumers subscribe via a Global Broker to receive notification messages about the availability of data or metadata associated with their datasets of interest.</w:t>
      </w:r>
    </w:p>
    <w:p>
      <w:pPr>
        <w:numPr>
          <w:ilvl w:val="0"/>
          <w:numId w:val="1025"/>
        </w:numPr>
      </w:pPr>
      <w:r>
        <w:t xml:space="preserve">Data consumers determine whether the data or metadata referenced in the notification messages are required.</w:t>
      </w:r>
    </w:p>
    <w:p>
      <w:pPr>
        <w:numPr>
          <w:ilvl w:val="0"/>
          <w:numId w:val="1025"/>
        </w:numPr>
      </w:pPr>
      <w:r>
        <w:t xml:space="preserve">Data consumers download data from a Global Cache or WIS2 Node.</w:t>
      </w:r>
    </w:p>
    <w:bookmarkEnd w:id="109"/>
    <w:bookmarkEnd w:id="110"/>
    <w:bookmarkStart w:id="111" w:name="X23e291de28ce042fa502fdbe4422ded44f10aa0"/>
    <w:p>
      <w:pPr>
        <w:pStyle w:val="Heading2"/>
      </w:pPr>
      <w:r>
        <w:t xml:space="preserve">2.3 WIS2 specifications</w:t>
      </w:r>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
        <w:tblLook w:firstRow="1" w:lastRow="0" w:firstColumn="0" w:lastColumn="0" w:noHBand="0" w:noVBand="0" w:val="0020"/>
        <w:jc w:val="start"/>
        <w:tblCaption w:val="WIS2 specifications"/>
      </w:tblPr>
      <w:tblGrid>
        <w:gridCol w:w="2639"/>
        <w:gridCol w:w="2639"/>
        <w:gridCol w:w="2640"/>
      </w:tblGrid>
      <w:tr>
        <w:trPr>
          <w:tblHeader w:val="true"/>
        </w:trPr>
        <w:tc>
          <w:tcPr/>
          <w:p>
            <w:pPr>
              <w:pStyle w:val="Compact"/>
              <w:jc w:val="left"/>
            </w:pPr>
            <w:r>
              <w:t xml:space="preserve">Specification</w:t>
            </w:r>
          </w:p>
        </w:tc>
        <w:tc>
          <w:tcPr/>
          <w:p>
            <w:pPr>
              <w:pStyle w:val="Compact"/>
              <w:jc w:val="left"/>
            </w:pPr>
            <w:r>
              <w:t xml:space="preserve">Granularity</w:t>
            </w:r>
          </w:p>
        </w:tc>
        <w:tc>
          <w:tcPr/>
          <w:p>
            <w:pPr>
              <w:pStyle w:val="Compact"/>
              <w:jc w:val="left"/>
            </w:pPr>
            <w:r>
              <w:t xml:space="preserve">Primary WIS2 Component(s)</w:t>
            </w:r>
          </w:p>
        </w:tc>
      </w:tr>
      <w:tr>
        <w:tc>
          <w:tcPr/>
          <w:p>
            <w:pPr>
              <w:jc w:val="left"/>
            </w:pPr>
            <w:r>
              <w:t xml:space="preserve">WMO Core Metadata Profile 2 (WCMP2)</w:t>
            </w:r>
          </w:p>
        </w:tc>
        <w:tc>
          <w:tcPr/>
          <w:p>
            <w:pPr>
              <w:jc w:val="left"/>
            </w:pPr>
            <w:r>
              <w:t xml:space="preserve">Datasets</w:t>
            </w:r>
          </w:p>
        </w:tc>
        <w:tc>
          <w:tcPr/>
          <w:p>
            <w:pPr>
              <w:jc w:val="left"/>
            </w:pPr>
            <w:r>
              <w:t xml:space="preserve">Global Discovery Catalogue</w:t>
            </w:r>
          </w:p>
        </w:tc>
      </w:tr>
      <w:tr>
        <w:tc>
          <w:tcPr/>
          <w:p>
            <w:pPr>
              <w:jc w:val="left"/>
            </w:pPr>
            <w:r>
              <w:t xml:space="preserve">WIS2 Topic Hierarchy (WTH)</w:t>
            </w:r>
          </w:p>
        </w:tc>
        <w:tc>
          <w:tcPr/>
          <w:p>
            <w:pPr>
              <w:jc w:val="left"/>
            </w:pPr>
            <w:r>
              <w:t xml:space="preserve">Dataset granules</w:t>
            </w:r>
          </w:p>
        </w:tc>
        <w:tc>
          <w:tcPr/>
          <w:p>
            <w:pPr>
              <w:jc w:val="left"/>
            </w:pPr>
            <w:r>
              <w:t xml:space="preserve">Global Broker, WIS2 Nodes</w:t>
            </w:r>
          </w:p>
        </w:tc>
      </w:tr>
      <w:tr>
        <w:tc>
          <w:tcPr/>
          <w:p>
            <w:pPr>
              <w:jc w:val="left"/>
            </w:pPr>
            <w:r>
              <w:t xml:space="preserve">WIS2 Notification Message (WNM)</w:t>
            </w:r>
          </w:p>
        </w:tc>
        <w:tc>
          <w:tcPr/>
          <w:p>
            <w:pPr>
              <w:jc w:val="left"/>
            </w:pPr>
            <w:r>
              <w:t xml:space="preserve">Dataset metadata, dataset granules</w:t>
            </w:r>
          </w:p>
        </w:tc>
        <w:tc>
          <w:tcPr/>
          <w:p>
            <w:pPr>
              <w:jc w:val="left"/>
            </w:pPr>
            <w:r>
              <w:t xml:space="preserve">Global Broker, WIS2 Nodes</w:t>
            </w:r>
          </w:p>
        </w:tc>
      </w:tr>
    </w:tbl>
    <w:p>
      <w:pPr>
        <w:pStyle w:val="BodyText"/>
      </w:pPr>
      <w:r>
        <w:t xml:space="preserve">Refer to the</w:t>
      </w:r>
      <w:r>
        <w:t xml:space="preserve"> </w:t>
      </w:r>
      <w:r>
        <w:rPr>
          <w:iCs/>
          <w:i/>
        </w:rPr>
        <w:t xml:space="preserve">Manual on WIS</w:t>
      </w:r>
      <w:r>
        <w:t xml:space="preserve">, Volume II for details.</w:t>
      </w:r>
    </w:p>
    <w:bookmarkEnd w:id="111"/>
    <w:bookmarkStart w:id="117" w:name="X437cf0d280dd2c8ea8a0f1dcec8faa61a3122e7"/>
    <w:p>
      <w:pPr>
        <w:pStyle w:val="Heading2"/>
      </w:pPr>
      <w:r>
        <w:t xml:space="preserve">2.4 WIS2 Components</w:t>
      </w:r>
    </w:p>
    <w:bookmarkStart w:id="112" w:name="X69908ca4935ba9b97e7a17332d181125367ef26"/>
    <w:p>
      <w:pPr>
        <w:pStyle w:val="Heading3"/>
      </w:pPr>
      <w:r>
        <w:t xml:space="preserve">2.4.1 WIS2 Node</w:t>
      </w:r>
    </w:p>
    <w:p>
      <w:pPr>
        <w:numPr>
          <w:ilvl w:val="0"/>
          <w:numId w:val="1026"/>
        </w:numPr>
      </w:pPr>
      <w:r>
        <w:t xml:space="preserve">WIS2 Nodes are central to WIS2. They are operated by NCs and DCPCs to publish their core and recommended data.</w:t>
      </w:r>
    </w:p>
    <w:p>
      <w:pPr>
        <w:numPr>
          <w:ilvl w:val="0"/>
          <w:numId w:val="1026"/>
        </w:numPr>
      </w:pPr>
      <w:r>
        <w:t xml:space="preserve">WIS2 adopts web technologies and open standards, enabling WIS2 Nodes to be implemented using freely available software components and common industry practices.</w:t>
      </w:r>
    </w:p>
    <w:p>
      <w:pPr>
        <w:numPr>
          <w:ilvl w:val="0"/>
          <w:numId w:val="1026"/>
        </w:numPr>
      </w:pPr>
      <w:r>
        <w:t xml:space="preserve">WIS2 Nodes publish data as files on a web server or using an interactive web service.</w:t>
      </w:r>
    </w:p>
    <w:p>
      <w:pPr>
        <w:numPr>
          <w:ilvl w:val="0"/>
          <w:numId w:val="1026"/>
        </w:numPr>
      </w:pPr>
      <w:r>
        <w:t xml:space="preserve">WIS2 Nodes describe the data they publish using discovery metadata. See the</w:t>
      </w:r>
      <w:r>
        <w:t xml:space="preserve"> </w:t>
      </w:r>
      <w:r>
        <w:rPr>
          <w:iCs/>
          <w:i/>
        </w:rPr>
        <w:t xml:space="preserve">Manual on WIS</w:t>
      </w:r>
      <w:r>
        <w:t xml:space="preserve">, Volume II, Appendix F. WMO Core Metadata Profile (Version 2).</w:t>
      </w:r>
    </w:p>
    <w:p>
      <w:pPr>
        <w:numPr>
          <w:ilvl w:val="0"/>
          <w:numId w:val="1026"/>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6"/>
        </w:numPr>
      </w:pPr>
      <w:r>
        <w:t xml:space="preserve">WIS2 Nodes may control access to the data they publish. Global Services operate with fixed IP addresses, enabling WIS2 Nodes to easily distinguish their requests.</w:t>
      </w:r>
    </w:p>
    <w:bookmarkEnd w:id="112"/>
    <w:bookmarkStart w:id="113" w:name="X83e3d9fbe98f85330900c67b0f119c5312fe9ec"/>
    <w:p>
      <w:pPr>
        <w:pStyle w:val="Heading3"/>
      </w:pPr>
      <w:r>
        <w:t xml:space="preserve">2.4.2 Global Broker</w:t>
      </w:r>
    </w:p>
    <w:p>
      <w:pPr>
        <w:numPr>
          <w:ilvl w:val="0"/>
          <w:numId w:val="1027"/>
        </w:numPr>
      </w:pPr>
      <w:r>
        <w:t xml:space="preserve">WIS2 incorporates several Global Brokers, ensuring the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that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data consumers to easily find topics relevant to their needs.</w:t>
      </w:r>
    </w:p>
    <w:p>
      <w:pPr>
        <w:numPr>
          <w:ilvl w:val="0"/>
          <w:numId w:val="1027"/>
        </w:numPr>
      </w:pPr>
      <w:r>
        <w:t xml:space="preserve">Data consumers should subscribe to notifications from a Global Broker, not directly from the Message Brokers operated by WIS2 Nodes.</w:t>
      </w:r>
    </w:p>
    <w:bookmarkEnd w:id="113"/>
    <w:bookmarkStart w:id="114" w:name="X5b73d135462fb24ef0f85aaeceaffed4dc74591"/>
    <w:p>
      <w:pPr>
        <w:pStyle w:val="Heading3"/>
      </w:pPr>
      <w:r>
        <w:t xml:space="preserve">2.4.3 Global Cache</w:t>
      </w:r>
    </w:p>
    <w:p>
      <w:pPr>
        <w:numPr>
          <w:ilvl w:val="0"/>
          <w:numId w:val="1028"/>
        </w:numPr>
      </w:pPr>
      <w:r>
        <w:t xml:space="preserve">WIS2 incorporates several Global Caches, ensuring the highly resilient distribution of data across the globe.</w:t>
      </w:r>
    </w:p>
    <w:p>
      <w:pPr>
        <w:numPr>
          <w:ilvl w:val="0"/>
          <w:numId w:val="1028"/>
        </w:numPr>
      </w:pPr>
      <w:r>
        <w:t xml:space="preserve">A Global Cache provides a highly available data server, from which a data consumer can download core data, as specified in Resolution 1 (Cg-Ext(2021)).</w:t>
      </w:r>
    </w:p>
    <w:p>
      <w:pPr>
        <w:numPr>
          <w:ilvl w:val="0"/>
          <w:numId w:val="1028"/>
        </w:numPr>
      </w:pPr>
      <w:r>
        <w:t xml:space="preserve">A Global Cache subscribes to notification messages via a Global Broker.</w:t>
      </w:r>
    </w:p>
    <w:p>
      <w:pPr>
        <w:numPr>
          <w:ilvl w:val="0"/>
          <w:numId w:val="1028"/>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8"/>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8"/>
        </w:numPr>
      </w:pPr>
      <w:r>
        <w:t xml:space="preserve">A Global Cache shall retain a copy of the core data for a duration compatible with the real-time or near-real-time schedule of the data and not less than 24 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those data are available.</w:t>
      </w:r>
    </w:p>
    <w:bookmarkEnd w:id="114"/>
    <w:bookmarkStart w:id="115" w:name="Xa3b486d690c63130663ad7bf25467f63f046e52"/>
    <w:p>
      <w:pPr>
        <w:pStyle w:val="Heading3"/>
      </w:pPr>
      <w:r>
        <w:t xml:space="preserve">2.4.4 Global Discovery Catalogue</w:t>
      </w:r>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9"/>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9"/>
        </w:numPr>
      </w:pPr>
      <w:r>
        <w:t xml:space="preserve">A Global Discovery Catalogue amends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bookmarkEnd w:id="115"/>
    <w:bookmarkStart w:id="116" w:name="Xeb98fb33a1e4498213eea5bcb421ddbb3cf8882"/>
    <w:p>
      <w:pPr>
        <w:pStyle w:val="Heading3"/>
      </w:pPr>
      <w:r>
        <w:t xml:space="preserve">2.4.5 Global Monitor</w:t>
      </w:r>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the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the data can be effectively accessed by data consumers;</w:t>
      </w:r>
    </w:p>
    <w:p>
      <w:pPr>
        <w:numPr>
          <w:ilvl w:val="1"/>
          <w:numId w:val="1031"/>
        </w:numPr>
      </w:pPr>
      <w:r>
        <w:t xml:space="preserve">The performance of components in the WIS2 system.</w:t>
      </w:r>
    </w:p>
    <w:bookmarkEnd w:id="116"/>
    <w:bookmarkEnd w:id="117"/>
    <w:bookmarkStart w:id="124" w:name="Xd2d4fa6849f58a31365ab34a99d7515a2fa1af8"/>
    <w:p>
      <w:pPr>
        <w:pStyle w:val="Heading2"/>
      </w:pPr>
      <w:r>
        <w:t xml:space="preserve">2.5 Protocol configuration</w:t>
      </w:r>
    </w:p>
    <w:bookmarkStart w:id="120" w:name="X5148c3f35fe6b42153b4829bf3ed76554c0764b"/>
    <w:p>
      <w:pPr>
        <w:pStyle w:val="Heading3"/>
      </w:pPr>
      <w:r>
        <w:t xml:space="preserve">2.5.1 Publish-subscribe protocol (MQTT)</w:t>
      </w:r>
    </w:p>
    <w:p>
      <w:pPr>
        <w:numPr>
          <w:ilvl w:val="0"/>
          <w:numId w:val="1032"/>
        </w:numPr>
      </w:pPr>
      <w:r>
        <w:t xml:space="preserve">The MQTT protocol</w:t>
      </w:r>
      <w:r>
        <w:rPr>
          <w:rStyle w:val="FootnoteReference"/>
        </w:rPr>
        <w:footnoteReference w:id="118"/>
      </w:r>
      <w:r>
        <w:t xml:space="preserve"> </w:t>
      </w:r>
      <w:r>
        <w:t xml:space="preserve">is to be used for all WIS2 publish-subscribe workflows (publication and subscription).</w:t>
      </w:r>
    </w:p>
    <w:p>
      <w:pPr>
        <w:numPr>
          <w:ilvl w:val="0"/>
          <w:numId w:val="1032"/>
        </w:numPr>
      </w:pPr>
      <w:r>
        <w:t xml:space="preserve">MQTT v3.1.1 and v5.0 are the chosen protocols for the publication of and subscription to WIS2 notification messages.</w:t>
      </w:r>
    </w:p>
    <w:p>
      <w:pPr>
        <w:numPr>
          <w:ilvl w:val="1"/>
          <w:numId w:val="1033"/>
        </w:numPr>
      </w:pPr>
      <w:r>
        <w:t xml:space="preserve">MQTT v5.0 is preferred for connecting to Global Brokers as it provides additional features such as the ability to use shared subscriptions.</w:t>
      </w:r>
    </w:p>
    <w:p>
      <w:pPr>
        <w:numPr>
          <w:ilvl w:val="0"/>
          <w:numId w:val="1032"/>
        </w:numPr>
      </w:pPr>
      <w:r>
        <w:t xml:space="preserve">The following parameters are to be used for all MQTT client/server connections and subscriptions:</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To enable user authentication and authorization, WIS2 Nodes, Global Caches, Global Discovery Catalogues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Transmission Control Protocol (TCP) ports to be used are 8883 for Secure MQTT (MQTTS) and 443 for Secure Web Socket (WSS).</w:t>
      </w:r>
    </w:p>
    <w:bookmarkEnd w:id="120"/>
    <w:bookmarkStart w:id="123" w:name="X9e4e4e6a99bfa9f33214bbb5aa2f4afe3c6c555"/>
    <w:p>
      <w:pPr>
        <w:pStyle w:val="Heading3"/>
      </w:pPr>
      <w:r>
        <w:t xml:space="preserve">2.5.2 Download protocol (HTTP)</w:t>
      </w:r>
    </w:p>
    <w:p>
      <w:pPr>
        <w:numPr>
          <w:ilvl w:val="0"/>
          <w:numId w:val="1035"/>
        </w:numPr>
      </w:pPr>
      <w:r>
        <w:t xml:space="preserve">The HTTP protocol (RFC 7231</w:t>
      </w:r>
      <w:r>
        <w:rPr>
          <w:rStyle w:val="FootnoteReference"/>
        </w:rPr>
        <w:footnoteReference w:id="121"/>
      </w:r>
      <w:r>
        <w:t xml:space="preserve">) is to be used for all WIS2 download workflows.</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bookmarkEnd w:id="123"/>
    <w:bookmarkEnd w:id="124"/>
    <w:bookmarkStart w:id="147" w:name="X3ae7ce42c49b488ea5ce867cd5204228fbe6cae"/>
    <w:p>
      <w:pPr>
        <w:pStyle w:val="Heading2"/>
      </w:pPr>
      <w:r>
        <w:t xml:space="preserve">2.6 Implementation and operation of a WIS2 Node</w:t>
      </w:r>
    </w:p>
    <w:bookmarkStart w:id="140" w:name="X4ee010be1464117bc3c084444577b93b6bb19d4"/>
    <w:p>
      <w:pPr>
        <w:pStyle w:val="Heading3"/>
      </w:pPr>
      <w:r>
        <w:t xml:space="preserve">2.6.1 Practices and procedures</w:t>
      </w:r>
    </w:p>
    <w:bookmarkStart w:id="128" w:name="X3feb474c705f93907a17142db58eea3410111d2"/>
    <w:p>
      <w:pPr>
        <w:pStyle w:val="Heading4"/>
      </w:pPr>
      <w:r>
        <w:t xml:space="preserve">2.6.1.1 Registration and decommissioning of a WIS2 Node</w:t>
      </w:r>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6"/>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6"/>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6"/>
        </w:numPr>
      </w:pPr>
      <w:r>
        <w:t xml:space="preserve">Complete the WIS2 register: The WIS NFP shall complete the WIS2 register maintained by the WMO Secretariat.</w:t>
      </w:r>
    </w:p>
    <w:p>
      <w:pPr>
        <w:numPr>
          <w:ilvl w:val="0"/>
          <w:numId w:val="1036"/>
        </w:numPr>
      </w:pPr>
      <w:r>
        <w:t xml:space="preserve">Provide details of the Global Service: The WMO Secretariat provides connection details (such as IP addresses) for the Global Services so that the WIS2 Node can be configured to provide access.</w:t>
      </w:r>
    </w:p>
    <w:p>
      <w:pPr>
        <w:numPr>
          <w:ilvl w:val="0"/>
          <w:numId w:val="1036"/>
        </w:numPr>
      </w:pPr>
      <w:r>
        <w:t xml:space="preserve">WIS2 Node assessment: The principal GISC verifies that the WIS2 Node is compliant with WIS2 requirements. This assessment includes:</w:t>
      </w:r>
    </w:p>
    <w:p>
      <w:pPr>
        <w:numPr>
          <w:ilvl w:val="1"/>
          <w:numId w:val="1037"/>
        </w:numPr>
      </w:pPr>
      <w:r>
        <w:t xml:space="preserve">Verification of compliance of the topics used by the centre with the WTH specification;</w:t>
      </w:r>
    </w:p>
    <w:p>
      <w:pPr>
        <w:numPr>
          <w:ilvl w:val="1"/>
          <w:numId w:val="1037"/>
        </w:numPr>
      </w:pPr>
      <w:r>
        <w:t xml:space="preserve">Verification of compliance of notification messages with the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6"/>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Adding a WIS2 Node" title="" id="126" name="Picture"/>
            <a:graphic>
              <a:graphicData uri="http://schemas.openxmlformats.org/drawingml/2006/picture">
                <pic:pic>
                  <pic:nvPicPr>
                    <pic:cNvPr descr="images/add-wis2node.png" id="127" name="Picture"/>
                    <pic:cNvPicPr>
                      <a:picLocks noChangeArrowheads="1" noChangeAspect="1"/>
                    </pic:cNvPicPr>
                  </pic:nvPicPr>
                  <pic:blipFill>
                    <a:blip r:embed="rId125"/>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051e310d7e625aa45f193b489aa4a4179af83e2">
        <w:r>
          <w:rPr>
            <w:rStyle w:val="Hyperlink"/>
          </w:rPr>
          <w:t xml:space="preserve">1.3.3 How to provide data to WIS2</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bookmarkEnd w:id="128"/>
    <w:bookmarkStart w:id="134" w:name="X99c7798f2bd8131f2d0a393cbc3007df1a1d19a"/>
    <w:p>
      <w:pPr>
        <w:pStyle w:val="Heading4"/>
      </w:pPr>
      <w:r>
        <w:t xml:space="preserve">2.6.1.2 Guidance on assigning a centre identifier for a WIS2 Node</w:t>
      </w:r>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Cs/>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Cs/>
          <w:b/>
        </w:rPr>
        <w:t xml:space="preserve">Token 1</w:t>
      </w:r>
      <w:r>
        <w:t xml:space="preserve"> </w:t>
      </w:r>
      <w:r>
        <w:t xml:space="preserve">is a Top Level Domain (TLD) defined by the Internet Assigned Numbers Authority (IANA).</w:t>
      </w:r>
      <w:r>
        <w:rPr>
          <w:rStyle w:val="FootnoteReference"/>
        </w:rPr>
        <w:footnoteReference w:id="129"/>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Cs/>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1"/>
      </w:r>
      <w:r>
        <w:t xml:space="preserve"> </w:t>
      </w:r>
      <w:r>
        <w:t xml:space="preserve">so “metoffice” is better than “ukmo”.</w:t>
      </w:r>
      <w:r>
        <w:rPr>
          <w:rStyle w:val="FootnoteReference"/>
        </w:rPr>
        <w:footnoteReference w:id="133"/>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8"/>
        </w:numPr>
      </w:pPr>
      <w:r>
        <w:rPr>
          <w:rStyle w:val="VerbatimChar"/>
        </w:rPr>
        <w:t xml:space="preserve">uk-metoffice-nmc</w:t>
      </w:r>
      <w:r>
        <w:t xml:space="preserve">;</w:t>
      </w:r>
    </w:p>
    <w:p>
      <w:pPr>
        <w:numPr>
          <w:ilvl w:val="0"/>
          <w:numId w:val="1038"/>
        </w:numPr>
      </w:pPr>
      <w:r>
        <w:rPr>
          <w:rStyle w:val="VerbatimChar"/>
        </w:rPr>
        <w:t xml:space="preserve">uk-metoffice-vaac</w:t>
      </w:r>
      <w:r>
        <w:t xml:space="preserve">;</w:t>
      </w:r>
    </w:p>
    <w:p>
      <w:pPr>
        <w:numPr>
          <w:ilvl w:val="0"/>
          <w:numId w:val="1038"/>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bookmarkEnd w:id="134"/>
    <w:bookmarkStart w:id="139" w:name="X78739206042da67e0875637bd2870b66ff92349"/>
    <w:p>
      <w:pPr>
        <w:pStyle w:val="Heading4"/>
      </w:pPr>
      <w:r>
        <w:t xml:space="preserve">2.6.1.3 Authentication, authorization, and access control for a WIS2 Node</w:t>
      </w:r>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5"/>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6"/>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7"/>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38"/>
      </w:r>
    </w:p>
    <w:bookmarkEnd w:id="139"/>
    <w:bookmarkEnd w:id="140"/>
    <w:bookmarkStart w:id="143" w:name="Xabf0f0606a54515fd36e27283a088e8c8cfddf4"/>
    <w:p>
      <w:pPr>
        <w:pStyle w:val="Heading3"/>
      </w:pPr>
      <w:r>
        <w:t xml:space="preserve">2.6.2 Performance management</w:t>
      </w:r>
    </w:p>
    <w:bookmarkStart w:id="141" w:name="X3a5ca7279f3e88614c0c4d86cf39e61b4c78d5d"/>
    <w:p>
      <w:pPr>
        <w:pStyle w:val="Heading4"/>
      </w:pPr>
      <w:r>
        <w:t xml:space="preserve">2.6.2.1 Service levels and performance indicators</w:t>
      </w:r>
    </w:p>
    <w:p>
      <w:pPr>
        <w:pStyle w:val="FirstParagraph"/>
      </w:pPr>
      <w:r>
        <w:t xml:space="preserve">A WIS2 Node must be able to publish datasets and compliant discovery metadata. This entails:</w:t>
      </w:r>
    </w:p>
    <w:p>
      <w:pPr>
        <w:numPr>
          <w:ilvl w:val="0"/>
          <w:numId w:val="1039"/>
        </w:numPr>
      </w:pPr>
      <w:r>
        <w:t xml:space="preserve">Publishing metadata to the Global Data Catalogue;</w:t>
      </w:r>
    </w:p>
    <w:p>
      <w:pPr>
        <w:numPr>
          <w:ilvl w:val="0"/>
          <w:numId w:val="1039"/>
        </w:numPr>
      </w:pPr>
      <w:r>
        <w:t xml:space="preserve">Publishing core data to the Global Cache;</w:t>
      </w:r>
    </w:p>
    <w:p>
      <w:pPr>
        <w:numPr>
          <w:ilvl w:val="0"/>
          <w:numId w:val="1039"/>
        </w:numPr>
      </w:pPr>
      <w:r>
        <w:t xml:space="preserve">Publishing data for consumer access;</w:t>
      </w:r>
    </w:p>
    <w:p>
      <w:pPr>
        <w:numPr>
          <w:ilvl w:val="0"/>
          <w:numId w:val="1039"/>
        </w:numPr>
      </w:pPr>
      <w:r>
        <w:t xml:space="preserve">Publishing data embedded in a message (for example, Common Alerting Protocol (CAP) warnings);</w:t>
      </w:r>
    </w:p>
    <w:p>
      <w:pPr>
        <w:numPr>
          <w:ilvl w:val="0"/>
          <w:numId w:val="1039"/>
        </w:numPr>
      </w:pPr>
      <w:r>
        <w:t xml:space="preserve">Receiving metadata publication errors from the Global Data Catalogue;</w:t>
      </w:r>
    </w:p>
    <w:p>
      <w:pPr>
        <w:numPr>
          <w:ilvl w:val="0"/>
          <w:numId w:val="1039"/>
        </w:numPr>
      </w:pPr>
      <w:r>
        <w:t xml:space="preserve">Providing metadata with topics to Global Brokers.</w:t>
      </w:r>
    </w:p>
    <w:bookmarkEnd w:id="141"/>
    <w:bookmarkStart w:id="142" w:name="X99cd64cfab04ee5ad9795399cb243ac14435999"/>
    <w:p>
      <w:pPr>
        <w:pStyle w:val="Heading4"/>
      </w:pPr>
      <w:r>
        <w:t xml:space="preserve">2.6.2.2 System performance metrics</w:t>
      </w:r>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bookmarkEnd w:id="142"/>
    <w:bookmarkEnd w:id="143"/>
    <w:bookmarkStart w:id="146" w:name="X2e83bb7a6e2888c8d429ad5d588651767d145d0"/>
    <w:p>
      <w:pPr>
        <w:pStyle w:val="Heading3"/>
      </w:pPr>
      <w:r>
        <w:t xml:space="preserve">2.6.3 WIS2 Node reference implementation: WIS2 in a box</w:t>
      </w:r>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40"/>
        </w:numPr>
      </w:pPr>
      <w:r>
        <w:t xml:space="preserve">Configuration, generation and publication of data (real-time or archive) and metadata to WIS2, compliant to WIS2 Node requirements</w:t>
      </w:r>
    </w:p>
    <w:p>
      <w:pPr>
        <w:numPr>
          <w:ilvl w:val="0"/>
          <w:numId w:val="1040"/>
        </w:numPr>
      </w:pPr>
      <w:r>
        <w:t xml:space="preserve">MQTT Message Broker and notification message publication (subscribe);</w:t>
      </w:r>
    </w:p>
    <w:p>
      <w:pPr>
        <w:numPr>
          <w:ilvl w:val="0"/>
          <w:numId w:val="1040"/>
        </w:numPr>
      </w:pPr>
      <w:r>
        <w:t xml:space="preserve">HTTP object storage and raw data access (download);</w:t>
      </w:r>
    </w:p>
    <w:p>
      <w:pPr>
        <w:numPr>
          <w:ilvl w:val="0"/>
          <w:numId w:val="1040"/>
        </w:numPr>
      </w:pPr>
      <w:r>
        <w:t xml:space="preserve">Station metadata curation/editing tools (user interface);</w:t>
      </w:r>
    </w:p>
    <w:p>
      <w:pPr>
        <w:numPr>
          <w:ilvl w:val="0"/>
          <w:numId w:val="1040"/>
        </w:numPr>
      </w:pPr>
      <w:r>
        <w:t xml:space="preserve">Discovery metadata curation/editing tools (user interface);</w:t>
      </w:r>
    </w:p>
    <w:p>
      <w:pPr>
        <w:numPr>
          <w:ilvl w:val="0"/>
          <w:numId w:val="1040"/>
        </w:numPr>
      </w:pPr>
      <w:r>
        <w:t xml:space="preserve">Data entry tools (user interface);</w:t>
      </w:r>
    </w:p>
    <w:p>
      <w:pPr>
        <w:numPr>
          <w:ilvl w:val="0"/>
          <w:numId w:val="1040"/>
        </w:numPr>
      </w:pPr>
      <w:r>
        <w:t xml:space="preserve">OGC API server, providing dynamic APIs for discovery, access, visualization and processing functionality (APIs);</w:t>
      </w:r>
    </w:p>
    <w:p>
      <w:pPr>
        <w:numPr>
          <w:ilvl w:val="0"/>
          <w:numId w:val="1040"/>
        </w:numPr>
      </w:pPr>
      <w:r>
        <w:t xml:space="preserve">Extensible data "pipelines", allowing for the transformation, processing and publishing of additional data types;</w:t>
      </w:r>
    </w:p>
    <w:p>
      <w:pPr>
        <w:numPr>
          <w:ilvl w:val="0"/>
          <w:numId w:val="1040"/>
        </w:numPr>
      </w:pPr>
      <w:r>
        <w:t xml:space="preserve">Provision of system performance and data availability metrics;</w:t>
      </w:r>
    </w:p>
    <w:p>
      <w:pPr>
        <w:numPr>
          <w:ilvl w:val="0"/>
          <w:numId w:val="1040"/>
        </w:numPr>
      </w:pPr>
      <w:r>
        <w:t xml:space="preserve">Access control for publication of recommended data, as required;</w:t>
      </w:r>
    </w:p>
    <w:p>
      <w:pPr>
        <w:numPr>
          <w:ilvl w:val="0"/>
          <w:numId w:val="1040"/>
        </w:numPr>
      </w:pPr>
      <w:r>
        <w:t xml:space="preserve">Subscription to notifications and download of WIS data from Global Services;</w:t>
      </w:r>
    </w:p>
    <w:p>
      <w:pPr>
        <w:numPr>
          <w:ilvl w:val="0"/>
          <w:numId w:val="1040"/>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4">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5">
        <w:r>
          <w:rPr>
            <w:rStyle w:val="Hyperlink"/>
          </w:rPr>
          <w:t xml:space="preserve">https://github.com/wmo-im/wis2box</w:t>
        </w:r>
      </w:hyperlink>
      <w:r>
        <w:t xml:space="preserve">.</w:t>
      </w:r>
    </w:p>
    <w:bookmarkEnd w:id="146"/>
    <w:bookmarkEnd w:id="147"/>
    <w:bookmarkStart w:id="171" w:name="Xfc2b1d051d5059ca26800679264bdec2476b811"/>
    <w:p>
      <w:pPr>
        <w:pStyle w:val="Heading2"/>
      </w:pPr>
      <w:r>
        <w:t xml:space="preserve">2.7 Implementation and operation of a Global Service</w:t>
      </w:r>
    </w:p>
    <w:bookmarkStart w:id="148" w:name="Xe80043550b9fadc80e16b14b387d07bb06f7498"/>
    <w:p>
      <w:pPr>
        <w:pStyle w:val="Heading3"/>
      </w:pPr>
      <w:r>
        <w:t xml:space="preserve">2.7.1 Procedure for registering a new Global Service</w:t>
      </w:r>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41"/>
        </w:numPr>
      </w:pPr>
      <w:r>
        <w:t xml:space="preserve">Three Global Brokers, with each Global Broker connected to at least two other Global Brokers;</w:t>
      </w:r>
    </w:p>
    <w:p>
      <w:pPr>
        <w:numPr>
          <w:ilvl w:val="0"/>
          <w:numId w:val="1041"/>
        </w:numPr>
      </w:pPr>
      <w:r>
        <w:t xml:space="preserve">Three Global Caches, with each Global Cache connected to at least two Global Brokers and capable of downloading data from all WIS2 Nodes providing core data;</w:t>
      </w:r>
    </w:p>
    <w:p>
      <w:pPr>
        <w:numPr>
          <w:ilvl w:val="0"/>
          <w:numId w:val="1041"/>
        </w:numPr>
      </w:pPr>
      <w:r>
        <w:t xml:space="preserve">Two Global Discovery Catalogues, with each Global Discovery Catalogue connected to at least one Global Broker;</w:t>
      </w:r>
    </w:p>
    <w:p>
      <w:pPr>
        <w:numPr>
          <w:ilvl w:val="0"/>
          <w:numId w:val="1041"/>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Cs/>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bookmarkEnd w:id="148"/>
    <w:bookmarkStart w:id="157" w:name="X6c9286f3864f97cda2ea62bd0fb4492c6ebab7b"/>
    <w:p>
      <w:pPr>
        <w:pStyle w:val="Heading3"/>
      </w:pPr>
      <w:r>
        <w:t xml:space="preserve">2.7.2 Performance management and monitoring of a Global Service</w:t>
      </w:r>
    </w:p>
    <w:bookmarkStart w:id="154" w:name="Xcec45063fc0a6464b752cf9181a1d06b7acc4ee"/>
    <w:p>
      <w:pPr>
        <w:pStyle w:val="Heading4"/>
      </w:pPr>
      <w:r>
        <w:t xml:space="preserve">2.7.2.1 Monitoring and metrics for WIS2 operations</w:t>
      </w:r>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49"/>
      </w:r>
      <w:r>
        <w:t xml:space="preserve"> </w:t>
      </w:r>
      <w:r>
        <w:t xml:space="preserve">– the widely adopted, de-facto standard</w:t>
      </w:r>
      <w:r>
        <w:rPr>
          <w:rStyle w:val="FootnoteReference"/>
        </w:rPr>
        <w:footnoteReference w:id="151"/>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2"/>
      </w:r>
    </w:p>
    <w:bookmarkEnd w:id="154"/>
    <w:bookmarkStart w:id="155" w:name="Xd362b0b9e354783553b6aa5c019d97d28e1bf73"/>
    <w:p>
      <w:pPr>
        <w:pStyle w:val="Heading4"/>
      </w:pPr>
      <w:r>
        <w:t xml:space="preserve">2.7.2.2 Service levels, performance indicators, and fair usage policies</w:t>
      </w:r>
    </w:p>
    <w:p>
      <w:pPr>
        <w:numPr>
          <w:ilvl w:val="0"/>
          <w:numId w:val="1042"/>
        </w:numPr>
      </w:pPr>
      <w:r>
        <w:t xml:space="preserve">Each WIS centre operating a WIS2 Node is responsible for achieving the highest possible level of service based on its resources and capabilities.</w:t>
      </w:r>
    </w:p>
    <w:p>
      <w:pPr>
        <w:numPr>
          <w:ilvl w:val="0"/>
          <w:numId w:val="1042"/>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42"/>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42"/>
        </w:numPr>
      </w:pPr>
      <w:r>
        <w:t xml:space="preserve">A Global Broker:</w:t>
      </w:r>
    </w:p>
    <w:p>
      <w:pPr>
        <w:numPr>
          <w:ilvl w:val="1"/>
          <w:numId w:val="1043"/>
        </w:numPr>
      </w:pPr>
      <w:r>
        <w:t xml:space="preserve">Should support a minimum of 200 WIS2 Nodes or Global Services;</w:t>
      </w:r>
    </w:p>
    <w:p>
      <w:pPr>
        <w:numPr>
          <w:ilvl w:val="1"/>
          <w:numId w:val="1043"/>
        </w:numPr>
      </w:pPr>
      <w:r>
        <w:t xml:space="preserve">Should support a minimum of 1 000 subscribers;</w:t>
      </w:r>
    </w:p>
    <w:p>
      <w:pPr>
        <w:numPr>
          <w:ilvl w:val="1"/>
          <w:numId w:val="1043"/>
        </w:numPr>
      </w:pPr>
      <w:r>
        <w:t xml:space="preserve">Should support the processing of a minimum of 10 000 messages per second.</w:t>
      </w:r>
    </w:p>
    <w:p>
      <w:pPr>
        <w:numPr>
          <w:ilvl w:val="0"/>
          <w:numId w:val="1042"/>
        </w:numPr>
      </w:pPr>
      <w:r>
        <w:t xml:space="preserve">A Global Cache:</w:t>
      </w:r>
    </w:p>
    <w:p>
      <w:pPr>
        <w:numPr>
          <w:ilvl w:val="1"/>
          <w:numId w:val="1044"/>
        </w:numPr>
      </w:pPr>
      <w:r>
        <w:t xml:space="preserve">Should support a minimum of 100 GB of data in the cache;</w:t>
      </w:r>
    </w:p>
    <w:p>
      <w:pPr>
        <w:numPr>
          <w:ilvl w:val="1"/>
          <w:numId w:val="1044"/>
        </w:numPr>
      </w:pPr>
      <w:r>
        <w:t xml:space="preserve">Should support a minimum of 1 000 simultaneous downloads;</w:t>
      </w:r>
    </w:p>
    <w:p>
      <w:pPr>
        <w:numPr>
          <w:ilvl w:val="1"/>
          <w:numId w:val="1044"/>
        </w:numPr>
      </w:pPr>
      <w:r>
        <w:t xml:space="preserve">Could limit the number of simultaneous connections from a user (known by its originating source IP) to five;</w:t>
      </w:r>
    </w:p>
    <w:p>
      <w:pPr>
        <w:numPr>
          <w:ilvl w:val="1"/>
          <w:numId w:val="1044"/>
        </w:numPr>
      </w:pPr>
      <w:r>
        <w:t xml:space="preserve">Could limit the bandwidth usage of the service to 1 Gb/s.</w:t>
      </w:r>
    </w:p>
    <w:p>
      <w:pPr>
        <w:numPr>
          <w:ilvl w:val="0"/>
          <w:numId w:val="1042"/>
        </w:numPr>
      </w:pPr>
      <w:r>
        <w:t xml:space="preserve">A Global Monitor:</w:t>
      </w:r>
    </w:p>
    <w:p>
      <w:pPr>
        <w:numPr>
          <w:ilvl w:val="1"/>
          <w:numId w:val="1045"/>
        </w:numPr>
      </w:pPr>
      <w:r>
        <w:t xml:space="preserve">Should support a minimum of 50 metrics providers;</w:t>
      </w:r>
    </w:p>
    <w:p>
      <w:pPr>
        <w:numPr>
          <w:ilvl w:val="1"/>
          <w:numId w:val="1045"/>
        </w:numPr>
      </w:pPr>
      <w:r>
        <w:t xml:space="preserve">Should support 200 simultaneous "access" to the dashboard;</w:t>
      </w:r>
    </w:p>
    <w:p>
      <w:pPr>
        <w:numPr>
          <w:ilvl w:val="1"/>
          <w:numId w:val="1045"/>
        </w:numPr>
      </w:pPr>
      <w:r>
        <w:t xml:space="preserve">Could limit the bandwidth usage of the service to 100 Mb/s.</w:t>
      </w:r>
    </w:p>
    <w:p>
      <w:pPr>
        <w:numPr>
          <w:ilvl w:val="0"/>
          <w:numId w:val="1042"/>
        </w:numPr>
      </w:pPr>
      <w:r>
        <w:t xml:space="preserve">A Global Discovery Catalogue:</w:t>
      </w:r>
    </w:p>
    <w:p>
      <w:pPr>
        <w:numPr>
          <w:ilvl w:val="1"/>
          <w:numId w:val="1046"/>
        </w:numPr>
      </w:pPr>
      <w:r>
        <w:t xml:space="preserve">Should support a minimum of 20 000 metadata records;</w:t>
      </w:r>
    </w:p>
    <w:p>
      <w:pPr>
        <w:numPr>
          <w:ilvl w:val="1"/>
          <w:numId w:val="1046"/>
        </w:numPr>
      </w:pPr>
      <w:r>
        <w:t xml:space="preserve">Should support a minimum of 50 requests per second to the API endpoint.</w:t>
      </w:r>
    </w:p>
    <w:bookmarkEnd w:id="155"/>
    <w:bookmarkStart w:id="156" w:name="X507ac0836320eefc09ee976b33bc54ea2328c5f"/>
    <w:p>
      <w:pPr>
        <w:pStyle w:val="Heading4"/>
      </w:pPr>
      <w:r>
        <w:t xml:space="preserve">2.7.2.3 Metrics for Global Services</w:t>
      </w:r>
    </w:p>
    <w:p>
      <w:pPr>
        <w:pStyle w:val="FirstParagraph"/>
      </w:pPr>
      <w:r>
        <w:t xml:space="preserve">In the following sections, and for each Global Service, a set of metrics is defined. Each Global Service will provide those metrics. They will then be ingested by the Global Monitor.</w:t>
      </w:r>
    </w:p>
    <w:bookmarkEnd w:id="156"/>
    <w:bookmarkEnd w:id="157"/>
    <w:bookmarkStart w:id="159" w:name="Xfcc4be4805698cc05bd4c15ebadc91a96d644ff"/>
    <w:p>
      <w:pPr>
        <w:pStyle w:val="Heading3"/>
      </w:pPr>
      <w:r>
        <w:t xml:space="preserve">2.7.3 Global Broker</w:t>
      </w:r>
    </w:p>
    <w:bookmarkStart w:id="158" w:name="X1743ecdc5ae40c6a768ea9d4a6e7d6853856958"/>
    <w:p>
      <w:pPr>
        <w:pStyle w:val="Heading4"/>
      </w:pPr>
      <w:r>
        <w:t xml:space="preserve">2.7.3.1 Technical considerations</w:t>
      </w:r>
    </w:p>
    <w:p>
      <w:pPr>
        <w:numPr>
          <w:ilvl w:val="0"/>
          <w:numId w:val="1047"/>
        </w:numPr>
      </w:pPr>
      <w:r>
        <w:t xml:space="preserve">As detailed above, there will be at least three Global Brokers to ensure that messages within WIS2 are highly available and delivered globally with low latency.</w:t>
      </w:r>
    </w:p>
    <w:p>
      <w:pPr>
        <w:numPr>
          <w:ilvl w:val="0"/>
          <w:numId w:val="1047"/>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7"/>
        </w:numPr>
      </w:pPr>
      <w:r>
        <w:t xml:space="preserve">Every WIS2 Node or Global Service must have subscriptions from at least two Global Brokers.</w:t>
      </w:r>
    </w:p>
    <w:p>
      <w:pPr>
        <w:numPr>
          <w:ilvl w:val="0"/>
          <w:numId w:val="1047"/>
        </w:numPr>
      </w:pPr>
      <w:r>
        <w:t xml:space="preserve">For full global coverage, a Global Broker will subscribe to messages from at least two other Global Brokers.</w:t>
      </w:r>
    </w:p>
    <w:p>
      <w:pPr>
        <w:numPr>
          <w:ilvl w:val="0"/>
          <w:numId w:val="1047"/>
        </w:numPr>
      </w:pPr>
      <w:r>
        <w:t xml:space="preserve">When subscribing to messages from WIS2 Nodes and other Global Services, a Global Broker must authenticate using the valid credentials managed by the WIS centre and available at WMO Secretariat.</w:t>
      </w:r>
    </w:p>
    <w:p>
      <w:pPr>
        <w:numPr>
          <w:ilvl w:val="0"/>
          <w:numId w:val="1047"/>
        </w:numPr>
      </w:pPr>
      <w:r>
        <w:t xml:space="preserve">A Global Broker is built around two software components:</w:t>
      </w:r>
    </w:p>
    <w:p>
      <w:pPr>
        <w:numPr>
          <w:ilvl w:val="1"/>
          <w:numId w:val="1048"/>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8"/>
        </w:numPr>
      </w:pPr>
      <w:r>
        <w:t xml:space="preserve">Additional features, including anti-loop detection, notification message format compliance, validation of the published topic, and metrics provision.</w:t>
      </w:r>
    </w:p>
    <w:p>
      <w:pPr>
        <w:numPr>
          <w:ilvl w:val="0"/>
          <w:numId w:val="1047"/>
        </w:numPr>
      </w:pPr>
      <w:r>
        <w:t xml:space="preserve">When receiving a message from a local WIS centre broker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7"/>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7"/>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7"/>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7"/>
        </w:numPr>
      </w:pPr>
      <w:r>
        <w:t xml:space="preserve">A Global Broker will validate notification messages against the standard format (see</w:t>
      </w:r>
      <w:r>
        <w:t xml:space="preserve"> </w:t>
      </w:r>
      <w:r>
        <w:rPr>
          <w:iCs/>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7"/>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7"/>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7"/>
        </w:numPr>
      </w:pPr>
      <w:r>
        <w:t xml:space="preserve">All above-defined metrics will be made available on HTTPS endpoints that the Global Monitor will ingest from regularly.</w:t>
      </w:r>
    </w:p>
    <w:p>
      <w:pPr>
        <w:numPr>
          <w:ilvl w:val="0"/>
          <w:numId w:val="1047"/>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7"/>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bookmarkEnd w:id="158"/>
    <w:bookmarkEnd w:id="159"/>
    <w:bookmarkStart w:id="163" w:name="Xed0972fd7a2c474005a807d834e55b7c67c335b"/>
    <w:p>
      <w:pPr>
        <w:pStyle w:val="Heading3"/>
      </w:pPr>
      <w:r>
        <w:t xml:space="preserve">2.7.4 Global Cache</w:t>
      </w:r>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bookmarkStart w:id="160" w:name="X9c5e2e4a13ef58aa69d25e04cf77a45be046e40"/>
    <w:p>
      <w:pPr>
        <w:pStyle w:val="Heading4"/>
      </w:pPr>
      <w:r>
        <w:t xml:space="preserve">2.7.4.1 Technical considerations</w:t>
      </w:r>
    </w:p>
    <w:p>
      <w:pPr>
        <w:numPr>
          <w:ilvl w:val="0"/>
          <w:numId w:val="1049"/>
        </w:numPr>
      </w:pPr>
      <w:r>
        <w:t xml:space="preserve">A Global Cache is built around three software components:</w:t>
      </w:r>
    </w:p>
    <w:p>
      <w:pPr>
        <w:numPr>
          <w:ilvl w:val="1"/>
          <w:numId w:val="1050"/>
        </w:numPr>
      </w:pPr>
      <w:r>
        <w:t xml:space="preserve">A highly available data server allowing data consumers to download cache resources with high bandwidth and low latency;</w:t>
      </w:r>
    </w:p>
    <w:p>
      <w:pPr>
        <w:numPr>
          <w:ilvl w:val="1"/>
          <w:numId w:val="1050"/>
        </w:numPr>
      </w:pPr>
      <w:r>
        <w:t xml:space="preserve">A Message Broker implementing both MQTTv3.1.1 and MQTTv5 to publish notification messages about resources that are available from the Global Cache;</w:t>
      </w:r>
    </w:p>
    <w:p>
      <w:pPr>
        <w:numPr>
          <w:ilvl w:val="1"/>
          <w:numId w:val="1050"/>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9"/>
        </w:numPr>
      </w:pPr>
      <w:r>
        <w:t xml:space="preserve">A Global Cache will aim to contain copies of real-time and near real-time data designated as "core" within the WMO Unified Data Policy (Resolution 1 (Cg-Ext(2021))).</w:t>
      </w:r>
    </w:p>
    <w:p>
      <w:pPr>
        <w:numPr>
          <w:ilvl w:val="0"/>
          <w:numId w:val="1049"/>
        </w:numPr>
      </w:pPr>
      <w:r>
        <w:t xml:space="preserve">A Global Cache will host data objects copied from NCs/DCPCs.</w:t>
      </w:r>
    </w:p>
    <w:p>
      <w:pPr>
        <w:numPr>
          <w:ilvl w:val="0"/>
          <w:numId w:val="1049"/>
        </w:numPr>
      </w:pPr>
      <w:r>
        <w:t xml:space="preserve">A Global Cache will publish notification messages advertising the availability of the data objects it holds. The notification messages will follow the standard structure (see</w:t>
      </w:r>
      <w:r>
        <w:t xml:space="preserve"> </w:t>
      </w:r>
      <w:r>
        <w:rPr>
          <w:iCs/>
          <w:i/>
        </w:rPr>
        <w:t xml:space="preserve">Manual on WIS</w:t>
      </w:r>
      <w:r>
        <w:t xml:space="preserve">, Volume II -Appendix E. WIS2 Notification Message).</w:t>
      </w:r>
    </w:p>
    <w:p>
      <w:pPr>
        <w:numPr>
          <w:ilvl w:val="0"/>
          <w:numId w:val="1049"/>
        </w:numPr>
      </w:pPr>
      <w:r>
        <w:t xml:space="preserve">A Global Cache will use the standard topic structure in its local Message Brokers (see</w:t>
      </w:r>
      <w:r>
        <w:t xml:space="preserve"> </w:t>
      </w:r>
      <w:r>
        <w:rPr>
          <w:iCs/>
          <w:i/>
        </w:rPr>
        <w:t xml:space="preserve">Manual on WIS</w:t>
      </w:r>
      <w:r>
        <w:t xml:space="preserve">, Volume II - Appendix D. WIS2 Topic Hierarchy).</w:t>
      </w:r>
    </w:p>
    <w:p>
      <w:pPr>
        <w:numPr>
          <w:ilvl w:val="0"/>
          <w:numId w:val="1049"/>
        </w:numPr>
      </w:pPr>
      <w:r>
        <w:t xml:space="preserve">A Global Cache will publish to the topic</w:t>
      </w:r>
      <w:r>
        <w:t xml:space="preserve"> </w:t>
      </w:r>
      <w:r>
        <w:rPr>
          <w:rStyle w:val="VerbatimChar"/>
        </w:rPr>
        <w:t xml:space="preserve">cache/a/wis2/…​</w:t>
      </w:r>
      <w:r>
        <w:t xml:space="preserve">.</w:t>
      </w:r>
    </w:p>
    <w:p>
      <w:pPr>
        <w:numPr>
          <w:ilvl w:val="0"/>
          <w:numId w:val="1049"/>
        </w:numPr>
      </w:pPr>
      <w:r>
        <w:t xml:space="preserve">There will be multiple Global Cache to ensure the highly available, low-latency global provision of real-time and near-real-time core data within WIS2.</w:t>
      </w:r>
    </w:p>
    <w:p>
      <w:pPr>
        <w:numPr>
          <w:ilvl w:val="0"/>
          <w:numId w:val="1049"/>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9"/>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9"/>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9"/>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9"/>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9"/>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9"/>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its GISC to remedy this issue.</w:t>
      </w:r>
    </w:p>
    <w:p>
      <w:pPr>
        <w:numPr>
          <w:ilvl w:val="0"/>
          <w:numId w:val="1049"/>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9"/>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9"/>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9"/>
        </w:numPr>
      </w:pPr>
      <w:r>
        <w:t xml:space="preserve">As a convention, the Global Cache centre-id will be</w:t>
      </w:r>
      <w:r>
        <w:t xml:space="preserve"> </w:t>
      </w:r>
      <w:r>
        <w:rPr>
          <w:rStyle w:val="VerbatimChar"/>
        </w:rPr>
        <w:t xml:space="preserve">tld-{centre-name}-global-cache</w:t>
      </w:r>
      <w:r>
        <w:t xml:space="preserve">.</w:t>
      </w:r>
    </w:p>
    <w:bookmarkEnd w:id="160"/>
    <w:bookmarkStart w:id="162" w:name="Xccc1cebb6c94847684ab046188074f284443b3a"/>
    <w:p>
      <w:pPr>
        <w:pStyle w:val="Heading4"/>
      </w:pPr>
      <w:r>
        <w:t xml:space="preserve">2.7.4.2 Practices and procedures</w:t>
      </w:r>
    </w:p>
    <w:p>
      <w:pPr>
        <w:numPr>
          <w:ilvl w:val="0"/>
          <w:numId w:val="1051"/>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51"/>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1"/>
      </w:r>
    </w:p>
    <w:p>
      <w:pPr>
        <w:numPr>
          <w:ilvl w:val="0"/>
          <w:numId w:val="1051"/>
        </w:numPr>
      </w:pPr>
      <w:r>
        <w:t xml:space="preserve">A Global Cache shall retain the data and metadata it receives for a minimum of 24 hours. Requirements relating to varying retention times for different types of data may be added later.</w:t>
      </w:r>
    </w:p>
    <w:p>
      <w:pPr>
        <w:numPr>
          <w:ilvl w:val="0"/>
          <w:numId w:val="1051"/>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2"/>
        </w:numPr>
      </w:pPr>
      <w:r>
        <w:t xml:space="preserve">If the message contains the property</w:t>
      </w:r>
      <w:r>
        <w:t xml:space="preserve"> </w:t>
      </w:r>
      <w:r>
        <w:rPr>
          <w:rStyle w:val="VerbatimChar"/>
        </w:rPr>
        <w:t xml:space="preserve">"properties.cache": false</w:t>
      </w:r>
      <w:r>
        <w:t xml:space="preserve">,</w:t>
      </w:r>
    </w:p>
    <w:p>
      <w:pPr>
        <w:numPr>
          <w:ilvl w:val="2"/>
          <w:numId w:val="1053"/>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2"/>
        </w:numPr>
      </w:pPr>
      <w:r>
        <w:t xml:space="preserve">Else</w:t>
      </w:r>
    </w:p>
    <w:p>
      <w:pPr>
        <w:numPr>
          <w:ilvl w:val="2"/>
          <w:numId w:val="1054"/>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4"/>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4"/>
        </w:numPr>
      </w:pPr>
      <w:r>
        <w:t xml:space="preserve">If the message is new or updated:</w:t>
      </w:r>
    </w:p>
    <w:p>
      <w:pPr>
        <w:numPr>
          <w:ilvl w:val="3"/>
          <w:numId w:val="1055"/>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5"/>
        </w:numPr>
      </w:pPr>
      <w:r>
        <w:t xml:space="preserve">If the message contains an integrity value for the data, verify the integrity of the data;</w:t>
      </w:r>
    </w:p>
    <w:p>
      <w:pPr>
        <w:numPr>
          <w:ilvl w:val="3"/>
          <w:numId w:val="1055"/>
        </w:numPr>
      </w:pPr>
      <w:r>
        <w:t xml:space="preserve">If data is downloaded successfully, move the data to the HTTP endpoint of the Global Cache;</w:t>
      </w:r>
    </w:p>
    <w:p>
      <w:pPr>
        <w:numPr>
          <w:ilvl w:val="3"/>
          <w:numId w:val="1055"/>
        </w:numPr>
      </w:pPr>
      <w:r>
        <w:t xml:space="preserve">Wait until the data becomes available at the endpoint;</w:t>
      </w:r>
    </w:p>
    <w:p>
      <w:pPr>
        <w:numPr>
          <w:ilvl w:val="3"/>
          <w:numId w:val="1055"/>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5"/>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5"/>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4"/>
        </w:numPr>
      </w:pPr>
      <w:r>
        <w:t xml:space="preserve">Else</w:t>
      </w:r>
    </w:p>
    <w:p>
      <w:pPr>
        <w:numPr>
          <w:ilvl w:val="3"/>
          <w:numId w:val="1056"/>
        </w:numPr>
      </w:pPr>
      <w:r>
        <w:t xml:space="preserve">Drop the messages for data already present in the Global Cache.</w:t>
      </w:r>
    </w:p>
    <w:p>
      <w:pPr>
        <w:numPr>
          <w:ilvl w:val="0"/>
          <w:numId w:val="1051"/>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1"/>
        </w:numPr>
      </w:pPr>
      <w:r>
        <w:t xml:space="preserve">A Global Cache shall provide the metric defined in this Guide at an HTTP endpoint.</w:t>
      </w:r>
    </w:p>
    <w:p>
      <w:pPr>
        <w:numPr>
          <w:ilvl w:val="0"/>
          <w:numId w:val="1051"/>
        </w:numPr>
      </w:pPr>
      <w:r>
        <w:t xml:space="preserve">A Global Cache should make sure that data are downloaded in parallel and that downloads are not blocking each other.</w:t>
      </w:r>
    </w:p>
    <w:p>
      <w:pPr>
        <w:numPr>
          <w:ilvl w:val="0"/>
          <w:numId w:val="1051"/>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1"/>
        </w:numPr>
      </w:pPr>
      <w:r>
        <w:t xml:space="preserve">The metric</w:t>
      </w:r>
      <w:r>
        <w:t xml:space="preserve"> </w:t>
      </w:r>
      <w:r>
        <w:rPr>
          <w:rStyle w:val="VerbatimChar"/>
        </w:rPr>
        <w:t xml:space="preserve">wmo_wis2_gc_last_metadata_timestamp_seconds</w:t>
      </w:r>
      <w:r>
        <w:t xml:space="preserve"> </w:t>
      </w:r>
      <w:r>
        <w:t xml:space="preserve">will reflect the datetime (as a timestamp, the number of seconds since the UNIX epoch) of the last metadata resource processed by a given centre.</w:t>
      </w:r>
    </w:p>
    <w:bookmarkEnd w:id="162"/>
    <w:bookmarkEnd w:id="163"/>
    <w:bookmarkStart w:id="168" w:name="Xe83d0dcd18513bbe57a5c411a3835908b8c6b21"/>
    <w:p>
      <w:pPr>
        <w:pStyle w:val="Heading3"/>
      </w:pPr>
      <w:r>
        <w:t xml:space="preserve">2.7.5 Global Discovery Catalogue</w:t>
      </w:r>
    </w:p>
    <w:bookmarkStart w:id="165" w:name="Xb7d6d3d16ef70a3c0bed12e0915cfe71af7259a"/>
    <w:p>
      <w:pPr>
        <w:pStyle w:val="Heading4"/>
      </w:pPr>
      <w:r>
        <w:t xml:space="preserve">2.7.5.1 Technical considerations</w:t>
      </w:r>
    </w:p>
    <w:p>
      <w:pPr>
        <w:numPr>
          <w:ilvl w:val="0"/>
          <w:numId w:val="1057"/>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7"/>
        </w:numPr>
      </w:pPr>
      <w:r>
        <w:t xml:space="preserve">The Global Discovery Catalogue implements the OGC API – Records – Part 1: Core standard</w:t>
      </w:r>
      <w:r>
        <w:rPr>
          <w:rStyle w:val="FootnoteReference"/>
        </w:rPr>
        <w:footnoteReference w:id="164"/>
      </w:r>
      <w:r>
        <w:t xml:space="preserve">, adhering to the following conformance classes and their dependencies:</w:t>
      </w:r>
    </w:p>
    <w:p>
      <w:pPr>
        <w:numPr>
          <w:ilvl w:val="1"/>
          <w:numId w:val="1058"/>
        </w:numPr>
      </w:pPr>
      <w:r>
        <w:t xml:space="preserve">Searchable Catalog (Deployment);</w:t>
      </w:r>
    </w:p>
    <w:p>
      <w:pPr>
        <w:numPr>
          <w:ilvl w:val="1"/>
          <w:numId w:val="1058"/>
        </w:numPr>
      </w:pPr>
      <w:r>
        <w:t xml:space="preserve">Searchable Catalog - Sorting (Deployment);</w:t>
      </w:r>
    </w:p>
    <w:p>
      <w:pPr>
        <w:numPr>
          <w:ilvl w:val="1"/>
          <w:numId w:val="1058"/>
        </w:numPr>
      </w:pPr>
      <w:r>
        <w:t xml:space="preserve">Searchable Catalog - Filtering (Deployment);</w:t>
      </w:r>
    </w:p>
    <w:p>
      <w:pPr>
        <w:numPr>
          <w:ilvl w:val="1"/>
          <w:numId w:val="1058"/>
        </w:numPr>
      </w:pPr>
      <w:r>
        <w:t xml:space="preserve">JSON (Building Block);</w:t>
      </w:r>
    </w:p>
    <w:p>
      <w:pPr>
        <w:numPr>
          <w:ilvl w:val="1"/>
          <w:numId w:val="1058"/>
        </w:numPr>
      </w:pPr>
      <w:r>
        <w:t xml:space="preserve">HTML (Building Block).</w:t>
      </w:r>
    </w:p>
    <w:p>
      <w:pPr>
        <w:numPr>
          <w:ilvl w:val="0"/>
          <w:numId w:val="1057"/>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7"/>
        </w:numPr>
      </w:pPr>
      <w:r>
        <w:t xml:space="preserve">The Global Discovery Catalogue advertises the availability of datasets and how to access them or subscribe to updates.</w:t>
      </w:r>
    </w:p>
    <w:p>
      <w:pPr>
        <w:numPr>
          <w:ilvl w:val="0"/>
          <w:numId w:val="1057"/>
        </w:numPr>
      </w:pPr>
      <w:r>
        <w:t xml:space="preserve">The Global Discovery Catalogue does not advertise or list the availability of individual data objects that comprise a dataset (that is, data files).</w:t>
      </w:r>
    </w:p>
    <w:p>
      <w:pPr>
        <w:numPr>
          <w:ilvl w:val="0"/>
          <w:numId w:val="1057"/>
        </w:numPr>
      </w:pPr>
      <w:r>
        <w:t xml:space="preserve">A single Global Discovery Catalogue is sufficient for WIS2.</w:t>
      </w:r>
    </w:p>
    <w:p>
      <w:pPr>
        <w:numPr>
          <w:ilvl w:val="0"/>
          <w:numId w:val="1057"/>
        </w:numPr>
      </w:pPr>
      <w:r>
        <w:t xml:space="preserve">Multiple Global Discovery Catalogues may be deployed for resilience.</w:t>
      </w:r>
    </w:p>
    <w:p>
      <w:pPr>
        <w:numPr>
          <w:ilvl w:val="0"/>
          <w:numId w:val="1057"/>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7"/>
        </w:numPr>
      </w:pPr>
      <w:r>
        <w:t xml:space="preserve">A Global Discovery Catalogue is populated with discovery metadata records from a Global Cache and receives messages about the availability of discovery metadata records via a Global Broker.</w:t>
      </w:r>
    </w:p>
    <w:p>
      <w:pPr>
        <w:numPr>
          <w:ilvl w:val="1"/>
          <w:numId w:val="1059"/>
        </w:numPr>
      </w:pPr>
      <w:r>
        <w:t xml:space="preserve">The subscription topic shall be</w:t>
      </w:r>
      <w:r>
        <w:t xml:space="preserve"> </w:t>
      </w:r>
      <w:r>
        <w:rPr>
          <w:rStyle w:val="VerbatimChar"/>
        </w:rPr>
        <w:t xml:space="preserve">cache/a/wis2/+/metadata/#</w:t>
      </w:r>
      <w:r>
        <w:t xml:space="preserve">.</w:t>
      </w:r>
    </w:p>
    <w:p>
      <w:pPr>
        <w:numPr>
          <w:ilvl w:val="0"/>
          <w:numId w:val="1057"/>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7"/>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7"/>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7"/>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7"/>
        </w:numPr>
      </w:pPr>
      <w:r>
        <w:t xml:space="preserve">A Global Discovery Catalogue will remove discovery metadata that are marked for deletion as specified in the data notification message.</w:t>
      </w:r>
    </w:p>
    <w:p>
      <w:pPr>
        <w:numPr>
          <w:ilvl w:val="0"/>
          <w:numId w:val="1057"/>
        </w:numPr>
      </w:pPr>
      <w:r>
        <w:t xml:space="preserve">A Global Discovery Catalogue should apply faceting capability as specified in the cataloguing considerations of the WCMP2 specification, as defined in OGC API - Records.</w:t>
      </w:r>
    </w:p>
    <w:p>
      <w:pPr>
        <w:numPr>
          <w:ilvl w:val="0"/>
          <w:numId w:val="1057"/>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7"/>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7"/>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A Global Discovery Catalogue may initialize itself (cold start) from a zip file of all WCMP2 records published.</w:t>
      </w:r>
    </w:p>
    <w:p>
      <w:pPr>
        <w:numPr>
          <w:ilvl w:val="0"/>
          <w:numId w:val="1057"/>
        </w:numPr>
      </w:pPr>
      <w:r>
        <w:t xml:space="preserve">As a convention, a Global Discovery Catalogue’s centre-id will be</w:t>
      </w:r>
      <w:r>
        <w:t xml:space="preserve"> </w:t>
      </w:r>
      <w:r>
        <w:rPr>
          <w:rStyle w:val="VerbatimChar"/>
        </w:rPr>
        <w:t xml:space="preserve">tld-{centre-name}-global-discovery-catalogue</w:t>
      </w:r>
      <w:r>
        <w:t xml:space="preserve">.</w:t>
      </w:r>
    </w:p>
    <w:bookmarkEnd w:id="165"/>
    <w:bookmarkStart w:id="167" w:name="X305a741ac25d02ffb1dd5e4c3b88453bc6c2f8b"/>
    <w:p>
      <w:pPr>
        <w:pStyle w:val="Heading4"/>
      </w:pPr>
      <w:r>
        <w:t xml:space="preserve">2.7.5.2 Global Discovery Catalogue reference implementation: wis2-gdc</w:t>
      </w:r>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from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6">
        <w:r>
          <w:rPr>
            <w:rStyle w:val="Hyperlink"/>
          </w:rPr>
          <w:t xml:space="preserve">https://github.com/wmo-im/wis2-gdc</w:t>
        </w:r>
      </w:hyperlink>
      <w:r>
        <w:t xml:space="preserve">.</w:t>
      </w:r>
    </w:p>
    <w:bookmarkEnd w:id="167"/>
    <w:bookmarkEnd w:id="168"/>
    <w:bookmarkStart w:id="170" w:name="Xb46408fe4668a540edb8ef1c37fe9a479dce153"/>
    <w:p>
      <w:pPr>
        <w:pStyle w:val="Heading3"/>
      </w:pPr>
      <w:r>
        <w:t xml:space="preserve">2.7.6 Global Monitor</w:t>
      </w:r>
    </w:p>
    <w:bookmarkStart w:id="169" w:name="X9b85947f690e481419209cf5d7690b6d31fc2c9"/>
    <w:p>
      <w:pPr>
        <w:pStyle w:val="Heading4"/>
      </w:pPr>
      <w:r>
        <w:t xml:space="preserve">2.7.6.1 Technical considerations</w:t>
      </w:r>
    </w:p>
    <w:p>
      <w:pPr>
        <w:numPr>
          <w:ilvl w:val="0"/>
          <w:numId w:val="1061"/>
        </w:numPr>
      </w:pPr>
      <w:r>
        <w:t xml:space="preserve">WIS standardizes how system performance and data availability metrics are published from WIS2 Nodes and Global Services.</w:t>
      </w:r>
    </w:p>
    <w:p>
      <w:pPr>
        <w:numPr>
          <w:ilvl w:val="0"/>
          <w:numId w:val="1061"/>
        </w:numPr>
      </w:pPr>
      <w:r>
        <w:t xml:space="preserve">For each type of Global Service, a set of standard metrics has been defined. Global Services will implement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(that is, the performance) of components at NCs/DCPCs, as well as Global Services.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61"/>
        </w:numPr>
      </w:pPr>
      <w:r>
        <w:t xml:space="preserve">The main task of the Global Monitor will be to regularly query the metrics provided by the relevant WIS2 entities, aggregate and process the data and then provide the results to the end user in a suitable presentation.</w:t>
      </w:r>
    </w:p>
    <w:bookmarkEnd w:id="169"/>
    <w:bookmarkEnd w:id="170"/>
    <w:bookmarkEnd w:id="171"/>
    <w:bookmarkStart w:id="206" w:name="X3cda763227efb85ffcf50601bb9e1b297d470ff"/>
    <w:p>
      <w:pPr>
        <w:pStyle w:val="Heading2"/>
      </w:pPr>
      <w:r>
        <w:t xml:space="preserve">2.8 Operations</w:t>
      </w:r>
    </w:p>
    <w:bookmarkStart w:id="205" w:name="X04562bceddaf8a85f3c8f43df21107ee9ff7844"/>
    <w:p>
      <w:pPr>
        <w:pStyle w:val="Heading3"/>
      </w:pPr>
      <w:r>
        <w:t xml:space="preserve">2.8.1 Interoperability with external systems</w:t>
      </w:r>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bookmarkStart w:id="197" w:name="Xdfcef8a51a47770744d1c6284d6cc8465e590d9"/>
    <w:p>
      <w:pPr>
        <w:pStyle w:val="Heading4"/>
      </w:pPr>
      <w:r>
        <w:t xml:space="preserve">2.8.1.1 Publishing meteorological data through WIS2 into ICAO SWIM</w:t>
      </w:r>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Cs/>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2"/>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
        <w:tblLook w:firstRow="0" w:lastRow="0" w:firstColumn="0" w:lastColumn="0" w:noHBand="0" w:noVBand="0" w:val="0000"/>
        <w:jc w:val="start"/>
      </w:tblPr>
      <w:tblGrid>
        <w:gridCol w:w="3960"/>
        <w:gridCol w:w="3960"/>
      </w:tblGrid>
      <w:tr>
        <w:tc>
          <w:tcPr/>
          <w:p>
            <w:pPr>
              <w:jc w:val="left"/>
            </w:pPr>
            <w:r>
              <w:rPr>
                <w:bCs/>
                <w:b/>
              </w:rPr>
              <w:t xml:space="preserve">WIS2</w:t>
            </w:r>
          </w:p>
        </w:tc>
        <w:tc>
          <w:tcPr/>
          <w:p>
            <w:pPr>
              <w:jc w:val="left"/>
            </w:pPr>
            <w:r>
              <w:rPr>
                <w:bCs/>
                <w:b/>
              </w:rPr>
              <w:t xml:space="preserve">SWIM</w:t>
            </w:r>
          </w:p>
        </w:tc>
      </w:tr>
      <w:tr>
        <w:tc>
          <w:tcPr/>
          <w:p>
            <w:pPr>
              <w:jc w:val="left"/>
            </w:pPr>
            <w:r>
              <w:t xml:space="preserve">Earth system scope: Weather, climate, hydrology, atmospheric</w:t>
            </w:r>
            <w:r>
              <w:t xml:space="preserve"> </w:t>
            </w:r>
            <w:r>
              <w:t xml:space="preserve">composition, cryosphere, ocean and space weather data.</w:t>
            </w:r>
          </w:p>
        </w:tc>
        <w:tc>
          <w:tcPr/>
          <w:p>
            <w:pPr>
              <w:jc w:val="left"/>
            </w:pPr>
            <w:r>
              <w:t xml:space="preserve">ATM scope: Aeronautical, meteorological and flight information.</w:t>
            </w:r>
          </w:p>
        </w:tc>
      </w:tr>
      <w:tr>
        <w:tc>
          <w:tcPr/>
          <w:p>
            <w:pPr>
              <w:jc w:val="left"/>
            </w:pPr>
            <w:r>
              <w:t xml:space="preserve">Data centric: A consumer discovers data and then determines the</w:t>
            </w:r>
            <w:r>
              <w:t xml:space="preserve"> </w:t>
            </w:r>
            <w:r>
              <w:t xml:space="preserve">services through which those data may be accessed.</w:t>
            </w:r>
          </w:p>
        </w:tc>
        <w:tc>
          <w:tcPr/>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tcPr/>
          <w:p>
            <w:pPr>
              <w:jc w:val="left"/>
            </w:pPr>
            <w:r>
              <w:t xml:space="preserve">Technical protocols: MQTT, HTTP</w:t>
            </w:r>
          </w:p>
        </w:tc>
        <w:tc>
          <w:tcPr/>
          <w:p>
            <w:pPr>
              <w:jc w:val="left"/>
            </w:pPr>
            <w:r>
              <w:t xml:space="preserve">Technical protocols:</w:t>
            </w:r>
            <w:r>
              <w:t xml:space="preserve"> </w:t>
            </w:r>
            <w:r>
              <w:t xml:space="preserve">AMQP</w:t>
            </w:r>
            <w:r>
              <w:rPr>
                <w:rStyle w:val="FootnoteReference"/>
              </w:rPr>
              <w:footnoteReference w:id="173"/>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Specifications of SWIM data messages;</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bookmarkStart w:id="177" w:name="X0b285da611dfb528bbe09e977d29c84f73ef00a"/>
    <w:p>
      <w:pPr>
        <w:pStyle w:val="Heading5"/>
      </w:pPr>
      <w:r>
        <w:t xml:space="preserve">2.8.1.1.1 WIS2 to SWIM gateway</w:t>
      </w:r>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interoperability approach" title="" id="175" name="Picture"/>
            <a:graphic>
              <a:graphicData uri="http://schemas.openxmlformats.org/drawingml/2006/picture">
                <pic:pic>
                  <pic:nvPicPr>
                    <pic:cNvPr descr="images/wis2-to-swim-temp.png" id="176" name="Picture"/>
                    <pic:cNvPicPr>
                      <a:picLocks noChangeArrowheads="1" noChangeAspect="1"/>
                    </pic:cNvPicPr>
                  </pic:nvPicPr>
                  <pic:blipFill>
                    <a:blip r:embed="rId174"/>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bookmarkEnd w:id="177"/>
    <w:bookmarkStart w:id="179" w:name="Xb20bb07a39f9322111bf6d1db1b5daed26a9d3a"/>
    <w:p>
      <w:pPr>
        <w:pStyle w:val="Heading5"/>
      </w:pPr>
      <w:r>
        <w:t xml:space="preserve">2.8.1.1.2 Data types and format</w:t>
      </w:r>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8"/>
      </w:r>
      <w:r>
        <w:t xml:space="preserve"> </w:t>
      </w:r>
      <w:r>
        <w:t xml:space="preserve">is to be used for encoding aeronautical meteorological information in SWIM.</w:t>
      </w:r>
    </w:p>
    <w:bookmarkEnd w:id="179"/>
    <w:bookmarkStart w:id="184" w:name="X46c32021402e9ea7b8e48f4915b125439add1b0"/>
    <w:p>
      <w:pPr>
        <w:pStyle w:val="Heading5"/>
      </w:pPr>
      <w:r>
        <w:t xml:space="preserve">2.8.1.1.3 Publishing meteorological data via WIS2</w:t>
      </w:r>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Cs/>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80"/>
      </w:r>
      <w:r>
        <w:rPr>
          <w:rStyle w:val="FootnoteReference"/>
        </w:rPr>
        <w:footnoteReference w:id="181"/>
      </w:r>
      <w:r>
        <w:t xml:space="preserve"> </w:t>
      </w:r>
      <w:r>
        <w:t xml:space="preserve">applied at the WIS2 Node;</w:t>
      </w:r>
    </w:p>
    <w:p>
      <w:pPr>
        <w:numPr>
          <w:ilvl w:val="0"/>
          <w:numId w:val="1063"/>
        </w:numPr>
      </w:pPr>
      <w:r>
        <w:t xml:space="preserve">Are not cached within WIS2 by the Global Caches.</w:t>
      </w:r>
      <w:r>
        <w:rPr>
          <w:rStyle w:val="FootnoteReference"/>
        </w:rPr>
        <w:footnoteReference w:id="182"/>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Cs/>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Cs/>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3"/>
      </w:r>
    </w:p>
    <w:p>
      <w:pPr>
        <w:pStyle w:val="BodyText"/>
      </w:pPr>
      <w:r>
        <w:t xml:space="preserve">For more details on the WIS2 Notification Message, see the</w:t>
      </w:r>
      <w:r>
        <w:t xml:space="preserve"> </w:t>
      </w:r>
      <w:r>
        <w:rPr>
          <w:iCs/>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Cs/>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Cs/>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bookmarkEnd w:id="184"/>
    <w:bookmarkStart w:id="193" w:name="X8db259eb1a1bfe56c034a46bdb3dc42d11142ae"/>
    <w:p>
      <w:pPr>
        <w:pStyle w:val="Heading5"/>
      </w:pPr>
      <w:r>
        <w:t xml:space="preserve">2.8.1.1.4 Gateway implementation</w:t>
      </w:r>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5"/>
      </w:r>
    </w:p>
    <w:p>
      <w:pPr>
        <w:pStyle w:val="CaptionedFigure"/>
      </w:pPr>
      <w:r>
        <w:drawing>
          <wp:inline>
            <wp:extent cx="5334000" cy="1838335"/>
            <wp:effectExtent b="0" l="0" r="0" t="0"/>
            <wp:docPr descr="Interactions between the gateway component and the WIS2 and SWIM components" title="" id="187" name="Picture"/>
            <a:graphic>
              <a:graphicData uri="http://schemas.openxmlformats.org/drawingml/2006/picture">
                <pic:pic>
                  <pic:nvPicPr>
                    <pic:cNvPr descr="images/wis2-to-swim-interaction-temp.png" id="188" name="Picture"/>
                    <pic:cNvPicPr>
                      <a:picLocks noChangeArrowheads="1" noChangeAspect="1"/>
                    </pic:cNvPicPr>
                  </pic:nvPicPr>
                  <pic:blipFill>
                    <a:blip r:embed="rId186"/>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Cs/>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Cs/>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89"/>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w:t>
      </w:r>
    </w:p>
    <w:p>
      <w:pPr>
        <w:numPr>
          <w:ilvl w:val="1"/>
          <w:numId w:val="1067"/>
        </w:numPr>
      </w:pPr>
      <w:r>
        <w:t xml:space="preserve">Download the data resource from the WIS2</w:t>
      </w:r>
      <w:r>
        <w:t xml:space="preserve"> </w:t>
      </w:r>
      <w:r>
        <w:t xml:space="preserve">Node</w:t>
      </w:r>
      <w:r>
        <w:rPr>
          <w:rStyle w:val="FootnoteReference"/>
        </w:rPr>
        <w:footnoteReference w:id="190"/>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1"/>
      </w:r>
      <w:r>
        <w:t xml:space="preserve">, and embed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2"/>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Cs/>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bookmarkEnd w:id="193"/>
    <w:bookmarkStart w:id="196" w:name="X324dd5baff3dd5a559e8cb78fd62506b39d8a6f"/>
    <w:p>
      <w:pPr>
        <w:pStyle w:val="Heading5"/>
      </w:pPr>
      <w:r>
        <w:t xml:space="preserve">2.8.1.1.5 SWIM service</w:t>
      </w:r>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4"/>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bookmarkEnd w:id="196"/>
    <w:bookmarkEnd w:id="197"/>
    <w:bookmarkStart w:id="204" w:name="X18b534d18fbc2c217839aa8fa8b546773191a7b"/>
    <w:p>
      <w:pPr>
        <w:pStyle w:val="Heading4"/>
      </w:pPr>
      <w:r>
        <w:t xml:space="preserve">2.8.1.2 Ocean Data and Information System</w:t>
      </w:r>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8"/>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bookmarkStart w:id="203" w:name="Xe1a3f911333094636c99af6e51cc67bda1a0fa5"/>
    <w:p>
      <w:pPr>
        <w:pStyle w:val="Heading5"/>
      </w:pPr>
      <w:r>
        <w:t xml:space="preserve">2.8.1.2.1 Cross system interoperability</w:t>
      </w:r>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Figure 4. WIS2 and ODIS metadata and catalogue interoperability" title="" id="201" name="Picture"/>
            <a:graphic>
              <a:graphicData uri="http://schemas.openxmlformats.org/drawingml/2006/picture">
                <pic:pic>
                  <pic:nvPicPr>
                    <pic:cNvPr descr="images/wis2-odis-metadata-discovery-interop.png" id="202" name="Picture"/>
                    <pic:cNvPicPr>
                      <a:picLocks noChangeArrowheads="1" noChangeAspect="1"/>
                    </pic:cNvPicPr>
                  </pic:nvPicPr>
                  <pic:blipFill>
                    <a:blip r:embed="rId200"/>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bookmarkEnd w:id="203"/>
    <w:bookmarkEnd w:id="204"/>
    <w:bookmarkEnd w:id="205"/>
    <w:bookmarkEnd w:id="206"/>
    <w:bookmarkEnd w:id="207"/>
    <w:bookmarkStart w:id="246" w:name="X389c54ef161459295e2409da7e6e7a438d97537"/>
    <w:p>
      <w:pPr>
        <w:pStyle w:val="Heading1"/>
      </w:pPr>
      <w:r>
        <w:t xml:space="preserve">PART III. Information management</w:t>
      </w:r>
    </w:p>
    <w:bookmarkStart w:id="245" w:name="X29365788aa66f3af0efa9737d84cbd02d19affb"/>
    <w:p>
      <w:pPr>
        <w:pStyle w:val="Heading2"/>
      </w:pPr>
      <w:r>
        <w:t xml:space="preserve">3.1 Introduction</w:t>
      </w:r>
    </w:p>
    <w:bookmarkStart w:id="208" w:name="X2f7e03b24e7ab9acdd025dfeadabbe710425640"/>
    <w:p>
      <w:pPr>
        <w:pStyle w:val="Heading3"/>
      </w:pPr>
      <w:r>
        <w:t xml:space="preserve">3.1.1 Background</w:t>
      </w:r>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Cs/>
          <w:i/>
        </w:rPr>
        <w:t xml:space="preserve">Note: The term "information" is used in a general sense and includes data and products.</w:t>
      </w:r>
    </w:p>
    <w:bookmarkEnd w:id="208"/>
    <w:bookmarkStart w:id="210" w:name="Xeb6f0482b407e0590647e4472798e67e94690ff"/>
    <w:p>
      <w:pPr>
        <w:pStyle w:val="Heading3"/>
      </w:pPr>
      <w:r>
        <w:t xml:space="preserve">3.1.2 Scope</w:t>
      </w:r>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9413cd7ab4f54193ab80a913e7ead8f7550165">
        <w:r>
          <w:rPr>
            <w:rStyle w:val="Hyperlink"/>
          </w:rPr>
          <w:t xml:space="preserve">3.3 The information management life cycle</w:t>
        </w:r>
      </w:hyperlink>
      <w:r>
        <w:t xml:space="preserve"> </w:t>
      </w:r>
      <w:r>
        <w:t xml:space="preserve">describes five focus areas.</w:t>
      </w:r>
    </w:p>
    <w:p>
      <w:pPr>
        <w:numPr>
          <w:ilvl w:val="0"/>
          <w:numId w:val="1068"/>
        </w:numPr>
      </w:pPr>
      <w:r>
        <w:t xml:space="preserve">Planning, information creation and acquisition. The creation of information using internal and external data sources and the acquisition of information from various sources.</w:t>
      </w:r>
    </w:p>
    <w:p>
      <w:pPr>
        <w:numPr>
          <w:ilvl w:val="0"/>
          <w:numId w:val="1068"/>
        </w:numPr>
      </w:pPr>
      <w:r>
        <w:t xml:space="preserve">Representation and metadata. The use of standards to represent metadata, data and information; this is of primary importance to enable the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The publication of guidance material on the use of published information, including on the limitations and suitability of the information and any licensing terms.</w:t>
      </w:r>
    </w:p>
    <w:p>
      <w:pPr>
        <w:numPr>
          <w:ilvl w:val="0"/>
          <w:numId w:val="1068"/>
        </w:numPr>
      </w:pPr>
      <w:r>
        <w:t xml:space="preserve">Storage, archival and disposal. The policies and procedures for business continuity and disaster recovery, as well as retention and disposal.</w:t>
      </w:r>
    </w:p>
    <w:bookmarkStart w:id="209" w:name="X8b8ad48f7582aa9bea92618dd90e4ce613c1f0f"/>
    <w:p>
      <w:pPr>
        <w:pStyle w:val="Heading4"/>
      </w:pPr>
      <w:r>
        <w:t xml:space="preserve">3.1.3 Intended audience</w:t>
      </w:r>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the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the intended usage or purpose.</w:t>
      </w:r>
    </w:p>
    <w:bookmarkEnd w:id="209"/>
    <w:bookmarkEnd w:id="210"/>
    <w:bookmarkStart w:id="222" w:name="Xf824fca74b047d29cced130f7e8c526d1c0cead"/>
    <w:p>
      <w:pPr>
        <w:pStyle w:val="Heading3"/>
      </w:pPr>
      <w:r>
        <w:t xml:space="preserve">3.2 Principles of information management</w:t>
      </w:r>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bookmarkStart w:id="211" w:name="Xb4d17d321a1229eb9bdd27c8c3c25433220a700"/>
    <w:p>
      <w:pPr>
        <w:pStyle w:val="Heading4"/>
      </w:pPr>
      <w:r>
        <w:t xml:space="preserve">3.2.1 Principle 1: Information is a valued asset</w:t>
      </w:r>
    </w:p>
    <w:p>
      <w:pPr>
        <w:numPr>
          <w:ilvl w:val="0"/>
          <w:numId w:val="1070"/>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70"/>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bookmarkEnd w:id="211"/>
    <w:bookmarkStart w:id="212" w:name="X89d0de355d212bc6613f545e4353ea8d60915df"/>
    <w:p>
      <w:pPr>
        <w:pStyle w:val="Heading4"/>
      </w:pPr>
      <w:r>
        <w:t xml:space="preserve">3.2.2 Principle 2: Information must be managed</w:t>
      </w:r>
    </w:p>
    <w:p>
      <w:pPr>
        <w:numPr>
          <w:ilvl w:val="0"/>
          <w:numId w:val="1071"/>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bookmarkEnd w:id="212"/>
    <w:bookmarkStart w:id="214" w:name="X22045a63598b23a763086711f278e1d2a44211b"/>
    <w:p>
      <w:pPr>
        <w:pStyle w:val="Heading4"/>
      </w:pPr>
      <w:r>
        <w:t xml:space="preserve">3.2.3 Principle 3: Information must be fit for purpose</w:t>
      </w:r>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the related processes, procedures and documentation are adequate.</w:t>
      </w:r>
    </w:p>
    <w:p>
      <w:pPr>
        <w:numPr>
          <w:ilvl w:val="0"/>
          <w:numId w:val="1072"/>
        </w:numPr>
      </w:pPr>
      <w:r>
        <w:t xml:space="preserve">Processes should be consistent with the general provisions and principles of quality management as described in the WMO</w:t>
      </w:r>
      <w:r>
        <w:t xml:space="preserve"> </w:t>
      </w:r>
      <w:hyperlink r:id="rId213">
        <w:r>
          <w:rPr>
            <w:rStyle w:val="Hyperlink"/>
            <w:iCs/>
            <w:i/>
          </w:rPr>
          <w:t xml:space="preserve">Technical Regulations</w:t>
        </w:r>
      </w:hyperlink>
      <w:r>
        <w:t xml:space="preserve"> </w:t>
      </w:r>
      <w:r>
        <w:t xml:space="preserve">(WMO-No. 49).</w:t>
      </w:r>
    </w:p>
    <w:bookmarkEnd w:id="214"/>
    <w:bookmarkStart w:id="215" w:name="X99dc711475662a6e02ccc131662769964befb48"/>
    <w:p>
      <w:pPr>
        <w:pStyle w:val="Heading4"/>
      </w:pPr>
      <w:r>
        <w:t xml:space="preserve">3.2.4 Principle 4: Information must be standardized and interoperable</w:t>
      </w:r>
    </w:p>
    <w:p>
      <w:pPr>
        <w:numPr>
          <w:ilvl w:val="0"/>
          <w:numId w:val="1073"/>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bookmarkEnd w:id="215"/>
    <w:bookmarkStart w:id="216" w:name="X4c710a7cbc3759aa6649820379d60f1f177ba9c"/>
    <w:p>
      <w:pPr>
        <w:pStyle w:val="Heading4"/>
      </w:pPr>
      <w:r>
        <w:t xml:space="preserve">3.2.5 Principle 5: Information must be well documented</w:t>
      </w:r>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 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bookmarkEnd w:id="216"/>
    <w:bookmarkStart w:id="217" w:name="Xe9a225bd08c02aa3805eabec1559f89b21d7c7f"/>
    <w:p>
      <w:pPr>
        <w:pStyle w:val="Heading4"/>
      </w:pPr>
      <w:r>
        <w:t xml:space="preserve">3.2.6 Principle 6: Information must be discoverable, accessible and retrievable</w:t>
      </w:r>
    </w:p>
    <w:p>
      <w:pPr>
        <w:numPr>
          <w:ilvl w:val="0"/>
          <w:numId w:val="1075"/>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bookmarkEnd w:id="217"/>
    <w:bookmarkStart w:id="220" w:name="Xd7aae325eb000d7fe5916fc0cb31629ef8f12dd"/>
    <w:p>
      <w:pPr>
        <w:pStyle w:val="Heading4"/>
      </w:pPr>
      <w:r>
        <w:t xml:space="preserve">3.2.7 Principle 7: Information should be reusable</w:t>
      </w:r>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6"/>
        </w:numPr>
      </w:pPr>
      <w:r>
        <w:t xml:space="preserve">The publisher should provide an explicit and well-defined licence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8"/>
      </w:r>
    </w:p>
    <w:bookmarkEnd w:id="220"/>
    <w:bookmarkStart w:id="221" w:name="Xedb3934128acbb54e6fd2dff0b6502d8457de98"/>
    <w:p>
      <w:pPr>
        <w:pStyle w:val="Heading4"/>
      </w:pPr>
      <w:r>
        <w:t xml:space="preserve">3.2.8 Principle 8: Information management is subject to accountability and governance</w:t>
      </w:r>
    </w:p>
    <w:p>
      <w:pPr>
        <w:numPr>
          <w:ilvl w:val="0"/>
          <w:numId w:val="1077"/>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8"/>
        </w:numPr>
      </w:pPr>
      <w:r>
        <w:t xml:space="preserve">The implementation of general information management practices, procedures and protocols, including well-defined roles, responsibilities and restrictions on managing the information;</w:t>
      </w:r>
    </w:p>
    <w:p>
      <w:pPr>
        <w:numPr>
          <w:ilvl w:val="1"/>
          <w:numId w:val="1078"/>
        </w:numPr>
      </w:pPr>
      <w:r>
        <w:t xml:space="preserve">The definition and enforcement of an appropriate retention policy, taking into account stakeholder needs and variations in value over the information life cycle;</w:t>
      </w:r>
    </w:p>
    <w:p>
      <w:pPr>
        <w:numPr>
          <w:ilvl w:val="1"/>
          <w:numId w:val="1078"/>
        </w:numPr>
      </w:pPr>
      <w:r>
        <w:t xml:space="preserve">The establishment of licensing and the definition and enforcement of any access restrictions.</w:t>
      </w:r>
    </w:p>
    <w:p>
      <w:pPr>
        <w:numPr>
          <w:ilvl w:val="1"/>
          <w:numId w:val="1078"/>
        </w:numPr>
      </w:pPr>
      <w:r>
        <w:t xml:space="preserve">The designated owner should have budget and decision-making authority with respect to preservation and data usage, including the authority to pass ownership to another entity.</w:t>
      </w:r>
    </w:p>
    <w:bookmarkEnd w:id="221"/>
    <w:bookmarkEnd w:id="222"/>
    <w:bookmarkStart w:id="239" w:name="X99413cd7ab4f54193ab80a913e7ead8f7550165"/>
    <w:p>
      <w:pPr>
        <w:pStyle w:val="Heading3"/>
      </w:pPr>
      <w:r>
        <w:t xml:space="preserve">3.3 The information management life cycle</w:t>
      </w:r>
    </w:p>
    <w:bookmarkStart w:id="223" w:name="Xeccc5e301c97b991026cb4b4fb0a2ad90b4b8ce"/>
    <w:p>
      <w:pPr>
        <w:pStyle w:val="Heading4"/>
      </w:pPr>
      <w:r>
        <w:t xml:space="preserve">3.3.1 Overview</w:t>
      </w:r>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bookmarkEnd w:id="223"/>
    <w:bookmarkStart w:id="226" w:name="Xf536e9dd56d909a9ad040396fc55cc1f2d8010b"/>
    <w:p>
      <w:pPr>
        <w:pStyle w:val="Heading4"/>
      </w:pPr>
      <w:r>
        <w:t xml:space="preserve">3.3.2 Overarching requirements</w:t>
      </w:r>
    </w:p>
    <w:bookmarkStart w:id="224" w:name="X45b743228135d36e8bda76fa64a5364530f2c0f"/>
    <w:p>
      <w:pPr>
        <w:pStyle w:val="Heading5"/>
      </w:pPr>
      <w:r>
        <w:t xml:space="preserve">3.3.2.1 Governance</w:t>
      </w:r>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bookmarkEnd w:id="224"/>
    <w:bookmarkStart w:id="225" w:name="X1ba3fb91a9c7f4af333ef2b72ba292e773669f9"/>
    <w:p>
      <w:pPr>
        <w:pStyle w:val="Heading5"/>
      </w:pPr>
      <w:r>
        <w:t xml:space="preserve">3.3.2.2 Documentation</w:t>
      </w:r>
    </w:p>
    <w:p>
      <w:pPr>
        <w:numPr>
          <w:ilvl w:val="0"/>
          <w:numId w:val="1081"/>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bookmarkEnd w:id="225"/>
    <w:bookmarkEnd w:id="226"/>
    <w:bookmarkStart w:id="238" w:name="Xce03414fa90bc571a21e26cd6754cf945b230e0"/>
    <w:p>
      <w:pPr>
        <w:pStyle w:val="Heading4"/>
      </w:pPr>
      <w:r>
        <w:t xml:space="preserve">3.3.3 Aspects of the information management life cycle</w:t>
      </w:r>
    </w:p>
    <w:bookmarkStart w:id="227" w:name="X4f8ba816f7b8aa97bb15bd5af5a1f7f2fd3a919"/>
    <w:p>
      <w:pPr>
        <w:pStyle w:val="Heading5"/>
      </w:pPr>
      <w:r>
        <w:t xml:space="preserve">3.3.3.1 Planning, information creation and acquisition</w:t>
      </w:r>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bookmarkEnd w:id="227"/>
    <w:bookmarkStart w:id="229" w:name="X49274d3e2b95ee2f6b62ac78feb00523ab6815d"/>
    <w:p>
      <w:pPr>
        <w:pStyle w:val="Heading5"/>
      </w:pPr>
      <w:r>
        <w:t xml:space="preserve">3.3.3.2 Representation and metadata</w:t>
      </w:r>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Cs/>
          <w:i/>
        </w:rPr>
        <w:t xml:space="preserve">Manual on Codes</w:t>
      </w:r>
      <w:r>
        <w:t xml:space="preserve"> </w:t>
      </w:r>
      <w:r>
        <w:t xml:space="preserve">(WMO-No. 306), Volume I.2 and the</w:t>
      </w:r>
      <w:r>
        <w:t xml:space="preserve"> </w:t>
      </w:r>
      <w:r>
        <w:rPr>
          <w:iCs/>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8">
        <w:r>
          <w:rPr>
            <w:rStyle w:val="Hyperlink"/>
            <w:iCs/>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bookmarkEnd w:id="229"/>
    <w:bookmarkStart w:id="231" w:name="Xa7fab7390f658e9a7f9c1dd97f4f9989f0b7890"/>
    <w:p>
      <w:pPr>
        <w:pStyle w:val="Heading5"/>
      </w:pPr>
      <w:r>
        <w:t xml:space="preserve">3.3.3.3 Publication and exchange of information</w:t>
      </w:r>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Cs/>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Cs/>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Cs/>
          <w:i/>
        </w:rPr>
        <w:t xml:space="preserve">Note: The newsletter is available from:</w:t>
      </w:r>
      <w:r>
        <w:rPr>
          <w:iCs/>
          <w:i/>
        </w:rPr>
        <w:t xml:space="preserve"> </w:t>
      </w:r>
      <w:hyperlink r:id="rId230">
        <w:r>
          <w:rPr>
            <w:rStyle w:val="Hyperlink"/>
            <w:iCs/>
            <w:i/>
          </w:rPr>
          <w:t xml:space="preserve">https://community.wmo.int/news/operational-newsletter</w:t>
        </w:r>
      </w:hyperlink>
      <w:r>
        <w:t xml:space="preserve">.</w:t>
      </w:r>
    </w:p>
    <w:bookmarkEnd w:id="231"/>
    <w:bookmarkStart w:id="235" w:name="X3e24a7edb6c0c7cedae631be79bacb110074b53"/>
    <w:p>
      <w:pPr>
        <w:pStyle w:val="Heading5"/>
      </w:pPr>
      <w:r>
        <w:t xml:space="preserve">3.3.3.4 Usage and communication</w:t>
      </w:r>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3"/>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3"/>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32">
        <w:r>
          <w:rPr>
            <w:rStyle w:val="Hyperlink"/>
            <w:iCs/>
            <w:i/>
          </w:rPr>
          <w:t xml:space="preserve">Manual on the WMO Integrated Global Observing System</w:t>
        </w:r>
      </w:hyperlink>
      <w:r>
        <w:t xml:space="preserve"> </w:t>
      </w:r>
      <w:r>
        <w:t xml:space="preserve">(WMO-No. 1160) and the</w:t>
      </w:r>
      <w:r>
        <w:t xml:space="preserve"> </w:t>
      </w:r>
      <w:hyperlink r:id="rId233">
        <w:r>
          <w:rPr>
            <w:rStyle w:val="Hyperlink"/>
            <w:iCs/>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4">
        <w:r>
          <w:rPr>
            <w:rStyle w:val="Hyperlink"/>
            <w:iCs/>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4f8ba816f7b8aa97bb15bd5af5a1f7f2fd3a919">
        <w:r>
          <w:rPr>
            <w:rStyle w:val="Hyperlink"/>
          </w:rPr>
          <w:t xml:space="preserve">3.3.3.1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a7fab7390f658e9a7f9c1dd97f4f9989f0b7890">
        <w:r>
          <w:rPr>
            <w:rStyle w:val="Hyperlink"/>
          </w:rPr>
          <w:t xml:space="preserve">3.3.3.3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bookmarkEnd w:id="235"/>
    <w:bookmarkStart w:id="237" w:name="X3ae9333dc6fdf8cb90e60a84f51ab1cb4529e61"/>
    <w:p>
      <w:pPr>
        <w:pStyle w:val="Heading5"/>
      </w:pPr>
      <w:r>
        <w:t xml:space="preserve">3.3.3.5 Storage, archival and disposal</w:t>
      </w:r>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Cs/>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6">
        <w:r>
          <w:rPr>
            <w:rStyle w:val="Hyperlink"/>
            <w:iCs/>
            <w:i/>
          </w:rPr>
          <w:t xml:space="preserve">Manual on Marine Meteorological Services</w:t>
        </w:r>
      </w:hyperlink>
      <w:r>
        <w:t xml:space="preserve"> </w:t>
      </w:r>
      <w:r>
        <w:t xml:space="preserve">(WMO-No. 558), Volume I, as well as the WMO World Data Centres and in the</w:t>
      </w:r>
      <w:r>
        <w:t xml:space="preserve"> </w:t>
      </w:r>
      <w:r>
        <w:rPr>
          <w:iCs/>
          <w:i/>
        </w:rPr>
        <w:t xml:space="preserve">Manual on WIS</w:t>
      </w:r>
      <w:r>
        <w:t xml:space="preserve">, Volume II and those defined in the</w:t>
      </w:r>
      <w:r>
        <w:t xml:space="preserve"> </w:t>
      </w:r>
      <w:r>
        <w:rPr>
          <w:iCs/>
          <w:i/>
        </w:rPr>
        <w:t xml:space="preserve">Manual on the WMO Integrated Processing and Prediction System</w:t>
      </w:r>
      <w:r>
        <w:t xml:space="preserve"> </w:t>
      </w:r>
      <w:r>
        <w:t xml:space="preserve">(formerly the</w:t>
      </w:r>
      <w:r>
        <w:t xml:space="preserve"> </w:t>
      </w:r>
      <w:r>
        <w:rPr>
          <w:iCs/>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bookmarkEnd w:id="237"/>
    <w:bookmarkEnd w:id="238"/>
    <w:bookmarkEnd w:id="239"/>
    <w:bookmarkStart w:id="244" w:name="X7391e3c3ea1b541c803bd3d5ce697585133e88b"/>
    <w:p>
      <w:pPr>
        <w:pStyle w:val="Heading3"/>
      </w:pPr>
      <w:r>
        <w:t xml:space="preserve">3.4 Other considerations</w:t>
      </w:r>
    </w:p>
    <w:bookmarkStart w:id="241" w:name="Xa64de298ded50f9c724ff5d648e87a4e9fbd147"/>
    <w:p>
      <w:pPr>
        <w:pStyle w:val="Heading4"/>
      </w:pPr>
      <w:r>
        <w:t xml:space="preserve">3.4.1 Technology and technology migration</w:t>
      </w:r>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40">
        <w:r>
          <w:rPr>
            <w:rStyle w:val="Hyperlink"/>
            <w:iCs/>
            <w:i/>
          </w:rPr>
          <w:t xml:space="preserve">WMO Guidelines on Emerging Data Issues</w:t>
        </w:r>
      </w:hyperlink>
      <w:r>
        <w:t xml:space="preserve"> </w:t>
      </w:r>
      <w:r>
        <w:t xml:space="preserve">(WMO-No. 1239).</w:t>
      </w:r>
    </w:p>
    <w:bookmarkEnd w:id="241"/>
    <w:bookmarkStart w:id="243" w:name="Xc9ea048877dfd968048ffc95998a2f64ce311e4"/>
    <w:p>
      <w:pPr>
        <w:pStyle w:val="Heading4"/>
      </w:pPr>
      <w:r>
        <w:t xml:space="preserve">3.4.2 Information security</w:t>
      </w:r>
    </w:p>
    <w:p>
      <w:pPr>
        <w:pStyle w:val="FirstParagraph"/>
      </w:pPr>
      <w:r>
        <w:t xml:space="preserve">Further information on information security and best practices can be found in the</w:t>
      </w:r>
      <w:r>
        <w:t xml:space="preserve"> </w:t>
      </w:r>
      <w:hyperlink r:id="rId242">
        <w:r>
          <w:rPr>
            <w:rStyle w:val="Hyperlink"/>
            <w:iCs/>
            <w:i/>
          </w:rPr>
          <w:t xml:space="preserve">Guide to Information Technology Security</w:t>
        </w:r>
      </w:hyperlink>
      <w:r>
        <w:t xml:space="preserve"> </w:t>
      </w:r>
      <w:r>
        <w:t xml:space="preserve">(WMO-No. 1115).</w:t>
      </w:r>
    </w:p>
    <w:bookmarkEnd w:id="243"/>
    <w:bookmarkEnd w:id="244"/>
    <w:bookmarkEnd w:id="245"/>
    <w:bookmarkEnd w:id="246"/>
    <w:bookmarkStart w:id="248" w:name="Xf0816da4cf7fb19671f2d7fe0d061de4ae60249"/>
    <w:p>
      <w:pPr>
        <w:pStyle w:val="Heading1"/>
      </w:pPr>
      <w:r>
        <w:t xml:space="preserve">PART IV. Security</w:t>
      </w:r>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4"/>
        </w:numPr>
      </w:pPr>
      <w:r>
        <w:rPr>
          <w:iCs/>
          <w:i/>
        </w:rPr>
        <w:t xml:space="preserve">Guide to Information Technology Security</w:t>
      </w:r>
      <w:r>
        <w:t xml:space="preserve"> </w:t>
      </w:r>
      <w:r>
        <w:t xml:space="preserve">(WMO-No. 1115);</w:t>
      </w:r>
    </w:p>
    <w:p>
      <w:pPr>
        <w:numPr>
          <w:ilvl w:val="0"/>
          <w:numId w:val="1084"/>
        </w:numPr>
      </w:pPr>
      <w:hyperlink r:id="rId247">
        <w:r>
          <w:rPr>
            <w:rStyle w:val="Hyperlink"/>
            <w:iCs/>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bookmarkEnd w:id="248"/>
    <w:bookmarkStart w:id="249" w:name="X3b22a87a2b2970364529e1b1e33cb197e766c93"/>
    <w:p>
      <w:pPr>
        <w:pStyle w:val="Heading1"/>
      </w:pPr>
      <w:r>
        <w:t xml:space="preserve">PART V. Competencies</w:t>
      </w:r>
    </w:p>
    <w:p>
      <w:pPr>
        <w:pStyle w:val="FirstParagraph"/>
      </w:pPr>
      <w:r>
        <w:t xml:space="preserve">For this initial version of the</w:t>
      </w:r>
      <w:r>
        <w:t xml:space="preserve"> </w:t>
      </w:r>
      <w:r>
        <w:rPr>
          <w:iCs/>
          <w:i/>
        </w:rPr>
        <w:t xml:space="preserve">Guide to WIS</w:t>
      </w:r>
      <w:r>
        <w:t xml:space="preserve">, Volume II, existing guidance on competencies remains largely applicable. Please refer to</w:t>
      </w:r>
      <w:r>
        <w:t xml:space="preserve"> </w:t>
      </w:r>
      <w:r>
        <w:rPr>
          <w:iCs/>
          <w:i/>
        </w:rPr>
        <w:t xml:space="preserve">Guide to the WMO Information System</w:t>
      </w:r>
      <w:r>
        <w:t xml:space="preserve"> </w:t>
      </w:r>
      <w:r>
        <w:t xml:space="preserve">(WMO-No. 1061), Volume I, Appendix A. WMO Information System Training and Learning Guide.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https://community.wmo.int/governance/commission-membership/infcom</w:t>
        </w:r>
      </w:hyperlink>
    </w:p>
  </w:footnote>
  <w:footnote w:id="32">
    <w:p>
      <w:pPr>
        <w:pStyle w:val="FootnoteText"/>
      </w:pPr>
      <w:r>
        <w:rPr>
          <w:rStyle w:val="FootnoteReference"/>
        </w:rPr>
        <w:footnoteRef/>
      </w:r>
      <w:r>
        <w:t xml:space="preserve"> </w:t>
      </w:r>
      <w:r>
        <w:t xml:space="preserve">See</w:t>
      </w:r>
      <w:r>
        <w:t xml:space="preserve"> </w:t>
      </w:r>
      <w:r>
        <w:rPr>
          <w:iCs/>
          <w:i/>
        </w:rPr>
        <w:t xml:space="preserve">Data Catalog Vocabulary (DCAT) – Version 3, W3C Recommendation 22 August 2024</w:t>
      </w:r>
      <w:r>
        <w:t xml:space="preserve"> </w:t>
      </w:r>
      <w:hyperlink r:id="rId33">
        <w:r>
          <w:rPr>
            <w:rStyle w:val="Hyperlink"/>
          </w:rPr>
          <w:t xml:space="preserve">https://www.w3.org/TR/vocab-dcat-3/#Class:Dataset</w:t>
        </w:r>
      </w:hyperlink>
    </w:p>
  </w:footnote>
  <w:footnote w:id="34">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38">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1">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See RFC 7946 - The GeoJSON Format:</w:t>
      </w:r>
      <w:r>
        <w:t xml:space="preserve"> </w:t>
      </w:r>
      <w:hyperlink r:id="rId49">
        <w:r>
          <w:rPr>
            <w:rStyle w:val="Hyperlink"/>
          </w:rPr>
          <w:t xml:space="preserve">https://datatracker.ietf.org/doc/html/rfc7946</w:t>
        </w:r>
      </w:hyperlink>
      <w:r>
        <w:t xml:space="preserve">.</w:t>
      </w:r>
    </w:p>
  </w:footnote>
  <w:footnote w:id="50">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1">
    <w:p>
      <w:pPr>
        <w:pStyle w:val="FootnoteText"/>
      </w:pPr>
      <w:r>
        <w:rPr>
          <w:rStyle w:val="FootnoteReference"/>
        </w:rPr>
        <w:footnoteRef/>
      </w:r>
      <w:r>
        <w:t xml:space="preserve"> </w:t>
      </w:r>
      <w:r>
        <w:t xml:space="preserve">See OGC API - Records - Part 1: Core:</w:t>
      </w:r>
      <w:r>
        <w:t xml:space="preserve"> </w:t>
      </w:r>
      <w:hyperlink r:id="rId52">
        <w:r>
          <w:rPr>
            <w:rStyle w:val="Hyperlink"/>
          </w:rPr>
          <w:t xml:space="preserve">https://docs.ogc.org/DRAFTS/20-004.html</w:t>
        </w:r>
      </w:hyperlink>
      <w:r>
        <w:t xml:space="preserve">.</w:t>
      </w:r>
    </w:p>
  </w:footnote>
  <w:footnote w:id="53">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5">
    <w:p>
      <w:pPr>
        <w:pStyle w:val="FootnoteText"/>
      </w:pPr>
      <w:r>
        <w:rPr>
          <w:rStyle w:val="FootnoteReference"/>
        </w:rPr>
        <w:footnoteRef/>
      </w:r>
      <w:r>
        <w:t xml:space="preserve"> </w:t>
      </w:r>
      <w:r>
        <w:t xml:space="preserve">See Architecture of the World Wide Web, Volume One:</w:t>
      </w:r>
      <w:r>
        <w:t xml:space="preserve"> </w:t>
      </w:r>
      <w:hyperlink r:id="rId56">
        <w:r>
          <w:rPr>
            <w:rStyle w:val="Hyperlink"/>
          </w:rPr>
          <w:t xml:space="preserve">https://www.w3.org/TR/webarch/</w:t>
        </w:r>
      </w:hyperlink>
      <w:r>
        <w:t xml:space="preserve">.</w:t>
      </w:r>
    </w:p>
  </w:footnote>
  <w:footnote w:id="57">
    <w:p>
      <w:pPr>
        <w:pStyle w:val="FootnoteText"/>
      </w:pPr>
      <w:r>
        <w:rPr>
          <w:rStyle w:val="FootnoteReference"/>
        </w:rPr>
        <w:footnoteRef/>
      </w:r>
      <w:r>
        <w:t xml:space="preserve"> </w:t>
      </w:r>
      <w:r>
        <w:t xml:space="preserve">See RFC 3986 - Uniform Resource Identifier (URI) - Generic Syntax:</w:t>
      </w:r>
      <w:r>
        <w:t xml:space="preserve"> </w:t>
      </w:r>
      <w:hyperlink r:id="rId58">
        <w:r>
          <w:rPr>
            <w:rStyle w:val="Hyperlink"/>
          </w:rPr>
          <w:t xml:space="preserve">https://datatracker.ietf.org/doc/html/rfc3986</w:t>
        </w:r>
      </w:hyperlink>
      <w:r>
        <w:t xml:space="preserve">.</w:t>
      </w:r>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58">
        <w:r>
          <w:rPr>
            <w:rStyle w:val="Hyperlink"/>
          </w:rPr>
          <w:t xml:space="preserve">https://datatracker.ietf.org/doc/html/rfc3986</w:t>
        </w:r>
      </w:hyperlink>
      <w:r>
        <w:t xml:space="preserve">.</w:t>
      </w:r>
    </w:p>
  </w:footnote>
  <w:footnote w:id="60">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3">
    <w:p>
      <w:pPr>
        <w:pStyle w:val="FootnoteText"/>
      </w:pPr>
      <w:r>
        <w:rPr>
          <w:rStyle w:val="FootnoteReference"/>
        </w:rPr>
        <w:footnoteRef/>
      </w:r>
      <w:r>
        <w:t xml:space="preserve"> </w:t>
      </w:r>
      <w:r>
        <w:t xml:space="preserve">See STAC: SpatioTemporal Asset Catalogs:</w:t>
      </w:r>
      <w:r>
        <w:t xml:space="preserve"> </w:t>
      </w:r>
      <w:hyperlink r:id="rId64">
        <w:r>
          <w:rPr>
            <w:rStyle w:val="Hyperlink"/>
          </w:rPr>
          <w:t xml:space="preserve">https://stacspec.org/en</w:t>
        </w:r>
      </w:hyperlink>
      <w:r>
        <w:t xml:space="preserve">.</w:t>
      </w:r>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w:t>
      </w:r>
      <w:r>
        <w:t xml:space="preserve"> </w:t>
      </w:r>
      <w:hyperlink r:id="rId67">
        <w:r>
          <w:rPr>
            <w:rStyle w:val="Hyperlink"/>
          </w:rPr>
          <w:t xml:space="preserve">https://user.eumetsat.int/resources/user-guides/formats</w:t>
        </w:r>
      </w:hyperlink>
      <w:r>
        <w:t xml:space="preserve">.</w:t>
      </w:r>
    </w:p>
  </w:footnote>
  <w:footnote w:id="69">
    <w:p>
      <w:pPr>
        <w:pStyle w:val="FootnoteText"/>
      </w:pPr>
      <w:r>
        <w:rPr>
          <w:rStyle w:val="FootnoteReference"/>
        </w:rPr>
        <w:footnoteRef/>
      </w:r>
      <w:r>
        <w:t xml:space="preserve"> </w:t>
      </w:r>
      <w:r>
        <w:t xml:space="preserve">See OpenAPI Specification v3.1.0:</w:t>
      </w:r>
      <w:r>
        <w:t xml:space="preserve"> </w:t>
      </w:r>
      <w:hyperlink r:id="rId70">
        <w:r>
          <w:rPr>
            <w:rStyle w:val="Hyperlink"/>
          </w:rPr>
          <w:t xml:space="preserve">https://spec.openapis.org/oas/v3.1.0</w:t>
        </w:r>
      </w:hyperlink>
      <w:r>
        <w:t xml:space="preserve">.</w:t>
      </w:r>
    </w:p>
  </w:footnote>
  <w:footnote w:id="71">
    <w:p>
      <w:pPr>
        <w:pStyle w:val="FootnoteText"/>
      </w:pPr>
      <w:r>
        <w:rPr>
          <w:rStyle w:val="FootnoteReference"/>
        </w:rPr>
        <w:footnoteRef/>
      </w:r>
      <w:r>
        <w:t xml:space="preserve"> </w:t>
      </w:r>
      <w:r>
        <w:t xml:space="preserve">See OGC API:</w:t>
      </w:r>
      <w:r>
        <w:t xml:space="preserve"> </w:t>
      </w:r>
      <w:hyperlink r:id="rId72">
        <w:r>
          <w:rPr>
            <w:rStyle w:val="Hyperlink"/>
          </w:rPr>
          <w:t xml:space="preserve">https://ogcapi.ogc.org/</w:t>
        </w:r>
      </w:hyperlink>
      <w:r>
        <w:t xml:space="preserve">.</w:t>
      </w:r>
    </w:p>
  </w:footnote>
  <w:footnote w:id="73">
    <w:p>
      <w:pPr>
        <w:pStyle w:val="FootnoteText"/>
      </w:pPr>
      <w:r>
        <w:rPr>
          <w:rStyle w:val="FootnoteReference"/>
        </w:rPr>
        <w:footnoteRef/>
      </w:r>
      <w:r>
        <w:t xml:space="preserve"> </w:t>
      </w:r>
      <w:r>
        <w:t xml:space="preserve">See OGC API - Environmental Data Retrieval (EDR):</w:t>
      </w:r>
      <w:r>
        <w:t xml:space="preserve"> </w:t>
      </w:r>
      <w:hyperlink r:id="rId74">
        <w:r>
          <w:rPr>
            <w:rStyle w:val="Hyperlink"/>
          </w:rPr>
          <w:t xml:space="preserve">https://ogcapi.ogc.org/edr</w:t>
        </w:r>
      </w:hyperlink>
      <w:r>
        <w:t xml:space="preserve">.</w:t>
      </w:r>
    </w:p>
  </w:footnote>
  <w:footnote w:id="75">
    <w:p>
      <w:pPr>
        <w:pStyle w:val="FootnoteText"/>
      </w:pPr>
      <w:r>
        <w:rPr>
          <w:rStyle w:val="FootnoteReference"/>
        </w:rPr>
        <w:footnoteRef/>
      </w:r>
      <w:r>
        <w:t xml:space="preserve"> </w:t>
      </w:r>
      <w:r>
        <w:t xml:space="preserve">See OGC API - Features:</w:t>
      </w:r>
      <w:r>
        <w:t xml:space="preserve"> </w:t>
      </w:r>
      <w:hyperlink r:id="rId76">
        <w:r>
          <w:rPr>
            <w:rStyle w:val="Hyperlink"/>
          </w:rPr>
          <w:t xml:space="preserve">https://ogcapi.ogc.org/features</w:t>
        </w:r>
      </w:hyperlink>
      <w:r>
        <w:t xml:space="preserve">.</w:t>
      </w:r>
    </w:p>
  </w:footnote>
  <w:footnote w:id="77">
    <w:p>
      <w:pPr>
        <w:pStyle w:val="FootnoteText"/>
      </w:pPr>
      <w:r>
        <w:rPr>
          <w:rStyle w:val="FootnoteReference"/>
        </w:rPr>
        <w:footnoteRef/>
      </w:r>
      <w:r>
        <w:t xml:space="preserve"> </w:t>
      </w:r>
      <w:r>
        <w:t xml:space="preserve">See OGC API - Coverages:</w:t>
      </w:r>
      <w:r>
        <w:t xml:space="preserve"> </w:t>
      </w:r>
      <w:hyperlink r:id="rId78">
        <w:r>
          <w:rPr>
            <w:rStyle w:val="Hyperlink"/>
          </w:rPr>
          <w:t xml:space="preserve">https://ogcapi.ogc.org/coverages</w:t>
        </w:r>
      </w:hyperlink>
      <w:r>
        <w:t xml:space="preserve">.</w:t>
      </w:r>
    </w:p>
  </w:footnote>
  <w:footnote w:id="80">
    <w:p>
      <w:pPr>
        <w:pStyle w:val="FootnoteText"/>
      </w:pPr>
      <w:r>
        <w:rPr>
          <w:rStyle w:val="FootnoteReference"/>
        </w:rPr>
        <w:footnoteRef/>
      </w:r>
      <w:r>
        <w:t xml:space="preserve"> </w:t>
      </w:r>
      <w:r>
        <w:t xml:space="preserve">See World Weather Watch:</w:t>
      </w:r>
      <w:r>
        <w:t xml:space="preserve"> </w:t>
      </w:r>
      <w:hyperlink r:id="rId81">
        <w:r>
          <w:rPr>
            <w:rStyle w:val="Hyperlink"/>
          </w:rPr>
          <w:t xml:space="preserve">https://wmo.int/world-weather-watch</w:t>
        </w:r>
      </w:hyperlink>
      <w:r>
        <w:t xml:space="preserve">.</w:t>
      </w:r>
    </w:p>
  </w:footnote>
  <w:footnote w:id="82">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4">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r>
        <w:t xml:space="preserve">.</w:t>
      </w:r>
    </w:p>
  </w:footnote>
  <w:footnote w:id="85">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90">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2">
    <w:p>
      <w:pPr>
        <w:pStyle w:val="FootnoteText"/>
      </w:pPr>
      <w:r>
        <w:rPr>
          <w:rStyle w:val="FootnoteReference"/>
        </w:rPr>
        <w:footnoteRef/>
      </w:r>
      <w:r>
        <w:t xml:space="preserve"> </w:t>
      </w:r>
      <w:r>
        <w:t xml:space="preserve">See OpenAPI Security Scheme Object:</w:t>
      </w:r>
      <w:r>
        <w:t xml:space="preserve"> </w:t>
      </w:r>
      <w:hyperlink r:id="rId93">
        <w:r>
          <w:rPr>
            <w:rStyle w:val="Hyperlink"/>
          </w:rPr>
          <w:t xml:space="preserve">https://spec.openapis.org/oas/v3.1.0#security-scheme-object</w:t>
        </w:r>
      </w:hyperlink>
      <w:r>
        <w:t xml:space="preserve">.</w:t>
      </w:r>
    </w:p>
  </w:footnote>
  <w:footnote w:id="94">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Cs/>
          <w:i/>
        </w:rPr>
        <w:t xml:space="preserve">Manual on WIS</w:t>
      </w:r>
      <w:r>
        <w:t xml:space="preserve">, Volume II.</w:t>
      </w:r>
    </w:p>
  </w:footnote>
  <w:footnote w:id="96">
    <w:p>
      <w:pPr>
        <w:pStyle w:val="FootnoteText"/>
      </w:pPr>
      <w:r>
        <w:rPr>
          <w:rStyle w:val="FootnoteReference"/>
        </w:rPr>
        <w:footnoteRef/>
      </w:r>
      <w:r>
        <w:t xml:space="preserve"> </w:t>
      </w:r>
      <w:r>
        <w:t xml:space="preserve">See working with presigned URLs on Amazon S3:</w:t>
      </w:r>
      <w:r>
        <w:t xml:space="preserve"> </w:t>
      </w:r>
      <w:hyperlink r:id="rId97">
        <w:r>
          <w:rPr>
            <w:rStyle w:val="Hyperlink"/>
          </w:rPr>
          <w:t xml:space="preserve">https://docs.aws.amazon.com/AmazonS3/latest/userguide/using-presigned-url.html</w:t>
        </w:r>
      </w:hyperlink>
      <w:r>
        <w:t xml:space="preserve">.</w:t>
      </w:r>
    </w:p>
  </w:footnote>
  <w:footnote w:id="99">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18">
    <w:p>
      <w:pPr>
        <w:pStyle w:val="FootnoteText"/>
      </w:pPr>
      <w:r>
        <w:rPr>
          <w:rStyle w:val="FootnoteReference"/>
        </w:rPr>
        <w:footnoteRef/>
      </w:r>
      <w:r>
        <w:t xml:space="preserve"> </w:t>
      </w:r>
      <w:r>
        <w:t xml:space="preserve">See MQTT Specifications:</w:t>
      </w:r>
      <w:r>
        <w:t xml:space="preserve"> </w:t>
      </w:r>
      <w:hyperlink r:id="rId119">
        <w:r>
          <w:rPr>
            <w:rStyle w:val="Hyperlink"/>
          </w:rPr>
          <w:t xml:space="preserve">https://mqtt.org/mqtt-specification/</w:t>
        </w:r>
      </w:hyperlink>
      <w:r>
        <w:t xml:space="preserve">.</w:t>
      </w:r>
    </w:p>
  </w:footnote>
  <w:footnote w:id="121">
    <w:p>
      <w:pPr>
        <w:pStyle w:val="FootnoteText"/>
      </w:pPr>
      <w:r>
        <w:rPr>
          <w:rStyle w:val="FootnoteReference"/>
        </w:rPr>
        <w:footnoteRef/>
      </w:r>
      <w:r>
        <w:t xml:space="preserve"> </w:t>
      </w:r>
      <w:r>
        <w:t xml:space="preserve">See RFC 7231 - Hypertext Transfer Protocol (HTTP/1.1): Semantics and Content:</w:t>
      </w:r>
      <w:r>
        <w:t xml:space="preserve"> </w:t>
      </w:r>
      <w:hyperlink r:id="rId122">
        <w:r>
          <w:rPr>
            <w:rStyle w:val="Hyperlink"/>
          </w:rPr>
          <w:t xml:space="preserve">https://datatracker.ietf.org/doc/html/rfc7231</w:t>
        </w:r>
      </w:hyperlink>
      <w:r>
        <w:t xml:space="preserve">.</w:t>
      </w:r>
    </w:p>
  </w:footnote>
  <w:footnote w:id="129">
    <w:p>
      <w:pPr>
        <w:pStyle w:val="FootnoteText"/>
      </w:pPr>
      <w:r>
        <w:rPr>
          <w:rStyle w:val="FootnoteReference"/>
        </w:rPr>
        <w:footnoteRef/>
      </w:r>
      <w:r>
        <w:t xml:space="preserve"> </w:t>
      </w:r>
      <w:r>
        <w:t xml:space="preserve">See IANA TLDs:</w:t>
      </w:r>
      <w:r>
        <w:t xml:space="preserve"> </w:t>
      </w:r>
      <w:hyperlink r:id="rId130">
        <w:r>
          <w:rPr>
            <w:rStyle w:val="Hyperlink"/>
          </w:rPr>
          <w:t xml:space="preserve">https://data.iana.org/TLD</w:t>
        </w:r>
      </w:hyperlink>
      <w:r>
        <w:t xml:space="preserve">.</w:t>
      </w:r>
    </w:p>
  </w:footnote>
  <w:footnote w:id="131">
    <w:p>
      <w:pPr>
        <w:pStyle w:val="FootnoteText"/>
      </w:pPr>
      <w:r>
        <w:rPr>
          <w:rStyle w:val="FootnoteReference"/>
        </w:rPr>
        <w:footnoteRef/>
      </w:r>
      <w:r>
        <w:t xml:space="preserve"> </w:t>
      </w:r>
      <w:r>
        <w:t xml:space="preserve">See</w:t>
      </w:r>
      <w:r>
        <w:t xml:space="preserve"> </w:t>
      </w:r>
      <w:hyperlink r:id="rId132">
        <w:r>
          <w:rPr>
            <w:rStyle w:val="Hyperlink"/>
          </w:rPr>
          <w:t xml:space="preserve">http://www.metoffice.gov.uk</w:t>
        </w:r>
      </w:hyperlink>
      <w:r>
        <w:t xml:space="preserve">.</w:t>
      </w:r>
    </w:p>
  </w:footnote>
  <w:footnote w:id="133">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5">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6">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7">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38">
    <w:p>
      <w:pPr>
        <w:pStyle w:val="FootnoteText"/>
      </w:pPr>
      <w:r>
        <w:rPr>
          <w:rStyle w:val="FootnoteReference"/>
        </w:rPr>
        <w:footnoteRef/>
      </w:r>
      <w:r>
        <w:t xml:space="preserve"> </w:t>
      </w:r>
      <w:r>
        <w:t xml:space="preserve">See OpenAPI Specification - Security Scheme Object:</w:t>
      </w:r>
      <w:r>
        <w:t xml:space="preserve"> </w:t>
      </w:r>
      <w:hyperlink r:id="rId93">
        <w:r>
          <w:rPr>
            <w:rStyle w:val="Hyperlink"/>
          </w:rPr>
          <w:t xml:space="preserve">https://spec.openapis.org/oas/v3.1.0#security-scheme-object</w:t>
        </w:r>
      </w:hyperlink>
      <w:r>
        <w:t xml:space="preserve">.</w:t>
      </w:r>
    </w:p>
  </w:footnote>
  <w:footnote w:id="149">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51">
    <w:p>
      <w:pPr>
        <w:pStyle w:val="FootnoteText"/>
      </w:pPr>
      <w:r>
        <w:rPr>
          <w:rStyle w:val="FootnoteReference"/>
        </w:rPr>
        <w:footnoteRef/>
      </w:r>
      <w:r>
        <w:t xml:space="preserve"> </w:t>
      </w:r>
      <w:r>
        <w:t xml:space="preserve">OpenMetrics is proposed as a draft standard within the Internet Engineering Task Force (IETF).</w:t>
      </w:r>
    </w:p>
  </w:footnote>
  <w:footnote w:id="152">
    <w:p>
      <w:pPr>
        <w:pStyle w:val="FootnoteText"/>
      </w:pPr>
      <w:r>
        <w:rPr>
          <w:rStyle w:val="FootnoteReference"/>
        </w:rPr>
        <w:footnoteRef/>
      </w:r>
      <w:r>
        <w:t xml:space="preserve"> </w:t>
      </w:r>
      <w:r>
        <w:t xml:space="preserve">See</w:t>
      </w:r>
      <w:r>
        <w:t xml:space="preserve"> </w:t>
      </w:r>
      <w:hyperlink r:id="rId153">
        <w:r>
          <w:rPr>
            <w:rStyle w:val="Hyperlink"/>
          </w:rPr>
          <w:t xml:space="preserve">https://github.com/wmo-im/wis2-metric-hierarchy</w:t>
        </w:r>
      </w:hyperlink>
      <w:r>
        <w:t xml:space="preserve">.</w:t>
      </w:r>
    </w:p>
  </w:footnote>
  <w:footnote w:id="161">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4">
    <w:p>
      <w:pPr>
        <w:pStyle w:val="FootnoteText"/>
      </w:pPr>
      <w:r>
        <w:rPr>
          <w:rStyle w:val="FootnoteReference"/>
        </w:rPr>
        <w:footnoteRef/>
      </w:r>
      <w:r>
        <w:t xml:space="preserve"> </w:t>
      </w:r>
      <w:r>
        <w:t xml:space="preserve">See OGC-API Records - Part 1</w:t>
      </w:r>
      <w:r>
        <w:t xml:space="preserve"> </w:t>
      </w:r>
      <w:hyperlink r:id="rId52">
        <w:r>
          <w:rPr>
            <w:rStyle w:val="Hyperlink"/>
          </w:rPr>
          <w:t xml:space="preserve">https://docs.ogc.org/DRAFTS/20-004.html</w:t>
        </w:r>
      </w:hyperlink>
      <w:r>
        <w:t xml:space="preserve">.</w:t>
      </w:r>
    </w:p>
  </w:footnote>
  <w:footnote w:id="172">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3">
    <w:p>
      <w:pPr>
        <w:pStyle w:val="FootnoteText"/>
      </w:pPr>
      <w:r>
        <w:rPr>
          <w:rStyle w:val="FootnoteReference"/>
        </w:rPr>
        <w:footnoteRef/>
      </w:r>
      <w:r>
        <w:t xml:space="preserve"> </w:t>
      </w:r>
      <w:r>
        <w:t xml:space="preserve">AMQP 1.0 is one of the protocols proposed in the draft PANS-IM.</w:t>
      </w:r>
    </w:p>
  </w:footnote>
  <w:footnote w:id="178">
    <w:p>
      <w:pPr>
        <w:pStyle w:val="FootnoteText"/>
      </w:pPr>
      <w:r>
        <w:rPr>
          <w:rStyle w:val="FootnoteReference"/>
        </w:rPr>
        <w:footnoteRef/>
      </w:r>
      <w:r>
        <w:t xml:space="preserve"> </w:t>
      </w:r>
      <w:r>
        <w:t xml:space="preserve">IWXXM (FM 205) is defined in the</w:t>
      </w:r>
      <w:r>
        <w:t xml:space="preserve"> </w:t>
      </w:r>
      <w:r>
        <w:rPr>
          <w:iCs/>
          <w:i/>
        </w:rPr>
        <w:t xml:space="preserve">Manual on Codes</w:t>
      </w:r>
      <w:r>
        <w:t xml:space="preserve"> </w:t>
      </w:r>
      <w:r>
        <w:t xml:space="preserve">(WMO-No. 306), Volume I.3.</w:t>
      </w:r>
    </w:p>
  </w:footnote>
  <w:footnote w:id="180">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r>
        <w:t xml:space="preserve">.</w:t>
      </w:r>
    </w:p>
  </w:footnote>
  <w:footnote w:id="181">
    <w:p>
      <w:pPr>
        <w:pStyle w:val="FootnoteText"/>
      </w:pPr>
      <w:r>
        <w:rPr>
          <w:rStyle w:val="FootnoteReference"/>
        </w:rPr>
        <w:footnoteRef/>
      </w:r>
      <w:r>
        <w:t xml:space="preserve"> </w:t>
      </w:r>
      <w:r>
        <w:t xml:space="preserve">WIS2 does not provide any guidance on use of Public Key Infrastructure (PKI).</w:t>
      </w:r>
    </w:p>
  </w:footnote>
  <w:footnote w:id="182">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3">
    <w:p>
      <w:pPr>
        <w:pStyle w:val="FootnoteText"/>
      </w:pPr>
      <w:r>
        <w:rPr>
          <w:rStyle w:val="FootnoteReference"/>
        </w:rPr>
        <w:footnoteRef/>
      </w:r>
      <w:r>
        <w:t xml:space="preserve"> </w:t>
      </w:r>
      <w:r>
        <w:t xml:space="preserve">Where the data resource does not exceed 4 Kb, it may be embedded in the notification message.</w:t>
      </w:r>
    </w:p>
  </w:footnote>
  <w:footnote w:id="185">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9">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90">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91">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2">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94">
    <w:p>
      <w:pPr>
        <w:pStyle w:val="FootnoteText"/>
      </w:pPr>
      <w:r>
        <w:rPr>
          <w:rStyle w:val="FootnoteReference"/>
        </w:rPr>
        <w:footnoteRef/>
      </w:r>
      <w:r>
        <w:t xml:space="preserve"> </w:t>
      </w:r>
      <w:r>
        <w:t xml:space="preserve">See AMQP 1.0:</w:t>
      </w:r>
      <w:r>
        <w:t xml:space="preserve"> </w:t>
      </w:r>
      <w:hyperlink r:id="rId195">
        <w:r>
          <w:rPr>
            <w:rStyle w:val="Hyperlink"/>
          </w:rPr>
          <w:t xml:space="preserve">https://www.amqp.org/resources/specifications</w:t>
        </w:r>
      </w:hyperlink>
      <w:r>
        <w:t xml:space="preserve">.</w:t>
      </w:r>
    </w:p>
  </w:footnote>
  <w:footnote w:id="198">
    <w:p>
      <w:pPr>
        <w:pStyle w:val="FootnoteText"/>
      </w:pPr>
      <w:r>
        <w:rPr>
          <w:rStyle w:val="FootnoteReference"/>
        </w:rPr>
        <w:footnoteRef/>
      </w:r>
      <w:r>
        <w:t xml:space="preserve"> </w:t>
      </w:r>
      <w:r>
        <w:t xml:space="preserve">See</w:t>
      </w:r>
      <w:r>
        <w:t xml:space="preserve"> </w:t>
      </w:r>
      <w:hyperlink r:id="rId199">
        <w:r>
          <w:rPr>
            <w:rStyle w:val="Hyperlink"/>
          </w:rPr>
          <w:t xml:space="preserve">https://schema.org</w:t>
        </w:r>
      </w:hyperlink>
      <w:r>
        <w:t xml:space="preserve">.</w:t>
      </w:r>
    </w:p>
  </w:footnote>
  <w:footnote w:id="218">
    <w:p>
      <w:pPr>
        <w:pStyle w:val="FootnoteText"/>
      </w:pPr>
      <w:r>
        <w:rPr>
          <w:rStyle w:val="FootnoteReference"/>
        </w:rPr>
        <w:footnoteRef/>
      </w:r>
      <w:r>
        <w:t xml:space="preserve"> </w:t>
      </w:r>
      <w:hyperlink r:id="rId219">
        <w:r>
          <w:rPr>
            <w:rStyle w:val="Hyperlink"/>
          </w:rPr>
          <w:t xml:space="preserve">https://go-fair.org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200" Target="media/rId200.png" /><Relationship Type="http://schemas.openxmlformats.org/officeDocument/2006/relationships/image" Id="rId186" Target="media/rId186.png" /><Relationship Type="http://schemas.openxmlformats.org/officeDocument/2006/relationships/image" Id="rId174" Target="media/rId174.png" /><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_rels/footnotes.xml.rels><?xml version="1.0" encoding="UTF-8"?><Relationships xmlns="http://schemas.openxmlformats.org/package/2006/relationships"><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(APPROVED) - WMO Information System 2.0</dc:title>
  <dc:creator/>
  <cp:keywords/>
  <dcterms:created xsi:type="dcterms:W3CDTF">2025-07-13T10:37:31Z</dcterms:created>
  <dcterms:modified xsi:type="dcterms:W3CDTF">2025-07-13T10:37:31Z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2025-07-13</vt:lpwstr>
  </property>
</Properties>
</file>