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2024-10-25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2024-10-25</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w:t>
      </w:r>
      <w:r>
        <w:t xml:space="preserve"> </w:t>
      </w:r>
      <w:r>
        <w:rPr>
          <w:i/>
        </w:rPr>
        <w:t xml:space="preserve">Guide to the WMO Information System</w:t>
      </w:r>
      <w:r>
        <w:t xml:space="preserve"> </w:t>
      </w:r>
      <w:r>
        <w:t xml:space="preserve">(WMO-No. 1061),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
        </w:rPr>
        <w:t xml:space="preserve">Manual on WIS</w:t>
      </w:r>
      <w:r>
        <w:t xml:space="preserve">, Volume II contains standard and recommended practices, procedures and specifications. The</w:t>
      </w:r>
      <w:r>
        <w:t xml:space="preserve"> </w:t>
      </w:r>
      <w:r>
        <w:rPr>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5"/>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r>
        <w:t xml:space="preserve"> </w:t>
      </w:r>
      <w:r>
        <w:t xml:space="preserve">* Assign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WIS2:</w:t>
      </w:r>
      <w:r>
        <w:t xml:space="preserve"> </w:t>
      </w:r>
      <w:r>
        <w:t xml:space="preserve">* Discovery metadata about datasets are published, as specified in the</w:t>
      </w:r>
      <w:r>
        <w:t xml:space="preserve"> </w:t>
      </w:r>
      <w:r>
        <w:rPr>
          <w:i/>
        </w:rPr>
        <w:t xml:space="preserve">Manual on WIS</w:t>
      </w:r>
      <w:r>
        <w:t xml:space="preserve">, Volume II – Appendix F. WMO Core Metadata Profile (Version 2);</w:t>
      </w:r>
      <w:r>
        <w:t xml:space="preserve"> </w:t>
      </w:r>
      <w:r>
        <w:t xml:space="preserve">* 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Data consumers can access the data that comprise a dataset from a single location using a well-described mechanism.</w:t>
      </w:r>
    </w:p>
    <w:p>
      <w:pPr>
        <w:pStyle w:val="BodyText"/>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Some examples of datasets include:</w:t>
      </w:r>
    </w:p>
    <w:p>
      <w:pPr>
        <w:numPr>
          <w:ilvl w:val="0"/>
          <w:numId w:val="1003"/>
        </w:numPr>
      </w:pPr>
      <w:r>
        <w:t xml:space="preserve">The most recent five days of synoptic observations for an entire country or territory;</w:t>
      </w:r>
      <w:r>
        <w:t xml:space="preserve"> </w:t>
      </w:r>
      <w:r>
        <w:rPr>
          <w:rStyle w:val="FootnoteReference"/>
        </w:rPr>
        <w:footnoteReference w:id="37"/>
      </w:r>
    </w:p>
    <w:p>
      <w:pPr>
        <w:numPr>
          <w:ilvl w:val="0"/>
          <w:numId w:val="1003"/>
        </w:numPr>
      </w:pPr>
      <w:r>
        <w:t xml:space="preserve">A long-term record of observed water quality for a managed set of hydrological stations;</w:t>
      </w:r>
    </w:p>
    <w:p>
      <w:pPr>
        <w:numPr>
          <w:ilvl w:val="0"/>
          <w:numId w:val="1003"/>
        </w:numPr>
      </w:pPr>
      <w:r>
        <w:t xml:space="preserve">The output from the most recent 24 hours of operational numerical weather prediction model runs;</w:t>
      </w:r>
    </w:p>
    <w:p>
      <w:pPr>
        <w:numPr>
          <w:ilvl w:val="0"/>
          <w:numId w:val="1003"/>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the present.</w:t>
      </w:r>
    </w:p>
    <w:p>
      <w:pPr>
        <w:pStyle w:val="FirstParagraph"/>
      </w:pPr>
      <w:r>
        <w:t xml:space="preserve">In summary, datasets are important because they are how data are managed in WIS2.</w:t>
      </w:r>
    </w:p>
    <w:p>
      <w:pPr>
        <w:pStyle w:val="Heading2"/>
      </w:pPr>
      <w:bookmarkStart w:id="38" w:name="Xa618aba36c73fb029768e9cac225769591ae380"/>
      <w:r>
        <w:t xml:space="preserve">1.2 Data consumer</w:t>
      </w:r>
      <w:bookmarkEnd w:id="38"/>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41"/>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4"/>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p>
      <w:pPr>
        <w:pStyle w:val="Heading3"/>
      </w:pPr>
      <w:bookmarkStart w:id="42" w:name="X4b769086e144bb72be66170fdf7bbd4c052cdad"/>
      <w:r>
        <w:t xml:space="preserve">1.2.3 How to use a notification message to decide whether to download data</w:t>
      </w:r>
      <w:bookmarkEnd w:id="42"/>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p>
      <w:pPr>
        <w:pStyle w:val="Heading3"/>
      </w:pPr>
      <w:bookmarkStart w:id="43" w:name="X1c330540af2520d0e22ddfeb8f38afbe6904691"/>
      <w:r>
        <w:t xml:space="preserve">1.2.4 How to download data</w:t>
      </w:r>
      <w:bookmarkEnd w:id="43"/>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4"/>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p>
      <w:pPr>
        <w:pStyle w:val="Heading3"/>
      </w:pPr>
      <w:bookmarkStart w:id="46" w:name="X7bb9f16c3e36926db2646ebd57edbc3e6378355"/>
      <w:r>
        <w:t xml:space="preserve">1.2.5 How to use data</w:t>
      </w:r>
      <w:bookmarkEnd w:id="46"/>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5"/>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5"/>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7" w:name="X38a362da6a73812bdd071fccb45dc7f1b5567e0"/>
      <w:r>
        <w:t xml:space="preserve">1.2.6 Further reading for data consumers</w:t>
      </w:r>
      <w:bookmarkEnd w:id="47"/>
    </w:p>
    <w:p>
      <w:pPr>
        <w:pStyle w:val="FirstParagraph"/>
      </w:pPr>
      <w:r>
        <w:t xml:space="preserve">Data consumers wanting to use data published via WIS2 should, at a minimum,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437cf0d280dd2c8ea8a0f1dcec8faa61a3122e7">
        <w:r>
          <w:rPr>
            <w:rStyle w:val="Hyperlink"/>
          </w:rPr>
          <w:t xml:space="preserve">???</w:t>
        </w:r>
      </w:hyperlink>
    </w:p>
    <w:p>
      <w:pPr>
        <w:pStyle w:val="FirstParagraph"/>
      </w:pPr>
      <w:r>
        <w:t xml:space="preserve">The following specifications in the</w:t>
      </w:r>
      <w:r>
        <w:t xml:space="preserve"> </w:t>
      </w:r>
      <w:r>
        <w:rPr>
          <w:i/>
        </w:rPr>
        <w:t xml:space="preserve">Manual on WIS</w:t>
      </w:r>
      <w:r>
        <w:t xml:space="preserve">, Volume II also provide useful information:</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 (Version 2).</w:t>
      </w:r>
    </w:p>
    <w:p>
      <w:pPr>
        <w:pStyle w:val="Heading2"/>
      </w:pPr>
      <w:bookmarkStart w:id="48" w:name="X363a02be7194723c113ca1aa270cd4d67b1a143"/>
      <w:r>
        <w:t xml:space="preserve">1.3 Data publisher</w:t>
      </w:r>
      <w:bookmarkEnd w:id="48"/>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p>
      <w:pPr>
        <w:pStyle w:val="Heading3"/>
      </w:pPr>
      <w:bookmarkStart w:id="49" w:name="X4f39ceb2dc63f026d3c2883f6ba2c37349bedbd"/>
      <w:r>
        <w:t xml:space="preserve">1.3.1 How to get started</w:t>
      </w:r>
      <w:bookmarkEnd w:id="49"/>
    </w:p>
    <w:p>
      <w:pPr>
        <w:pStyle w:val="FirstParagraph"/>
      </w:pPr>
      <w:r>
        <w:t xml:space="preserve">The first step is to consider the data, how they can be conceptually grouped into one or more datasets (see</w:t>
      </w:r>
      <w:r>
        <w:t xml:space="preserve"> </w:t>
      </w:r>
      <w:hyperlink w:anchor="Xb01df0ae23bd1a101e6f956f100c6456adc9595">
        <w:r>
          <w:rPr>
            <w:rStyle w:val="Hyperlink"/>
          </w:rPr>
          <w:t xml:space="preserve">???</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p>
      <w:pPr>
        <w:pStyle w:val="Heading3"/>
      </w:pPr>
      <w:bookmarkStart w:id="50" w:name="X21009dfafa1cda8133b39b7f2906d1497fde257"/>
      <w:r>
        <w:t xml:space="preserve">1.3.2 How to provide discovery metadata to WIS2</w:t>
      </w:r>
      <w:bookmarkEnd w:id="50"/>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51"/>
      </w:r>
      <w:r>
        <w:t xml:space="preserve">) and must conform to the specification given in the</w:t>
      </w:r>
      <w:r>
        <w:t xml:space="preserve"> </w:t>
      </w:r>
      <w:r>
        <w:rPr>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3"/>
      </w:r>
      <w:r>
        <w:t xml:space="preserve"> </w:t>
      </w:r>
      <w:r>
        <w:t xml:space="preserve">using one of two methods: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a data publisher may operate a local metadata catalogue through which discovery metadata records can be shared using an API (for example, OGC API – Records</w:t>
      </w:r>
      <w:r>
        <w:rPr>
          <w:rStyle w:val="FootnoteReference"/>
        </w:rPr>
        <w:footnoteReference w:id="54"/>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6"/>
      </w:r>
      <w:r>
        <w:t xml:space="preserve"> </w:t>
      </w:r>
      <w:r>
        <w:t xml:space="preserve">Notification messages shall conform to the specification given in the</w:t>
      </w:r>
      <w:r>
        <w:t xml:space="preserve"> </w:t>
      </w:r>
      <w:r>
        <w:rPr>
          <w:i/>
        </w:rPr>
        <w:t xml:space="preserve">Manual on WIS</w:t>
      </w:r>
      <w:r>
        <w:t xml:space="preserve">, Volume II - Appendix E. WIS2 Notification Message. They must also be published on a topic that conforms to the specification given in the</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p>
      <w:pPr>
        <w:pStyle w:val="Heading3"/>
      </w:pPr>
      <w:bookmarkStart w:id="57" w:name="X051e310d7e625aa45f193b489aa4a4179af83e2"/>
      <w:r>
        <w:t xml:space="preserve">1.3.3 How to provide data to WIS2</w:t>
      </w:r>
      <w:bookmarkEnd w:id="57"/>
    </w:p>
    <w:p>
      <w:pPr>
        <w:pStyle w:val="FirstParagraph"/>
      </w:pPr>
      <w:r>
        <w:t xml:space="preserve">WIS2 is based on the web architecture.</w:t>
      </w:r>
      <w:r>
        <w:rPr>
          <w:rStyle w:val="FootnoteReference"/>
        </w:rPr>
        <w:footnoteReference w:id="58"/>
      </w:r>
      <w:r>
        <w:t xml:space="preserve"> </w:t>
      </w:r>
      <w:r>
        <w:t xml:space="preserve">As such it is</w:t>
      </w:r>
      <w:r>
        <w:t xml:space="preserve"> </w:t>
      </w:r>
      <w:r>
        <w:rPr>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60"/>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62"/>
      </w:r>
      <w:r>
        <w:t xml:space="preserve">, and making them available via a data server - most typically a web server using HTTP protocol.</w:t>
      </w:r>
      <w:r>
        <w:rPr>
          <w:rStyle w:val="FootnoteReference"/>
        </w:rPr>
        <w:footnoteReference w:id="63"/>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4" w:name="X8351b54c2e430ed5222ae0e2680f410730e0e28"/>
      <w:r>
        <w:t xml:space="preserve">1.3.3.1 Data formats and encodings</w:t>
      </w:r>
      <w:bookmarkEnd w:id="64"/>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5">
        <w:r>
          <w:rPr>
            <w:rStyle w:val="Hyperlink"/>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p>
      <w:pPr>
        <w:pStyle w:val="Heading4"/>
      </w:pPr>
      <w:bookmarkStart w:id="66" w:name="X5c9d605accd1d79be7858ebf8e3ffa8cfd4f97b"/>
      <w:r>
        <w:t xml:space="preserve">1.3.3.2 Providing data as files</w:t>
      </w:r>
      <w:bookmarkEnd w:id="66"/>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7"/>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9"/>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p>
      <w:pPr>
        <w:pStyle w:val="Heading4"/>
      </w:pPr>
      <w:bookmarkStart w:id="72" w:name="X58413531c1ab7a780d47faf8330540fc2fbdabd"/>
      <w:r>
        <w:t xml:space="preserve">1.3.3.3 Providing interactive access to data with APIs</w:t>
      </w:r>
      <w:bookmarkEnd w:id="72"/>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1"/>
        </w:numPr>
      </w:pPr>
      <w:r>
        <w:t xml:space="preserve">Interpret a user’s request;</w:t>
      </w:r>
    </w:p>
    <w:p>
      <w:pPr>
        <w:numPr>
          <w:ilvl w:val="0"/>
          <w:numId w:val="1011"/>
        </w:numPr>
      </w:pPr>
      <w:r>
        <w:t xml:space="preserve">Extract the data from wherever they are stored;</w:t>
      </w:r>
    </w:p>
    <w:p>
      <w:pPr>
        <w:numPr>
          <w:ilvl w:val="0"/>
          <w:numId w:val="1011"/>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2"/>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2"/>
        </w:numPr>
      </w:pPr>
      <w:r>
        <w:t xml:space="preserve">Second, APIs should comply with OpenAPI</w:t>
      </w:r>
      <w:r>
        <w:rPr>
          <w:rStyle w:val="FootnoteReference"/>
        </w:rPr>
        <w:footnoteReference w:id="73"/>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2"/>
        </w:numPr>
      </w:pPr>
      <w:r>
        <w:t xml:space="preserve">Third, the OGC has developed a suite of APIs</w:t>
      </w:r>
      <w:r>
        <w:rPr>
          <w:rStyle w:val="FootnoteReference"/>
        </w:rPr>
        <w:footnoteReference w:id="75"/>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7"/>
      </w:r>
      <w:r>
        <w:t xml:space="preserve">, OGC API – Features</w:t>
      </w:r>
      <w:r>
        <w:rPr>
          <w:rStyle w:val="FootnoteReference"/>
        </w:rPr>
        <w:footnoteReference w:id="79"/>
      </w:r>
      <w:r>
        <w:t xml:space="preserve">, and OGC API - Coverages</w:t>
      </w:r>
      <w:r>
        <w:rPr>
          <w:rStyle w:val="FootnoteReference"/>
        </w:rPr>
        <w:footnoteReference w:id="81"/>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3" w:name="X994dfbb07bfc98f8cd58eb856dd1435c0dbcf59"/>
      <w:r>
        <w:t xml:space="preserve">1.3.3.4 Providing data in (near) real time</w:t>
      </w:r>
      <w:bookmarkEnd w:id="83"/>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4"/>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6"/>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7"/>
      </w:r>
      <w:r>
        <w:t xml:space="preserve"> </w:t>
      </w:r>
      <w:r>
        <w:t xml:space="preserve">using the MQTT protocol and immediately delivered to all users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8"/>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9"/>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0"/>
      </w:r>
      <w:r>
        <w:t xml:space="preserve"> </w:t>
      </w:r>
      <w:r>
        <w:t xml:space="preserve">The Global Broker will only republish notification messages on topics specified in the discovery metadata records.</w:t>
      </w:r>
    </w:p>
    <w:p>
      <w:pPr>
        <w:pStyle w:val="Heading4"/>
      </w:pPr>
      <w:bookmarkStart w:id="91" w:name="X92e016493de8f5137348918844e02b79b0f6693"/>
      <w:r>
        <w:t xml:space="preserve">1.3.3.5 Considerations when providing core data in WIS2</w:t>
      </w:r>
      <w:bookmarkEnd w:id="91"/>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92"/>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93"/>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4"/>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5" w:name="Xd0bd182a7c1fc70068a7486071d51e95016173a"/>
      <w:r>
        <w:t xml:space="preserve">1.3.3.6 Implementing access control</w:t>
      </w:r>
      <w:bookmarkEnd w:id="95"/>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6"/>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8"/>
      </w:r>
      <w:r>
        <w:rPr>
          <w:rStyle w:val="FootnoteReference"/>
        </w:rPr>
        <w:footnoteReference w:id="99"/>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 hours).</w:t>
      </w:r>
      <w:r>
        <w:rPr>
          <w:rStyle w:val="FootnoteReference"/>
        </w:rPr>
        <w:footnoteReference w:id="100"/>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p>
      <w:pPr>
        <w:pStyle w:val="Heading4"/>
      </w:pPr>
      <w:bookmarkStart w:id="102" w:name="X26d403da9e25add1beffef44cd4295568427077"/>
      <w:r>
        <w:t xml:space="preserve">1.3.3.7 Providing access to data archives</w:t>
      </w:r>
      <w:bookmarkEnd w:id="102"/>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103"/>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p>
      <w:pPr>
        <w:pStyle w:val="Heading3"/>
      </w:pPr>
      <w:bookmarkStart w:id="104" w:name="X3c0f058502cbf12e2dd8dea423559d84f1e29d8"/>
      <w:r>
        <w:t xml:space="preserve">1.3.4 Further reading for data publishers</w:t>
      </w:r>
      <w:bookmarkEnd w:id="104"/>
    </w:p>
    <w:p>
      <w:pPr>
        <w:pStyle w:val="FirstParagraph"/>
      </w:pPr>
      <w:r>
        <w:t xml:space="preserve">Data publishers planning to operate WIS2 Nodes, at a minimum,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f2d7c5d050e0aa86035115bc88f8db01540e545">
        <w:r>
          <w:rPr>
            <w:rStyle w:val="Hyperlink"/>
          </w:rPr>
          <w:t xml:space="preserve">???</w:t>
        </w:r>
      </w:hyperlink>
      <w:r>
        <w:t xml:space="preserve">.</w:t>
      </w:r>
    </w:p>
    <w:p>
      <w:pPr>
        <w:pStyle w:val="BodyText"/>
      </w:pPr>
      <w:r>
        <w:t xml:space="preserve">Finally, data publishers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(Version 2)</w:t>
      </w:r>
    </w:p>
    <w:p>
      <w:pPr>
        <w:pStyle w:val="Heading1"/>
      </w:pPr>
      <w:bookmarkStart w:id="105" w:name="X27c3714cbd41941b233815ec66585da0909fd6e"/>
      <w:r>
        <w:t xml:space="preserve">PART II</w:t>
      </w:r>
      <w:bookmarkEnd w:id="105"/>
    </w:p>
    <w:p>
      <w:pPr>
        <w:pStyle w:val="Heading2"/>
      </w:pPr>
      <w:bookmarkStart w:id="106" w:name="X28f5541877c33125cf202024e3ac20634883b4b"/>
      <w:r>
        <w:t xml:space="preserve">2.1 WIS2 architecture</w:t>
      </w:r>
      <w:bookmarkEnd w:id="106"/>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7" w:name="X2aab2acdf50eeb2b0e5317fdf565808e30de610"/>
      <w:r>
        <w:t xml:space="preserve">2.2 Roles in WIS2</w:t>
      </w:r>
      <w:bookmarkEnd w:id="107"/>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8" w:name="Xedffd8645c78e6956cdbfea962d2b5423af3488"/>
      <w:r>
        <w:t xml:space="preserve">2.2.1 Data publisher</w:t>
      </w:r>
      <w:bookmarkEnd w:id="108"/>
    </w:p>
    <w:p>
      <w:pPr>
        <w:numPr>
          <w:ilvl w:val="0"/>
          <w:numId w:val="1018"/>
        </w:numPr>
      </w:pPr>
      <w:r>
        <w:t xml:space="preserve">This role is fulfilled by NCs and DCPCs.</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and provide details on how it can be accessed and under what conditions;</w:t>
      </w:r>
    </w:p>
    <w:p>
      <w:pPr>
        <w:numPr>
          <w:ilvl w:val="1"/>
          <w:numId w:val="1019"/>
        </w:numPr>
      </w:pPr>
      <w:r>
        <w:t xml:space="preserve">An API or web service to access or interact with the dataset;</w:t>
      </w:r>
    </w:p>
    <w:p>
      <w:pPr>
        <w:numPr>
          <w:ilvl w:val="1"/>
          <w:numId w:val="1019"/>
        </w:numPr>
      </w:pPr>
      <w:r>
        <w:t xml:space="preserve">Notification messages advertising the availability of new data and metadata.</w:t>
      </w:r>
    </w:p>
    <w:p>
      <w:pPr>
        <w:pStyle w:val="Heading3"/>
      </w:pPr>
      <w:bookmarkStart w:id="109" w:name="Xa591cc3322f5aeef758d0e2363ca48b3c10753e"/>
      <w:r>
        <w:t xml:space="preserve">2.2.2 Global coordinator</w:t>
      </w:r>
      <w:bookmarkEnd w:id="109"/>
    </w:p>
    <w:p>
      <w:pPr>
        <w:numPr>
          <w:ilvl w:val="0"/>
          <w:numId w:val="1020"/>
        </w:numPr>
      </w:pPr>
      <w:r>
        <w:t xml:space="preserve">This role is exclusive to GISCs.</w:t>
      </w:r>
    </w:p>
    <w:p>
      <w:pPr>
        <w:numPr>
          <w:ilvl w:val="0"/>
          <w:numId w:val="1020"/>
        </w:numPr>
      </w:pPr>
      <w:r>
        <w:t xml:space="preserve">All GISCs supporting WMO Members in their AoR fulfil their data sharing obligations via WIS2.</w:t>
      </w:r>
    </w:p>
    <w:p>
      <w:pPr>
        <w:pStyle w:val="Heading3"/>
      </w:pPr>
      <w:bookmarkStart w:id="110" w:name="X9d9963bf3882e20c8c1fe906f367365dce1b9cc"/>
      <w:r>
        <w:t xml:space="preserve">2.2.3 Global Service operator</w:t>
      </w:r>
      <w:bookmarkEnd w:id="110"/>
    </w:p>
    <w:p>
      <w:pPr>
        <w:numPr>
          <w:ilvl w:val="0"/>
          <w:numId w:val="1021"/>
        </w:numPr>
      </w:pPr>
      <w:r>
        <w:t xml:space="preserve">To ensure highly available global data exchange, a WIS centre may operate one or more Global Services:</w:t>
      </w:r>
    </w:p>
    <w:p>
      <w:pPr>
        <w:numPr>
          <w:ilvl w:val="1"/>
          <w:numId w:val="1022"/>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2"/>
        </w:numPr>
      </w:pPr>
      <w:r>
        <w:t xml:space="preserve">A Global Broker provides highly available messaging services through which users may subscribe to notifications about all datasets provided by data publishers;</w:t>
      </w:r>
    </w:p>
    <w:p>
      <w:pPr>
        <w:numPr>
          <w:ilvl w:val="1"/>
          <w:numId w:val="1022"/>
        </w:numPr>
      </w:pPr>
      <w:r>
        <w:t xml:space="preserve">A Global Cache provides a highly available download service for cached copies of core data downloaded from data publishers’ web services;</w:t>
      </w:r>
    </w:p>
    <w:p>
      <w:pPr>
        <w:numPr>
          <w:ilvl w:val="1"/>
          <w:numId w:val="1022"/>
        </w:numPr>
      </w:pPr>
      <w:r>
        <w:t xml:space="preserve">A Global Monitor gathers and displays system performance, data availability, and other metrics from all WIS2 Nodes and Global Services.</w:t>
      </w:r>
    </w:p>
    <w:p>
      <w:pPr>
        <w:pStyle w:val="Heading3"/>
      </w:pPr>
      <w:bookmarkStart w:id="111" w:name="X1dad0ee763c824c05222b8d64a106fa2ccf4bfa"/>
      <w:r>
        <w:t xml:space="preserve">2.2.4 Data consumer</w:t>
      </w:r>
      <w:bookmarkEnd w:id="111"/>
    </w:p>
    <w:p>
      <w:pPr>
        <w:numPr>
          <w:ilvl w:val="0"/>
          <w:numId w:val="1023"/>
        </w:numPr>
      </w:pPr>
      <w:r>
        <w:t xml:space="preserve">This role represents anyone wanting to find, access, and use data from WIS2. Examples include NMHSs, government agencies, research institutions, private sector organizations, and so forth.</w:t>
      </w:r>
    </w:p>
    <w:p>
      <w:pPr>
        <w:numPr>
          <w:ilvl w:val="0"/>
          <w:numId w:val="1023"/>
        </w:numPr>
      </w:pPr>
      <w:r>
        <w:t xml:space="preserve">Data consumers search or browse a Global Discovery Catalogue (or another search engine) to discover the datasets that meet their needs ("datasets of interest").</w:t>
      </w:r>
    </w:p>
    <w:p>
      <w:pPr>
        <w:numPr>
          <w:ilvl w:val="0"/>
          <w:numId w:val="1023"/>
        </w:numPr>
      </w:pPr>
      <w:r>
        <w:t xml:space="preserve">Data consumers subscribe via a Global Broker to receive notification messages about the availability of data or metadata associated with their datasets of interest.</w:t>
      </w:r>
    </w:p>
    <w:p>
      <w:pPr>
        <w:numPr>
          <w:ilvl w:val="0"/>
          <w:numId w:val="1023"/>
        </w:numPr>
      </w:pPr>
      <w:r>
        <w:t xml:space="preserve">Data consumers determine whether the data or metadata referenced in the notification messages are required.</w:t>
      </w:r>
    </w:p>
    <w:p>
      <w:pPr>
        <w:numPr>
          <w:ilvl w:val="0"/>
          <w:numId w:val="1023"/>
        </w:numPr>
      </w:pPr>
      <w:r>
        <w:t xml:space="preserve">Data consumers download data from a Global Cache or WIS2 Node.</w:t>
      </w:r>
    </w:p>
    <w:p>
      <w:pPr>
        <w:pStyle w:val="Heading2"/>
      </w:pPr>
      <w:bookmarkStart w:id="112" w:name="X23e291de28ce042fa502fdbe4422ded44f10aa0"/>
      <w:r>
        <w:t xml:space="preserve">2.3 WIS2 specifications</w:t>
      </w:r>
      <w:bookmarkEnd w:id="112"/>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Refer to the</w:t>
      </w:r>
      <w:r>
        <w:t xml:space="preserve"> </w:t>
      </w:r>
      <w:r>
        <w:rPr>
          <w:i/>
        </w:rPr>
        <w:t xml:space="preserve">Manual on WIS</w:t>
      </w:r>
      <w:r>
        <w:t xml:space="preserve">, Volume II for details.</w:t>
      </w:r>
    </w:p>
    <w:p>
      <w:pPr>
        <w:pStyle w:val="Heading2"/>
      </w:pPr>
      <w:bookmarkStart w:id="113" w:name="Xd20234fcab55c6d0f15ec6400ee8d718d5da771"/>
      <w:r>
        <w:t xml:space="preserve">2.4 Components of WIS2</w:t>
      </w:r>
      <w:bookmarkEnd w:id="113"/>
    </w:p>
    <w:p>
      <w:pPr>
        <w:pStyle w:val="Heading3"/>
      </w:pPr>
      <w:bookmarkStart w:id="114" w:name="X69908ca4935ba9b97e7a17332d181125367ef26"/>
      <w:r>
        <w:t xml:space="preserve">2.4.1 WIS2 Node</w:t>
      </w:r>
      <w:bookmarkEnd w:id="114"/>
    </w:p>
    <w:p>
      <w:pPr>
        <w:numPr>
          <w:ilvl w:val="0"/>
          <w:numId w:val="1024"/>
        </w:numPr>
      </w:pPr>
      <w:r>
        <w:t xml:space="preserve">WIS2 Nodes are central to WIS2. They are operated by NCs and DCPCs to publish their core and recommended data.</w:t>
      </w:r>
    </w:p>
    <w:p>
      <w:pPr>
        <w:numPr>
          <w:ilvl w:val="0"/>
          <w:numId w:val="1024"/>
        </w:numPr>
      </w:pPr>
      <w:r>
        <w:t xml:space="preserve">WIS2 adopts web technologies and open standards, enabling WIS2 Nodes to be implemented using freely available software components and common industry practices.</w:t>
      </w:r>
    </w:p>
    <w:p>
      <w:pPr>
        <w:numPr>
          <w:ilvl w:val="0"/>
          <w:numId w:val="1024"/>
        </w:numPr>
      </w:pPr>
      <w:r>
        <w:t xml:space="preserve">WIS2 Nodes publish data as files on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 (Version 2).</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4"/>
        </w:numPr>
      </w:pPr>
      <w:r>
        <w:t xml:space="preserve">WIS2 Nodes may control access to the data they publish. Global Services operate with fixed IP addresses, enabling WIS2 Nodes to easily distinguish their requests.</w:t>
      </w:r>
    </w:p>
    <w:p>
      <w:pPr>
        <w:pStyle w:val="Heading3"/>
      </w:pPr>
      <w:bookmarkStart w:id="115" w:name="X83e3d9fbe98f85330900c67b0f119c5312fe9ec"/>
      <w:r>
        <w:t xml:space="preserve">2.4.2 Global Broker</w:t>
      </w:r>
      <w:bookmarkEnd w:id="115"/>
    </w:p>
    <w:p>
      <w:pPr>
        <w:numPr>
          <w:ilvl w:val="0"/>
          <w:numId w:val="1025"/>
        </w:numPr>
      </w:pPr>
      <w:r>
        <w:t xml:space="preserve">WIS2 incorporates several Global Brokers, ensuring the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that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data consumers to easily find topics relevant to their needs.</w:t>
      </w:r>
    </w:p>
    <w:p>
      <w:pPr>
        <w:numPr>
          <w:ilvl w:val="0"/>
          <w:numId w:val="1025"/>
        </w:numPr>
      </w:pPr>
      <w:r>
        <w:t xml:space="preserve">Data consumers should subscribe to notifications from a Global Broker, not directly from the Message Brokers operated by WIS2 Nodes.</w:t>
      </w:r>
    </w:p>
    <w:p>
      <w:pPr>
        <w:pStyle w:val="Heading3"/>
      </w:pPr>
      <w:bookmarkStart w:id="116" w:name="X5b73d135462fb24ef0f85aaeceaffed4dc74591"/>
      <w:r>
        <w:t xml:space="preserve">2.4.3 Global Cache</w:t>
      </w:r>
      <w:bookmarkEnd w:id="116"/>
    </w:p>
    <w:p>
      <w:pPr>
        <w:numPr>
          <w:ilvl w:val="0"/>
          <w:numId w:val="1026"/>
        </w:numPr>
      </w:pPr>
      <w:r>
        <w:t xml:space="preserve">WIS2 incorporates several Global Caches, ensuring the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6"/>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6"/>
        </w:numPr>
      </w:pPr>
      <w:r>
        <w:t xml:space="preserve">A Global Cache shall retain a copy of the core data for a duration compatible with the real-time or near-real-time schedule of the data and not less than 24 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those data are available.</w:t>
      </w:r>
    </w:p>
    <w:p>
      <w:pPr>
        <w:pStyle w:val="Heading3"/>
      </w:pPr>
      <w:bookmarkStart w:id="117" w:name="Xa3b486d690c63130663ad7bf25467f63f046e52"/>
      <w:r>
        <w:t xml:space="preserve">2.4.4 Global Discovery Catalogue</w:t>
      </w:r>
      <w:bookmarkEnd w:id="117"/>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7"/>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7"/>
        </w:numPr>
      </w:pPr>
      <w:r>
        <w:t xml:space="preserve">A Global Discovery Catalogue amends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8" w:name="Xeb98fb33a1e4498213eea5bcb421ddbb3cf8882"/>
      <w:r>
        <w:t xml:space="preserve">2.4.5 Global Monitor</w:t>
      </w:r>
      <w:bookmarkEnd w:id="118"/>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the data can be effectively accessed by data consumers;</w:t>
      </w:r>
    </w:p>
    <w:p>
      <w:pPr>
        <w:numPr>
          <w:ilvl w:val="1"/>
          <w:numId w:val="1029"/>
        </w:numPr>
      </w:pPr>
      <w:r>
        <w:t xml:space="preserve">The performance of components in the WIS2 system.</w:t>
      </w:r>
    </w:p>
    <w:p>
      <w:pPr>
        <w:pStyle w:val="Heading2"/>
      </w:pPr>
      <w:bookmarkStart w:id="119" w:name="Xd2d4fa6849f58a31365ab34a99d7515a2fa1af8"/>
      <w:r>
        <w:t xml:space="preserve">2.5 Protocol configuration</w:t>
      </w:r>
      <w:bookmarkEnd w:id="119"/>
    </w:p>
    <w:p>
      <w:pPr>
        <w:pStyle w:val="Heading3"/>
      </w:pPr>
      <w:bookmarkStart w:id="120" w:name="X5148c3f35fe6b42153b4829bf3ed76554c0764b"/>
      <w:r>
        <w:t xml:space="preserve">2.5.1 Publish-subscribe protocol (MQTT)</w:t>
      </w:r>
      <w:bookmarkEnd w:id="120"/>
    </w:p>
    <w:p>
      <w:pPr>
        <w:numPr>
          <w:ilvl w:val="0"/>
          <w:numId w:val="1030"/>
        </w:numPr>
      </w:pPr>
      <w:r>
        <w:t xml:space="preserve">The MQTT protocol</w:t>
      </w:r>
      <w:r>
        <w:rPr>
          <w:rStyle w:val="FootnoteReference"/>
        </w:rPr>
        <w:footnoteReference w:id="121"/>
      </w:r>
      <w:r>
        <w:t xml:space="preserve"> </w:t>
      </w:r>
      <w:r>
        <w:t xml:space="preserve">is to be used for all WIS2 publish-subscribe workflows (publication and subscription).</w:t>
      </w:r>
    </w:p>
    <w:p>
      <w:pPr>
        <w:numPr>
          <w:ilvl w:val="0"/>
          <w:numId w:val="1030"/>
        </w:numPr>
      </w:pPr>
      <w:r>
        <w:t xml:space="preserve">MQTT v3.1.1 and v5.0 are the chosen protocols for the publication of and subscription to WIS2 notification messages.</w:t>
      </w:r>
    </w:p>
    <w:p>
      <w:pPr>
        <w:numPr>
          <w:ilvl w:val="1"/>
          <w:numId w:val="1031"/>
        </w:numPr>
      </w:pPr>
      <w:r>
        <w:t xml:space="preserve">MQTT v5.0 is preferred for connecting to Global Brokers as it provides additional features such as the ability to use shared subscriptions.</w:t>
      </w:r>
    </w:p>
    <w:p>
      <w:pPr>
        <w:numPr>
          <w:ilvl w:val="0"/>
          <w:numId w:val="1030"/>
        </w:numPr>
      </w:pPr>
      <w:r>
        <w:t xml:space="preserve">The following parameters are to be used for all MQTT client/server connections and subscriptions:</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To enable user authentication and authorization, WIS2 Nodes, Global Caches, Global Discovery Catalogues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3" w:name="X9e4e4e6a99bfa9f33214bbb5aa2f4afe3c6c555"/>
      <w:r>
        <w:t xml:space="preserve">2.5.2 Download protocol (HTTP)</w:t>
      </w:r>
      <w:bookmarkEnd w:id="123"/>
    </w:p>
    <w:p>
      <w:pPr>
        <w:numPr>
          <w:ilvl w:val="0"/>
          <w:numId w:val="1033"/>
        </w:numPr>
      </w:pPr>
      <w:r>
        <w:t xml:space="preserve">The HTTP protocol (RFC 7231</w:t>
      </w:r>
      <w:r>
        <w:rPr>
          <w:rStyle w:val="FootnoteReference"/>
        </w:rPr>
        <w:footnoteReference w:id="124"/>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TCP port to be used is 443 for Secure HTTP (HTTPS).</w:t>
      </w:r>
    </w:p>
    <w:p>
      <w:pPr>
        <w:pStyle w:val="Heading2"/>
      </w:pPr>
      <w:bookmarkStart w:id="126" w:name="X3ae7ce42c49b488ea5ce867cd5204228fbe6cae"/>
      <w:r>
        <w:t xml:space="preserve">2.6 Implementation and operation of a WIS2 Node</w:t>
      </w:r>
      <w:bookmarkEnd w:id="126"/>
    </w:p>
    <w:p>
      <w:pPr>
        <w:pStyle w:val="Heading3"/>
      </w:pPr>
      <w:bookmarkStart w:id="127" w:name="X4ee010be1464117bc3c084444577b93b6bb19d4"/>
      <w:r>
        <w:t xml:space="preserve">2.6.1 Practices and procedures</w:t>
      </w:r>
      <w:bookmarkEnd w:id="127"/>
    </w:p>
    <w:p>
      <w:pPr>
        <w:pStyle w:val="Heading4"/>
      </w:pPr>
      <w:bookmarkStart w:id="128" w:name="X3feb474c705f93907a17142db58eea3410111d2"/>
      <w:r>
        <w:t xml:space="preserve">2.6.1.1 Registration and decommissioning of a WIS2 Node</w:t>
      </w:r>
      <w:bookmarkEnd w:id="128"/>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4"/>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4"/>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maintained by the WMO Secretariat.</w:t>
      </w:r>
    </w:p>
    <w:p>
      <w:pPr>
        <w:numPr>
          <w:ilvl w:val="0"/>
          <w:numId w:val="1034"/>
        </w:numPr>
      </w:pPr>
      <w:r>
        <w:t xml:space="preserve">Provide details of the Global Service: The WMO Secretariat provides connection details (such as IP addresses) for the Global Services so that the WIS2 Node can be configured to provide access.</w:t>
      </w:r>
    </w:p>
    <w:p>
      <w:pPr>
        <w:numPr>
          <w:ilvl w:val="0"/>
          <w:numId w:val="1034"/>
        </w:numPr>
      </w:pPr>
      <w:r>
        <w:t xml:space="preserve">WIS2 Node assessment: The principal GISC verifies that the WIS2 Node is compliant with WIS2 requirements. This assessment includes:</w:t>
      </w:r>
    </w:p>
    <w:p>
      <w:pPr>
        <w:numPr>
          <w:ilvl w:val="1"/>
          <w:numId w:val="1035"/>
        </w:numPr>
      </w:pPr>
      <w:r>
        <w:t xml:space="preserve">Verification of compliance of the topics used by the centre with the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4"/>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Diagram of the process for register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9"/>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p>
      <w:pPr>
        <w:pStyle w:val="Heading4"/>
      </w:pPr>
      <w:bookmarkStart w:id="130" w:name="X99c7798f2bd8131f2d0a393cbc3007df1a1d19a"/>
      <w:r>
        <w:t xml:space="preserve">2.6.1.2 Guidance on assigning a centre identifier for a WIS2 Node</w:t>
      </w:r>
      <w:bookmarkEnd w:id="130"/>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 Top Level Domain (TLD) defined by the Internet Assigned Numbers Authority (IANA).</w:t>
      </w:r>
      <w:r>
        <w:rPr>
          <w:rStyle w:val="FootnoteReference"/>
        </w:rPr>
        <w:footnoteReference w:id="131"/>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3"/>
      </w:r>
      <w:r>
        <w:t xml:space="preserve"> </w:t>
      </w:r>
      <w:r>
        <w:t xml:space="preserve">so “metoffice” is better than “ukmo”.</w:t>
      </w:r>
      <w:r>
        <w:rPr>
          <w:rStyle w:val="FootnoteReference"/>
        </w:rPr>
        <w:footnoteReference w:id="135"/>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6"/>
        </w:numPr>
      </w:pPr>
      <w:r>
        <w:rPr>
          <w:rStyle w:val="VerbatimChar"/>
        </w:rPr>
        <w:t xml:space="preserve">uk-metoffice-nmc</w:t>
      </w:r>
      <w:r>
        <w:t xml:space="preserve">;</w:t>
      </w:r>
    </w:p>
    <w:p>
      <w:pPr>
        <w:numPr>
          <w:ilvl w:val="0"/>
          <w:numId w:val="1036"/>
        </w:numPr>
      </w:pPr>
      <w:r>
        <w:rPr>
          <w:rStyle w:val="VerbatimChar"/>
        </w:rPr>
        <w:t xml:space="preserve">uk-metoffice-vaac</w:t>
      </w:r>
      <w:r>
        <w:t xml:space="preserve">;</w:t>
      </w:r>
    </w:p>
    <w:p>
      <w:pPr>
        <w:numPr>
          <w:ilvl w:val="0"/>
          <w:numId w:val="1036"/>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7"/>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8"/>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9"/>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40"/>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 publish datasets and compliant discovery metadata. This entails:</w:t>
      </w:r>
      <w:r>
        <w:t xml:space="preserve"> </w:t>
      </w:r>
      <w:r>
        <w:t xml:space="preserve">* Publishing metadata to the Global Data Catalogue;</w:t>
      </w:r>
      <w:r>
        <w:t xml:space="preserve"> </w:t>
      </w:r>
      <w:r>
        <w:t xml:space="preserve">* Publishing core data to the Global Cache;</w:t>
      </w:r>
      <w:r>
        <w:t xml:space="preserve"> </w:t>
      </w:r>
      <w:r>
        <w:t xml:space="preserve">* Publishing data for consumer access;</w:t>
      </w:r>
      <w:r>
        <w:t xml:space="preserve"> </w:t>
      </w:r>
      <w:r>
        <w:t xml:space="preserve">* Publishing data embedded in a message (for example, Common Alerting Protocol (CAP) warnings);</w:t>
      </w:r>
      <w:r>
        <w:t xml:space="preserve"> </w:t>
      </w:r>
      <w:r>
        <w:t xml:space="preserve">* Receiving metadata publication errors from the Global Data Catalogue;</w:t>
      </w:r>
      <w:r>
        <w:t xml:space="preserve"> </w:t>
      </w:r>
      <w:r>
        <w:t xml:space="preserve">* Providing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37"/>
        </w:numPr>
      </w:pPr>
      <w:r>
        <w:t xml:space="preserve">Configuration, generation and publication of data (real-time or archive) and metadata to WIS2, compliant to WIS2 Node requirements</w:t>
      </w:r>
    </w:p>
    <w:p>
      <w:pPr>
        <w:numPr>
          <w:ilvl w:val="0"/>
          <w:numId w:val="1037"/>
        </w:numPr>
      </w:pPr>
      <w:r>
        <w:t xml:space="preserve">MQTT Message Broker and notification message publication (subscribe);</w:t>
      </w:r>
    </w:p>
    <w:p>
      <w:pPr>
        <w:numPr>
          <w:ilvl w:val="0"/>
          <w:numId w:val="1037"/>
        </w:numPr>
      </w:pPr>
      <w:r>
        <w:t xml:space="preserve">HTTP object storage and raw data access (download);</w:t>
      </w:r>
    </w:p>
    <w:p>
      <w:pPr>
        <w:numPr>
          <w:ilvl w:val="0"/>
          <w:numId w:val="1037"/>
        </w:numPr>
      </w:pPr>
      <w:r>
        <w:t xml:space="preserve">Station metadata curation/editing tools (user interface);</w:t>
      </w:r>
    </w:p>
    <w:p>
      <w:pPr>
        <w:numPr>
          <w:ilvl w:val="0"/>
          <w:numId w:val="1037"/>
        </w:numPr>
      </w:pPr>
      <w:r>
        <w:t xml:space="preserve">Discovery metadata curation/editing tools (user interface);</w:t>
      </w:r>
    </w:p>
    <w:p>
      <w:pPr>
        <w:numPr>
          <w:ilvl w:val="0"/>
          <w:numId w:val="1037"/>
        </w:numPr>
      </w:pPr>
      <w:r>
        <w:t xml:space="preserve">Data entry tools (user interface);</w:t>
      </w:r>
    </w:p>
    <w:p>
      <w:pPr>
        <w:numPr>
          <w:ilvl w:val="0"/>
          <w:numId w:val="1037"/>
        </w:numPr>
      </w:pPr>
      <w:r>
        <w:t xml:space="preserve">OGC API server, providing dynamic APIs for discovery, access, visualization and processing functionality (APIs);</w:t>
      </w:r>
    </w:p>
    <w:p>
      <w:pPr>
        <w:numPr>
          <w:ilvl w:val="0"/>
          <w:numId w:val="1037"/>
        </w:numPr>
      </w:pPr>
      <w:r>
        <w:t xml:space="preserve">Extensible data "pipelines", allowing for the transformation, processing and publishing of additional data types;</w:t>
      </w:r>
    </w:p>
    <w:p>
      <w:pPr>
        <w:numPr>
          <w:ilvl w:val="0"/>
          <w:numId w:val="1037"/>
        </w:numPr>
      </w:pPr>
      <w:r>
        <w:t xml:space="preserve">Provision of system performance and data availability metrics;</w:t>
      </w:r>
    </w:p>
    <w:p>
      <w:pPr>
        <w:numPr>
          <w:ilvl w:val="0"/>
          <w:numId w:val="1037"/>
        </w:numPr>
      </w:pPr>
      <w:r>
        <w:t xml:space="preserve">Access control for publication of recommended data, as required;</w:t>
      </w:r>
    </w:p>
    <w:p>
      <w:pPr>
        <w:numPr>
          <w:ilvl w:val="0"/>
          <w:numId w:val="1037"/>
        </w:numPr>
      </w:pPr>
      <w:r>
        <w:t xml:space="preserve">Subscription to notifications and download of WIS data from Global Services;</w:t>
      </w:r>
    </w:p>
    <w:p>
      <w:pPr>
        <w:numPr>
          <w:ilvl w:val="0"/>
          <w:numId w:val="1037"/>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5">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6">
        <w:r>
          <w:rPr>
            <w:rStyle w:val="Hyperlink"/>
          </w:rPr>
          <w:t xml:space="preserve">https://github.com/wmo-im/wis2box</w:t>
        </w:r>
      </w:hyperlink>
      <w:r>
        <w:t xml:space="preserve">.</w:t>
      </w:r>
    </w:p>
    <w:p>
      <w:pPr>
        <w:pStyle w:val="Heading2"/>
      </w:pPr>
      <w:bookmarkStart w:id="147" w:name="Xfc2b1d051d5059ca26800679264bdec2476b811"/>
      <w:r>
        <w:t xml:space="preserve">2.7 Implementation and operation of a Global Service</w:t>
      </w:r>
      <w:bookmarkEnd w:id="147"/>
    </w:p>
    <w:p>
      <w:pPr>
        <w:pStyle w:val="Heading3"/>
      </w:pPr>
      <w:bookmarkStart w:id="148" w:name="Xe80043550b9fadc80e16b14b387d07bb06f7498"/>
      <w:r>
        <w:t xml:space="preserve">2.7.1 Procedure for registering a new Global Service</w:t>
      </w:r>
      <w:bookmarkEnd w:id="148"/>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38"/>
        </w:numPr>
      </w:pPr>
      <w:r>
        <w:t xml:space="preserve">Three Global Brokers, with each Global Broker connected to at least two other Global Brokers;</w:t>
      </w:r>
    </w:p>
    <w:p>
      <w:pPr>
        <w:numPr>
          <w:ilvl w:val="0"/>
          <w:numId w:val="1038"/>
        </w:numPr>
      </w:pPr>
      <w:r>
        <w:t xml:space="preserve">Three Global Caches, with each Global Cache connected to at least two Global Brokers and capable of downloading data from all WIS2 Nodes providing core data;</w:t>
      </w:r>
    </w:p>
    <w:p>
      <w:pPr>
        <w:numPr>
          <w:ilvl w:val="0"/>
          <w:numId w:val="1038"/>
        </w:numPr>
      </w:pPr>
      <w:r>
        <w:t xml:space="preserve">Two Global Discovery Catalogues, with each Global Discovery Catalogue connected to at least one Global Broker;</w:t>
      </w:r>
    </w:p>
    <w:p>
      <w:pPr>
        <w:numPr>
          <w:ilvl w:val="0"/>
          <w:numId w:val="1038"/>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9" w:name="X6c9286f3864f97cda2ea62bd0fb4492c6ebab7b"/>
      <w:r>
        <w:t xml:space="preserve">2.7.2 Performance management and monitoring of a Global Service</w:t>
      </w:r>
      <w:bookmarkEnd w:id="149"/>
    </w:p>
    <w:p>
      <w:pPr>
        <w:pStyle w:val="Heading4"/>
      </w:pPr>
      <w:bookmarkStart w:id="150" w:name="Xcec45063fc0a6464b752cf9181a1d06b7acc4ee"/>
      <w:r>
        <w:t xml:space="preserve">2.7.2.1 Monitoring and metrics for WIS2 operations</w:t>
      </w:r>
      <w:bookmarkEnd w:id="150"/>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51"/>
      </w:r>
      <w:r>
        <w:t xml:space="preserve"> </w:t>
      </w:r>
      <w:r>
        <w:t xml:space="preserve">– the widely adopted, de-facto standard</w:t>
      </w:r>
      <w:r>
        <w:rPr>
          <w:rStyle w:val="FootnoteReference"/>
        </w:rPr>
        <w:footnoteReference w:id="153"/>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4"/>
      </w:r>
    </w:p>
    <w:p>
      <w:pPr>
        <w:pStyle w:val="Heading4"/>
      </w:pPr>
      <w:bookmarkStart w:id="156" w:name="Xd362b0b9e354783553b6aa5c019d97d28e1bf73"/>
      <w:r>
        <w:t xml:space="preserve">2.7.2.2 Service levels, performance indicators, and fair usage policies</w:t>
      </w:r>
      <w:bookmarkEnd w:id="156"/>
    </w:p>
    <w:p>
      <w:pPr>
        <w:numPr>
          <w:ilvl w:val="0"/>
          <w:numId w:val="1039"/>
        </w:numPr>
      </w:pPr>
      <w:r>
        <w:t xml:space="preserve">Each WIS centre operating a WIS2 Node is responsible for achieving the highest possible level of service based on its resources and capabilities.</w:t>
      </w:r>
    </w:p>
    <w:p>
      <w:pPr>
        <w:numPr>
          <w:ilvl w:val="0"/>
          <w:numId w:val="1039"/>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39"/>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39"/>
        </w:numPr>
      </w:pPr>
      <w:r>
        <w:t xml:space="preserve">A Global Broker:</w:t>
      </w:r>
    </w:p>
    <w:p>
      <w:pPr>
        <w:numPr>
          <w:ilvl w:val="1"/>
          <w:numId w:val="1040"/>
        </w:numPr>
      </w:pPr>
      <w:r>
        <w:t xml:space="preserve">Should support a minimum of 200 WIS2 Nodes or Global Services;</w:t>
      </w:r>
    </w:p>
    <w:p>
      <w:pPr>
        <w:numPr>
          <w:ilvl w:val="1"/>
          <w:numId w:val="1040"/>
        </w:numPr>
      </w:pPr>
      <w:r>
        <w:t xml:space="preserve">Should support a minimum of 1 000 subscribers;</w:t>
      </w:r>
    </w:p>
    <w:p>
      <w:pPr>
        <w:numPr>
          <w:ilvl w:val="1"/>
          <w:numId w:val="1040"/>
        </w:numPr>
      </w:pPr>
      <w:r>
        <w:t xml:space="preserve">Should support the processing of a minimum of 10 000 messages per second.</w:t>
      </w:r>
    </w:p>
    <w:p>
      <w:pPr>
        <w:numPr>
          <w:ilvl w:val="0"/>
          <w:numId w:val="1039"/>
        </w:numPr>
      </w:pPr>
      <w:r>
        <w:t xml:space="preserve">A Global Cache:</w:t>
      </w:r>
    </w:p>
    <w:p>
      <w:pPr>
        <w:numPr>
          <w:ilvl w:val="1"/>
          <w:numId w:val="1041"/>
        </w:numPr>
      </w:pPr>
      <w:r>
        <w:t xml:space="preserve">Should support a minimum of 100 GB of data in the cache;</w:t>
      </w:r>
    </w:p>
    <w:p>
      <w:pPr>
        <w:numPr>
          <w:ilvl w:val="1"/>
          <w:numId w:val="1041"/>
        </w:numPr>
      </w:pPr>
      <w:r>
        <w:t xml:space="preserve">Should support a minimum of 1 000 simultaneous downloads;</w:t>
      </w:r>
    </w:p>
    <w:p>
      <w:pPr>
        <w:numPr>
          <w:ilvl w:val="1"/>
          <w:numId w:val="1041"/>
        </w:numPr>
      </w:pPr>
      <w:r>
        <w:t xml:space="preserve">Could limit the number of simultaneous connections from a user (known by its originating source IP) to five;</w:t>
      </w:r>
    </w:p>
    <w:p>
      <w:pPr>
        <w:numPr>
          <w:ilvl w:val="1"/>
          <w:numId w:val="1041"/>
        </w:numPr>
      </w:pPr>
      <w:r>
        <w:t xml:space="preserve">Could limit the bandwidth usage of the service to 1 Gb/s.</w:t>
      </w:r>
    </w:p>
    <w:p>
      <w:pPr>
        <w:numPr>
          <w:ilvl w:val="0"/>
          <w:numId w:val="1039"/>
        </w:numPr>
      </w:pPr>
      <w:r>
        <w:t xml:space="preserve">A Global Monitor:</w:t>
      </w:r>
    </w:p>
    <w:p>
      <w:pPr>
        <w:numPr>
          <w:ilvl w:val="1"/>
          <w:numId w:val="1042"/>
        </w:numPr>
      </w:pPr>
      <w:r>
        <w:t xml:space="preserve">Should support a minimum of 50 metrics providers;</w:t>
      </w:r>
    </w:p>
    <w:p>
      <w:pPr>
        <w:numPr>
          <w:ilvl w:val="1"/>
          <w:numId w:val="1042"/>
        </w:numPr>
      </w:pPr>
      <w:r>
        <w:t xml:space="preserve">Should support 200 simultaneous "access" to the dashboard;</w:t>
      </w:r>
    </w:p>
    <w:p>
      <w:pPr>
        <w:numPr>
          <w:ilvl w:val="1"/>
          <w:numId w:val="1042"/>
        </w:numPr>
      </w:pPr>
      <w:r>
        <w:t xml:space="preserve">Could limit the bandwidth usage of the service to 100 Mb/s.</w:t>
      </w:r>
    </w:p>
    <w:p>
      <w:pPr>
        <w:numPr>
          <w:ilvl w:val="0"/>
          <w:numId w:val="1039"/>
        </w:numPr>
      </w:pPr>
      <w:r>
        <w:t xml:space="preserve">A Global Discovery Catalogue:</w:t>
      </w:r>
    </w:p>
    <w:p>
      <w:pPr>
        <w:numPr>
          <w:ilvl w:val="1"/>
          <w:numId w:val="1043"/>
        </w:numPr>
      </w:pPr>
      <w:r>
        <w:t xml:space="preserve">Should support a minimum of 20 000 metadata records;</w:t>
      </w:r>
    </w:p>
    <w:p>
      <w:pPr>
        <w:numPr>
          <w:ilvl w:val="1"/>
          <w:numId w:val="1043"/>
        </w:numPr>
      </w:pPr>
      <w:r>
        <w:t xml:space="preserve">Should support a minimum of 50 requests per second to the API endpoint.</w:t>
      </w:r>
    </w:p>
    <w:p>
      <w:pPr>
        <w:pStyle w:val="Heading4"/>
      </w:pPr>
      <w:bookmarkStart w:id="157" w:name="X507ac0836320eefc09ee976b33bc54ea2328c5f"/>
      <w:r>
        <w:t xml:space="preserve">2.7.2.3 Metrics for Global Services</w:t>
      </w:r>
      <w:bookmarkEnd w:id="157"/>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8" w:name="Xfcc4be4805698cc05bd4c15ebadc91a96d644ff"/>
      <w:r>
        <w:t xml:space="preserve">2.7.3 Global Broker</w:t>
      </w:r>
      <w:bookmarkEnd w:id="158"/>
    </w:p>
    <w:p>
      <w:pPr>
        <w:pStyle w:val="Heading4"/>
      </w:pPr>
      <w:bookmarkStart w:id="159" w:name="X1743ecdc5ae40c6a768ea9d4a6e7d6853856958"/>
      <w:r>
        <w:t xml:space="preserve">2.7.3.1 Technical considerations</w:t>
      </w:r>
      <w:bookmarkEnd w:id="159"/>
    </w:p>
    <w:p>
      <w:pPr>
        <w:numPr>
          <w:ilvl w:val="0"/>
          <w:numId w:val="1044"/>
        </w:numPr>
      </w:pPr>
      <w:r>
        <w:t xml:space="preserve">As detailed above, there will be at least three Global Brokers to ensure that messages within WIS2 are highly available and delivered globally with low latency.</w:t>
      </w:r>
    </w:p>
    <w:p>
      <w:pPr>
        <w:numPr>
          <w:ilvl w:val="0"/>
          <w:numId w:val="1044"/>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4"/>
        </w:numPr>
      </w:pPr>
      <w:r>
        <w:t xml:space="preserve">Every WIS2 Node or Global Service must have subscriptions from at least two Global Brokers.</w:t>
      </w:r>
    </w:p>
    <w:p>
      <w:pPr>
        <w:numPr>
          <w:ilvl w:val="0"/>
          <w:numId w:val="1044"/>
        </w:numPr>
      </w:pPr>
      <w:r>
        <w:t xml:space="preserve">For full global coverage, a Global Broker will subscribe to messages from at least two other Global Brokers.</w:t>
      </w:r>
    </w:p>
    <w:p>
      <w:pPr>
        <w:numPr>
          <w:ilvl w:val="0"/>
          <w:numId w:val="1044"/>
        </w:numPr>
      </w:pPr>
      <w:r>
        <w:t xml:space="preserve">When subscribing to messages from WIS2 Nodes and other Global Services, a Global Broker must authenticate using the valid credentials managed by the WIS centre and available at WMO Secretariat.</w:t>
      </w:r>
    </w:p>
    <w:p>
      <w:pPr>
        <w:numPr>
          <w:ilvl w:val="0"/>
          <w:numId w:val="1044"/>
        </w:numPr>
      </w:pPr>
      <w:r>
        <w:t xml:space="preserve">A Global Broker is built around two software components:</w:t>
      </w:r>
    </w:p>
    <w:p>
      <w:pPr>
        <w:numPr>
          <w:ilvl w:val="1"/>
          <w:numId w:val="1045"/>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5"/>
        </w:numPr>
      </w:pPr>
      <w:r>
        <w:t xml:space="preserve">Additional features, including anti-loop detection, notification message format compliance, validation of the published topic, and metrics provision.</w:t>
      </w:r>
    </w:p>
    <w:p>
      <w:pPr>
        <w:numPr>
          <w:ilvl w:val="0"/>
          <w:numId w:val="1044"/>
        </w:numPr>
      </w:pPr>
      <w:r>
        <w:t xml:space="preserve">When receiving a message from a WIS centre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4"/>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4"/>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4"/>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4"/>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4"/>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4"/>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4"/>
        </w:numPr>
      </w:pPr>
      <w:r>
        <w:t xml:space="preserve">All above-defined metrics will be made available on HTTPS endpoints that the Global Monitor will ingest from regularly.</w:t>
      </w:r>
    </w:p>
    <w:p>
      <w:pPr>
        <w:numPr>
          <w:ilvl w:val="0"/>
          <w:numId w:val="1044"/>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4"/>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p>
      <w:pPr>
        <w:pStyle w:val="Heading3"/>
      </w:pPr>
      <w:bookmarkStart w:id="160" w:name="Xed0972fd7a2c474005a807d834e55b7c67c335b"/>
      <w:r>
        <w:t xml:space="preserve">2.7.4 Global Cache</w:t>
      </w:r>
      <w:bookmarkEnd w:id="160"/>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p>
      <w:pPr>
        <w:pStyle w:val="Heading4"/>
      </w:pPr>
      <w:bookmarkStart w:id="161" w:name="X9c5e2e4a13ef58aa69d25e04cf77a45be046e40"/>
      <w:r>
        <w:t xml:space="preserve">2.7.4.1 Technical considerations</w:t>
      </w:r>
      <w:bookmarkEnd w:id="161"/>
    </w:p>
    <w:p>
      <w:pPr>
        <w:numPr>
          <w:ilvl w:val="0"/>
          <w:numId w:val="1046"/>
        </w:numPr>
      </w:pPr>
      <w:r>
        <w:t xml:space="preserve">A Global Cache is built around three software components:</w:t>
      </w:r>
    </w:p>
    <w:p>
      <w:pPr>
        <w:numPr>
          <w:ilvl w:val="1"/>
          <w:numId w:val="1047"/>
        </w:numPr>
      </w:pPr>
      <w:r>
        <w:t xml:space="preserve">A highly available data server allowing data consumers to download cache resources with high bandwidth and low latency;</w:t>
      </w:r>
    </w:p>
    <w:p>
      <w:pPr>
        <w:numPr>
          <w:ilvl w:val="1"/>
          <w:numId w:val="1047"/>
        </w:numPr>
      </w:pPr>
      <w:r>
        <w:t xml:space="preserve">A Message Broker implementing both MQTTv3.1.1 and MQTTv5 to publish notification messages about resources that are available from the Global Cache;</w:t>
      </w:r>
    </w:p>
    <w:p>
      <w:pPr>
        <w:numPr>
          <w:ilvl w:val="1"/>
          <w:numId w:val="1047"/>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6"/>
        </w:numPr>
      </w:pPr>
      <w:r>
        <w:t xml:space="preserve">A Global Cache will aim to contain copies of real-time and near real-time data designated as "core" within the WMO Unified Data Policy (Resolution 1 (Cg-Ext(2021))).</w:t>
      </w:r>
    </w:p>
    <w:p>
      <w:pPr>
        <w:numPr>
          <w:ilvl w:val="0"/>
          <w:numId w:val="1046"/>
        </w:numPr>
      </w:pPr>
      <w:r>
        <w:t xml:space="preserve">A Global Cache will host data objects copied from NCs/DCPCs.</w:t>
      </w:r>
    </w:p>
    <w:p>
      <w:pPr>
        <w:numPr>
          <w:ilvl w:val="0"/>
          <w:numId w:val="1046"/>
        </w:numPr>
      </w:pPr>
      <w:r>
        <w:t xml:space="preserve">A Global Cache will publish notification messages advertising the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6"/>
        </w:numPr>
      </w:pPr>
      <w:r>
        <w:t xml:space="preserve">A Global Cache will use the standard topic structure in its local Message Brokers (see</w:t>
      </w:r>
      <w:r>
        <w:t xml:space="preserve"> </w:t>
      </w:r>
      <w:r>
        <w:rPr>
          <w:i/>
        </w:rPr>
        <w:t xml:space="preserve">Manual on WIS</w:t>
      </w:r>
      <w:r>
        <w:t xml:space="preserve">, Volume II - Appendix D. WIS2 Topic Hierarchy).</w:t>
      </w:r>
    </w:p>
    <w:p>
      <w:pPr>
        <w:numPr>
          <w:ilvl w:val="0"/>
          <w:numId w:val="1046"/>
        </w:numPr>
      </w:pPr>
      <w:r>
        <w:t xml:space="preserve">A Global Cache will publish to the topic</w:t>
      </w:r>
      <w:r>
        <w:t xml:space="preserve"> </w:t>
      </w:r>
      <w:r>
        <w:rPr>
          <w:rStyle w:val="VerbatimChar"/>
        </w:rPr>
        <w:t xml:space="preserve">cache/a/wis2/…​</w:t>
      </w:r>
      <w:r>
        <w:t xml:space="preserve">.</w:t>
      </w:r>
    </w:p>
    <w:p>
      <w:pPr>
        <w:numPr>
          <w:ilvl w:val="0"/>
          <w:numId w:val="1046"/>
        </w:numPr>
      </w:pPr>
      <w:r>
        <w:t xml:space="preserve">There will be multiple Global Cache to ensure the highly available, low-latency global provision of real-time and near-real-time core data within WIS2.</w:t>
      </w:r>
    </w:p>
    <w:p>
      <w:pPr>
        <w:numPr>
          <w:ilvl w:val="0"/>
          <w:numId w:val="1046"/>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6"/>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6"/>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6"/>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6"/>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6"/>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6"/>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 monitor topic hierarchy to inform the originating centre and its GISC. The Global Cache operator should work with the originating WIS2 Node and its GISC to remedy this issue.</w:t>
      </w:r>
    </w:p>
    <w:p>
      <w:pPr>
        <w:numPr>
          <w:ilvl w:val="0"/>
          <w:numId w:val="1046"/>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6"/>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6"/>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6"/>
        </w:numPr>
      </w:pPr>
      <w:r>
        <w:t xml:space="preserve">As a convention, the Global Cache centre-id will be</w:t>
      </w:r>
      <w:r>
        <w:t xml:space="preserve"> </w:t>
      </w:r>
      <w:r>
        <w:rPr>
          <w:rStyle w:val="VerbatimChar"/>
        </w:rPr>
        <w:t xml:space="preserve">tld-{centre-name}-global-cache</w:t>
      </w:r>
      <w:r>
        <w:t xml:space="preserve">.</w:t>
      </w:r>
    </w:p>
    <w:p>
      <w:pPr>
        <w:pStyle w:val="Heading4"/>
      </w:pPr>
      <w:bookmarkStart w:id="162" w:name="Xccc1cebb6c94847684ab046188074f284443b3a"/>
      <w:r>
        <w:t xml:space="preserve">2.7.4.2 Practices and procedures</w:t>
      </w:r>
      <w:bookmarkEnd w:id="162"/>
    </w:p>
    <w:p>
      <w:pPr>
        <w:numPr>
          <w:ilvl w:val="0"/>
          <w:numId w:val="1048"/>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48"/>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3"/>
      </w:r>
    </w:p>
    <w:p>
      <w:pPr>
        <w:numPr>
          <w:ilvl w:val="0"/>
          <w:numId w:val="1048"/>
        </w:numPr>
      </w:pPr>
      <w:r>
        <w:t xml:space="preserve">A Global Cache shall retain the data and metadata it receives for a minimum of 24 hours. Requirements relating to varying retention times for different types of data may be added later.</w:t>
      </w:r>
    </w:p>
    <w:p>
      <w:pPr>
        <w:numPr>
          <w:ilvl w:val="0"/>
          <w:numId w:val="1048"/>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49"/>
        </w:numPr>
      </w:pPr>
      <w:r>
        <w:t xml:space="preserve">If the message contains the property</w:t>
      </w:r>
      <w:r>
        <w:t xml:space="preserve"> </w:t>
      </w:r>
      <w:r>
        <w:rPr>
          <w:rStyle w:val="VerbatimChar"/>
        </w:rPr>
        <w:t xml:space="preserve">"properties.cache": false</w:t>
      </w:r>
      <w:r>
        <w:t xml:space="preserve">,</w:t>
      </w:r>
    </w:p>
    <w:p>
      <w:pPr>
        <w:numPr>
          <w:ilvl w:val="2"/>
          <w:numId w:val="1050"/>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49"/>
        </w:numPr>
      </w:pPr>
      <w:r>
        <w:t xml:space="preserve">Else</w:t>
      </w:r>
    </w:p>
    <w:p>
      <w:pPr>
        <w:numPr>
          <w:ilvl w:val="2"/>
          <w:numId w:val="1051"/>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1"/>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1"/>
        </w:numPr>
      </w:pPr>
      <w:r>
        <w:t xml:space="preserve">If the message is new or updated:</w:t>
      </w:r>
    </w:p>
    <w:p>
      <w:pPr>
        <w:numPr>
          <w:ilvl w:val="3"/>
          <w:numId w:val="1052"/>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2"/>
        </w:numPr>
      </w:pPr>
      <w:r>
        <w:t xml:space="preserve">If the message contains an integrity value for the data, verify the integrity of the data;</w:t>
      </w:r>
    </w:p>
    <w:p>
      <w:pPr>
        <w:numPr>
          <w:ilvl w:val="3"/>
          <w:numId w:val="1052"/>
        </w:numPr>
      </w:pPr>
      <w:r>
        <w:t xml:space="preserve">If data is downloaded successfully, move the data to the HTTP endpoint of the Global Cache;</w:t>
      </w:r>
    </w:p>
    <w:p>
      <w:pPr>
        <w:numPr>
          <w:ilvl w:val="3"/>
          <w:numId w:val="1052"/>
        </w:numPr>
      </w:pPr>
      <w:r>
        <w:t xml:space="preserve">Wait until the data becomes available at the endpoint;</w:t>
      </w:r>
    </w:p>
    <w:p>
      <w:pPr>
        <w:numPr>
          <w:ilvl w:val="3"/>
          <w:numId w:val="1052"/>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2"/>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2"/>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1"/>
        </w:numPr>
      </w:pPr>
      <w:r>
        <w:t xml:space="preserve">Else</w:t>
      </w:r>
    </w:p>
    <w:p>
      <w:pPr>
        <w:numPr>
          <w:ilvl w:val="3"/>
          <w:numId w:val="1053"/>
        </w:numPr>
      </w:pPr>
      <w:r>
        <w:t xml:space="preserve">Drop the messages for data already present in the Global Cache.</w:t>
      </w:r>
    </w:p>
    <w:p>
      <w:pPr>
        <w:numPr>
          <w:ilvl w:val="0"/>
          <w:numId w:val="1048"/>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8"/>
        </w:numPr>
      </w:pPr>
      <w:r>
        <w:t xml:space="preserve">A Global Cache shall provide the metric defined in this Guide at an HTTP endpoint.</w:t>
      </w:r>
    </w:p>
    <w:p>
      <w:pPr>
        <w:numPr>
          <w:ilvl w:val="0"/>
          <w:numId w:val="1048"/>
        </w:numPr>
      </w:pPr>
      <w:r>
        <w:t xml:space="preserve">A Global Cache should make sure that data are downloaded in parallel and that downloads are not blocking each other.</w:t>
      </w:r>
    </w:p>
    <w:p>
      <w:pPr>
        <w:numPr>
          <w:ilvl w:val="0"/>
          <w:numId w:val="1048"/>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48"/>
        </w:numPr>
      </w:pPr>
      <w:r>
        <w:t xml:space="preserve">The metric</w:t>
      </w:r>
      <w:r>
        <w:t xml:space="preserve"> </w:t>
      </w:r>
      <w:r>
        <w:rPr>
          <w:rStyle w:val="VerbatimChar"/>
        </w:rPr>
        <w:t xml:space="preserve">wmo_wis2_gc_last_metadata</w:t>
      </w:r>
      <w:r>
        <w:t xml:space="preserve"> </w:t>
      </w:r>
      <w:r>
        <w:t xml:space="preserve">will reflect the datetime (in RFC3339 format) of the last metadata resource processed by a given centre.</w:t>
      </w:r>
    </w:p>
    <w:p>
      <w:pPr>
        <w:pStyle w:val="Heading3"/>
      </w:pPr>
      <w:bookmarkStart w:id="164" w:name="Xe83d0dcd18513bbe57a5c411a3835908b8c6b21"/>
      <w:r>
        <w:t xml:space="preserve">2.7.5 Global Discovery Catalogue</w:t>
      </w:r>
      <w:bookmarkEnd w:id="164"/>
    </w:p>
    <w:p>
      <w:pPr>
        <w:pStyle w:val="Heading4"/>
      </w:pPr>
      <w:bookmarkStart w:id="165" w:name="Xb7d6d3d16ef70a3c0bed12e0915cfe71af7259a"/>
      <w:r>
        <w:t xml:space="preserve">2.7.5.1 Technical considerations</w:t>
      </w:r>
      <w:bookmarkEnd w:id="165"/>
    </w:p>
    <w:p>
      <w:pPr>
        <w:numPr>
          <w:ilvl w:val="0"/>
          <w:numId w:val="1054"/>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4"/>
        </w:numPr>
      </w:pPr>
      <w:r>
        <w:t xml:space="preserve">The Global Discovery Catalogue implements the OGC API – Records – Part 1: Core standard</w:t>
      </w:r>
      <w:r>
        <w:rPr>
          <w:rStyle w:val="FootnoteReference"/>
        </w:rPr>
        <w:footnoteReference w:id="166"/>
      </w:r>
      <w:r>
        <w:t xml:space="preserve">, adhering to the following conformance classes and their dependencies:</w:t>
      </w:r>
    </w:p>
    <w:p>
      <w:pPr>
        <w:numPr>
          <w:ilvl w:val="1"/>
          <w:numId w:val="1055"/>
        </w:numPr>
      </w:pPr>
      <w:r>
        <w:t xml:space="preserve">Searchable Catalog (Deployment);</w:t>
      </w:r>
    </w:p>
    <w:p>
      <w:pPr>
        <w:numPr>
          <w:ilvl w:val="1"/>
          <w:numId w:val="1055"/>
        </w:numPr>
      </w:pPr>
      <w:r>
        <w:t xml:space="preserve">Searchable Catalog - Sorting (Deployment);</w:t>
      </w:r>
    </w:p>
    <w:p>
      <w:pPr>
        <w:numPr>
          <w:ilvl w:val="1"/>
          <w:numId w:val="1055"/>
        </w:numPr>
      </w:pPr>
      <w:r>
        <w:t xml:space="preserve">Searchable Catalog - Filtering (Deployment);</w:t>
      </w:r>
    </w:p>
    <w:p>
      <w:pPr>
        <w:numPr>
          <w:ilvl w:val="1"/>
          <w:numId w:val="1055"/>
        </w:numPr>
      </w:pPr>
      <w:r>
        <w:t xml:space="preserve">JSON (Building Block);</w:t>
      </w:r>
    </w:p>
    <w:p>
      <w:pPr>
        <w:numPr>
          <w:ilvl w:val="1"/>
          <w:numId w:val="1055"/>
        </w:numPr>
      </w:pPr>
      <w:r>
        <w:t xml:space="preserve">HTML (Building Block).</w:t>
      </w:r>
    </w:p>
    <w:p>
      <w:pPr>
        <w:numPr>
          <w:ilvl w:val="0"/>
          <w:numId w:val="1054"/>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4"/>
        </w:numPr>
      </w:pPr>
      <w:r>
        <w:t xml:space="preserve">The Global Discovery Catalogue advertises the availability of datasets and how to access them or subscribe to updates.</w:t>
      </w:r>
    </w:p>
    <w:p>
      <w:pPr>
        <w:numPr>
          <w:ilvl w:val="0"/>
          <w:numId w:val="1054"/>
        </w:numPr>
      </w:pPr>
      <w:r>
        <w:t xml:space="preserve">The Global Discovery Catalogue does not advertise or list the availability of individual data objects that comprise a dataset (that is, data files).</w:t>
      </w:r>
    </w:p>
    <w:p>
      <w:pPr>
        <w:numPr>
          <w:ilvl w:val="0"/>
          <w:numId w:val="1054"/>
        </w:numPr>
      </w:pPr>
      <w:r>
        <w:t xml:space="preserve">A single Global Discovery Catalogue is sufficient for WIS2.</w:t>
      </w:r>
    </w:p>
    <w:p>
      <w:pPr>
        <w:numPr>
          <w:ilvl w:val="0"/>
          <w:numId w:val="1054"/>
        </w:numPr>
      </w:pPr>
      <w:r>
        <w:t xml:space="preserve">Multiple Global Discovery Catalogues may be deployed for resilience.</w:t>
      </w:r>
    </w:p>
    <w:p>
      <w:pPr>
        <w:numPr>
          <w:ilvl w:val="0"/>
          <w:numId w:val="1054"/>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4"/>
        </w:numPr>
      </w:pPr>
      <w:r>
        <w:t xml:space="preserve">A Global Discovery Catalogue is populated with discovery metadata records from a Global Cache and receives messages about the availability of discovery metadata records via a Global Broker.</w:t>
      </w:r>
    </w:p>
    <w:p>
      <w:pPr>
        <w:numPr>
          <w:ilvl w:val="1"/>
          <w:numId w:val="1056"/>
        </w:numPr>
      </w:pPr>
      <w:r>
        <w:t xml:space="preserve">The subscription topic shall be</w:t>
      </w:r>
      <w:r>
        <w:t xml:space="preserve"> </w:t>
      </w:r>
      <w:r>
        <w:rPr>
          <w:rStyle w:val="VerbatimChar"/>
        </w:rPr>
        <w:t xml:space="preserve">cache/a/wis2/+/metadata/#</w:t>
      </w:r>
      <w:r>
        <w:t xml:space="preserve">.</w:t>
      </w:r>
    </w:p>
    <w:p>
      <w:pPr>
        <w:numPr>
          <w:ilvl w:val="0"/>
          <w:numId w:val="1054"/>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4"/>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4"/>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4"/>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4"/>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4"/>
        </w:numPr>
      </w:pPr>
      <w:r>
        <w:t xml:space="preserve">A Global Discovery Catalogue will remove discovery metadata that are marked for deletion as specified in the data notification message.</w:t>
      </w:r>
    </w:p>
    <w:p>
      <w:pPr>
        <w:numPr>
          <w:ilvl w:val="0"/>
          <w:numId w:val="1054"/>
        </w:numPr>
      </w:pPr>
      <w:r>
        <w:t xml:space="preserve">A Global Discovery Catalogue should apply faceting capability as specified in the cataloguing considerations of the WCMP2 specification, as defined in OGC API - Records.</w:t>
      </w:r>
    </w:p>
    <w:p>
      <w:pPr>
        <w:numPr>
          <w:ilvl w:val="0"/>
          <w:numId w:val="1054"/>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4"/>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4"/>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4"/>
        </w:numPr>
      </w:pPr>
      <w:r>
        <w:t xml:space="preserve">A Global Discovery Catalogue may initialize itself (cold start) from a zip file of all WCMP2 records published.</w:t>
      </w:r>
    </w:p>
    <w:p>
      <w:pPr>
        <w:numPr>
          <w:ilvl w:val="0"/>
          <w:numId w:val="1054"/>
        </w:numPr>
      </w:pPr>
      <w:r>
        <w:t xml:space="preserve">As a convention, a Global Discovery Catalogue’s centre-id will be</w:t>
      </w:r>
      <w:r>
        <w:t xml:space="preserve"> </w:t>
      </w:r>
      <w:r>
        <w:rPr>
          <w:rStyle w:val="VerbatimChar"/>
        </w:rPr>
        <w:t xml:space="preserve">tld-{centre-name}-global-discovery-catalogue</w:t>
      </w:r>
      <w:r>
        <w:t xml:space="preserve">.</w:t>
      </w:r>
    </w:p>
    <w:p>
      <w:pPr>
        <w:pStyle w:val="Heading4"/>
      </w:pPr>
      <w:bookmarkStart w:id="167" w:name="X305a741ac25d02ffb1dd5e4c3b88453bc6c2f8b"/>
      <w:r>
        <w:t xml:space="preserve">2.7.5.2 Global Discovery Catalogue reference implementation: wis2-gdc</w:t>
      </w:r>
      <w:bookmarkEnd w:id="167"/>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57"/>
        </w:numPr>
      </w:pPr>
      <w:r>
        <w:t xml:space="preserve">Discovery metadata subscription and publication from the Global Broker;</w:t>
      </w:r>
    </w:p>
    <w:p>
      <w:pPr>
        <w:numPr>
          <w:ilvl w:val="0"/>
          <w:numId w:val="1057"/>
        </w:numPr>
      </w:pPr>
      <w:r>
        <w:t xml:space="preserve">Discovery metadata download from the Global Cache;</w:t>
      </w:r>
    </w:p>
    <w:p>
      <w:pPr>
        <w:numPr>
          <w:ilvl w:val="0"/>
          <w:numId w:val="1057"/>
        </w:numPr>
      </w:pPr>
      <w:r>
        <w:t xml:space="preserve">Discovery metadata validation, ingest and publication;</w:t>
      </w:r>
    </w:p>
    <w:p>
      <w:pPr>
        <w:numPr>
          <w:ilvl w:val="0"/>
          <w:numId w:val="1057"/>
        </w:numPr>
      </w:pPr>
      <w:r>
        <w:t xml:space="preserve">WCMP2 compliance;</w:t>
      </w:r>
    </w:p>
    <w:p>
      <w:pPr>
        <w:numPr>
          <w:ilvl w:val="0"/>
          <w:numId w:val="1057"/>
        </w:numPr>
      </w:pPr>
      <w:r>
        <w:t xml:space="preserve">Quality assessment (KPIs);</w:t>
      </w:r>
    </w:p>
    <w:p>
      <w:pPr>
        <w:numPr>
          <w:ilvl w:val="0"/>
          <w:numId w:val="1057"/>
        </w:numPr>
      </w:pPr>
      <w:r>
        <w:t xml:space="preserve">OGC API - Records - Part 1: Core compliance;</w:t>
      </w:r>
    </w:p>
    <w:p>
      <w:pPr>
        <w:numPr>
          <w:ilvl w:val="0"/>
          <w:numId w:val="1057"/>
        </w:numPr>
      </w:pPr>
      <w:r>
        <w:t xml:space="preserve">Metrics reporting;</w:t>
      </w:r>
    </w:p>
    <w:p>
      <w:pPr>
        <w:numPr>
          <w:ilvl w:val="0"/>
          <w:numId w:val="1057"/>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8">
        <w:r>
          <w:rPr>
            <w:rStyle w:val="Hyperlink"/>
          </w:rPr>
          <w:t xml:space="preserve">https://github.com/wmo-im/wis2-gdc</w:t>
        </w:r>
      </w:hyperlink>
      <w:r>
        <w:t xml:space="preserve">.</w:t>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58"/>
        </w:numPr>
      </w:pPr>
      <w:r>
        <w:t xml:space="preserve">WIS standardizes how system performance and data availability metrics are published from WIS2 Nodes and Global Services.</w:t>
      </w:r>
    </w:p>
    <w:p>
      <w:pPr>
        <w:numPr>
          <w:ilvl w:val="0"/>
          <w:numId w:val="1058"/>
        </w:numPr>
      </w:pPr>
      <w:r>
        <w:t xml:space="preserve">For each type of Global Service, a set of standard metrics has been defined. Global Services will implement and provide an endpoint for those metrics to be scraped by the Global Monitor.</w:t>
      </w:r>
    </w:p>
    <w:p>
      <w:pPr>
        <w:numPr>
          <w:ilvl w:val="0"/>
          <w:numId w:val="1058"/>
        </w:numPr>
      </w:pPr>
      <w:r>
        <w:t xml:space="preserve">The Global Monitor will collect metrics as defined in the OpenMetrics standard.</w:t>
      </w:r>
    </w:p>
    <w:p>
      <w:pPr>
        <w:numPr>
          <w:ilvl w:val="0"/>
          <w:numId w:val="1058"/>
        </w:numPr>
      </w:pPr>
      <w:r>
        <w:t xml:space="preserve">The Global Monitor will monitor the "health" (that is, the performance) of components at NCs/DCPCs, as well as Global Services.</w:t>
      </w:r>
    </w:p>
    <w:p>
      <w:pPr>
        <w:numPr>
          <w:ilvl w:val="0"/>
          <w:numId w:val="1058"/>
        </w:numPr>
      </w:pPr>
      <w:r>
        <w:t xml:space="preserve">The Global Monitor will provide a web-based dashboard that displays the WIS2 system performance and data availability.</w:t>
      </w:r>
    </w:p>
    <w:p>
      <w:pPr>
        <w:numPr>
          <w:ilvl w:val="0"/>
          <w:numId w:val="1058"/>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58"/>
        </w:numPr>
      </w:pPr>
      <w:r>
        <w:t xml:space="preserve">The main task of the Global Monitor will be to regularly query the metrics provided by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 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A consumer discovers data and then determines the</w:t>
            </w:r>
            <w:r>
              <w:t xml:space="preserve"> </w:t>
            </w:r>
            <w:r>
              <w:t xml:space="preserve">services through which those data may be accessed.</w:t>
            </w:r>
          </w:p>
        </w:tc>
        <w:tc>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59"/>
        </w:numPr>
      </w:pPr>
      <w:r>
        <w:t xml:space="preserve">Mechanisms used by SWIM to discover service providers and services;</w:t>
      </w:r>
    </w:p>
    <w:p>
      <w:pPr>
        <w:numPr>
          <w:ilvl w:val="0"/>
          <w:numId w:val="1059"/>
        </w:numPr>
      </w:pPr>
      <w:r>
        <w:t xml:space="preserve">Specifications of SWIM data messages;</w:t>
      </w:r>
    </w:p>
    <w:p>
      <w:pPr>
        <w:numPr>
          <w:ilvl w:val="0"/>
          <w:numId w:val="1059"/>
        </w:numPr>
      </w:pPr>
      <w:r>
        <w:t xml:space="preserve">AMQP Message Broker configuration;</w:t>
      </w:r>
    </w:p>
    <w:p>
      <w:pPr>
        <w:numPr>
          <w:ilvl w:val="0"/>
          <w:numId w:val="1059"/>
        </w:numPr>
      </w:pPr>
      <w:r>
        <w:t xml:space="preserve">Operation, logging and monitoring;</w:t>
      </w:r>
    </w:p>
    <w:p>
      <w:pPr>
        <w:numPr>
          <w:ilvl w:val="0"/>
          <w:numId w:val="1059"/>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0"/>
        </w:numPr>
      </w:pPr>
      <w:r>
        <w:t xml:space="preserve">May be subject to conditions on use and reuse;</w:t>
      </w:r>
    </w:p>
    <w:p>
      <w:pPr>
        <w:numPr>
          <w:ilvl w:val="0"/>
          <w:numId w:val="1060"/>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0"/>
        </w:numPr>
      </w:pPr>
      <w:r>
        <w:t xml:space="preserve">Are not cached within WIS2 by the Global Caches.</w:t>
      </w:r>
      <w:r>
        <w:rPr>
          <w:rStyle w:val="FootnoteReference"/>
        </w:rPr>
        <w:footnoteReference w:id="183"/>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1"/>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1"/>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1"/>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2"/>
        </w:numPr>
      </w:pPr>
      <w:r>
        <w:t xml:space="preserve">Publish the data as a resource via a web server (or web service);</w:t>
      </w:r>
    </w:p>
    <w:p>
      <w:pPr>
        <w:numPr>
          <w:ilvl w:val="0"/>
          <w:numId w:val="1062"/>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6"/>
      </w:r>
    </w:p>
    <w:p>
      <w:pPr>
        <w:pStyle w:val="CaptionedFigure"/>
      </w:pPr>
      <w:r>
        <w:drawing>
          <wp:inline>
            <wp:extent cx="5334000" cy="1838335"/>
            <wp:effectExtent b="0" l="0" r="0" t="0"/>
            <wp:docPr descr="Interactions between the gateway component and WIS2 and SWIM components"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3"/>
        </w:numPr>
      </w:pPr>
      <w:r>
        <w:t xml:space="preserve">Subscribe to the pertinent topic(s) for notifications about new</w:t>
      </w:r>
      <w:r>
        <w:t xml:space="preserve"> </w:t>
      </w:r>
      <w:r>
        <w:t xml:space="preserve">aeronautical meteorological information;</w:t>
      </w:r>
      <w:r>
        <w:rPr>
          <w:rStyle w:val="FootnoteReference"/>
        </w:rPr>
        <w:footnoteReference w:id="188"/>
      </w:r>
    </w:p>
    <w:p>
      <w:pPr>
        <w:numPr>
          <w:ilvl w:val="0"/>
          <w:numId w:val="1063"/>
        </w:numPr>
      </w:pPr>
      <w:r>
        <w:t xml:space="preserve">On receipt of notification messages about newly available data:</w:t>
      </w:r>
    </w:p>
    <w:p>
      <w:pPr>
        <w:numPr>
          <w:ilvl w:val="1"/>
          <w:numId w:val="1064"/>
        </w:numPr>
      </w:pPr>
      <w:r>
        <w:t xml:space="preserve">Parse the notification message, discarding duplicate messages already</w:t>
      </w:r>
      <w:r>
        <w:t xml:space="preserve"> </w:t>
      </w:r>
      <w:r>
        <w:t xml:space="preserve">processed;</w:t>
      </w:r>
    </w:p>
    <w:p>
      <w:pPr>
        <w:numPr>
          <w:ilvl w:val="1"/>
          <w:numId w:val="1064"/>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4"/>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 the aviation weather data resource</w:t>
      </w:r>
      <w:r>
        <w:t xml:space="preserve"> </w:t>
      </w:r>
      <w:r>
        <w:t xml:space="preserve">within the data message;</w:t>
      </w:r>
    </w:p>
    <w:p>
      <w:pPr>
        <w:numPr>
          <w:ilvl w:val="1"/>
          <w:numId w:val="1064"/>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3"/>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18b534d18fbc2c217839aa8fa8b546773191a7b"/>
      <w:r>
        <w:t xml:space="preserve">2.8.1.2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c752fd6ae863c24c49eca8af4a8463e20c3366">
        <w:r>
          <w:rPr>
            <w:rStyle w:val="Hyperlink"/>
          </w:rPr>
          <w:t xml:space="preserve">3.1.3 The information management life cycle</w:t>
        </w:r>
      </w:hyperlink>
      <w:r>
        <w:t xml:space="preserve"> </w:t>
      </w:r>
      <w:r>
        <w:t xml:space="preserve">describes five focus areas.</w:t>
      </w:r>
    </w:p>
    <w:p>
      <w:pPr>
        <w:numPr>
          <w:ilvl w:val="0"/>
          <w:numId w:val="1065"/>
        </w:numPr>
      </w:pPr>
      <w:r>
        <w:t xml:space="preserve">Planning, information creation and acquisition. The creation of information using internal and external data sources and the acquisition of information from various sources.</w:t>
      </w:r>
    </w:p>
    <w:p>
      <w:pPr>
        <w:numPr>
          <w:ilvl w:val="0"/>
          <w:numId w:val="1065"/>
        </w:numPr>
      </w:pPr>
      <w:r>
        <w:t xml:space="preserve">Representation and metadata. The use of standards to represent metadata, data and information; this is of primary importance to enable the interoperability and long-term usability of the information.</w:t>
      </w:r>
    </w:p>
    <w:p>
      <w:pPr>
        <w:numPr>
          <w:ilvl w:val="0"/>
          <w:numId w:val="1065"/>
        </w:numPr>
      </w:pPr>
      <w:r>
        <w:t xml:space="preserve">Publication and exchange of information. The creation and publication of discovery metadata in a standardized format, enabling users to discover, access and retrieve the information.</w:t>
      </w:r>
    </w:p>
    <w:p>
      <w:pPr>
        <w:numPr>
          <w:ilvl w:val="0"/>
          <w:numId w:val="1065"/>
        </w:numPr>
      </w:pPr>
      <w:r>
        <w:t xml:space="preserve">Usage and communication. The publication of guidance material on the use of published information, including on the limitations and suitability of the information and any licensing terms.</w:t>
      </w:r>
    </w:p>
    <w:p>
      <w:pPr>
        <w:numPr>
          <w:ilvl w:val="0"/>
          <w:numId w:val="1065"/>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6"/>
        </w:numPr>
      </w:pPr>
      <w:r>
        <w:t xml:space="preserve">Information producers or creators (those who produce or acquire the information) - they need to ensure the scientific quality of the underpinning information;</w:t>
      </w:r>
    </w:p>
    <w:p>
      <w:pPr>
        <w:numPr>
          <w:ilvl w:val="0"/>
          <w:numId w:val="1066"/>
        </w:numPr>
      </w:pPr>
      <w:r>
        <w:t xml:space="preserve">Information managers (those who manage the information);</w:t>
      </w:r>
    </w:p>
    <w:p>
      <w:pPr>
        <w:numPr>
          <w:ilvl w:val="0"/>
          <w:numId w:val="1066"/>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6"/>
        </w:numPr>
      </w:pPr>
      <w:r>
        <w:t xml:space="preserve">Service providers (those who disseminate the information) - they are responsible for ensuring information availability and maintaining capability for easy and secure access to the information;</w:t>
      </w:r>
    </w:p>
    <w:p>
      <w:pPr>
        <w:numPr>
          <w:ilvl w:val="0"/>
          <w:numId w:val="1066"/>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p>
      <w:pPr>
        <w:pStyle w:val="Heading4"/>
      </w:pPr>
      <w:bookmarkStart w:id="207" w:name="Xb0393451076a8a171a5ff374e3c22929b7e0ab9"/>
      <w:r>
        <w:t xml:space="preserve">3.1.2.1 Principle 1: Information is a valued asset</w:t>
      </w:r>
      <w:bookmarkEnd w:id="207"/>
    </w:p>
    <w:p>
      <w:pPr>
        <w:numPr>
          <w:ilvl w:val="0"/>
          <w:numId w:val="1067"/>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7"/>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68"/>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68"/>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68"/>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69"/>
        </w:numPr>
      </w:pPr>
      <w:r>
        <w:t xml:space="preserve">Information should be developed and managed in accordance with its function and use for internal and external users.</w:t>
      </w:r>
    </w:p>
    <w:p>
      <w:pPr>
        <w:numPr>
          <w:ilvl w:val="0"/>
          <w:numId w:val="1069"/>
        </w:numPr>
      </w:pPr>
      <w:r>
        <w:t xml:space="preserve">WMO centres should regularly assess information to ensure that it is fit for its purpose and that the related processes, procedures and documentation are adequate.</w:t>
      </w:r>
    </w:p>
    <w:p>
      <w:pPr>
        <w:numPr>
          <w:ilvl w:val="0"/>
          <w:numId w:val="1069"/>
        </w:numPr>
      </w:pPr>
      <w:r>
        <w:t xml:space="preserve">Processes should be consistent with the general provisions and principles of quality management as described in the WMO</w:t>
      </w:r>
      <w:r>
        <w:t xml:space="preserve"> </w:t>
      </w:r>
      <w:hyperlink r:id="rId210">
        <w:r>
          <w:rPr>
            <w:rStyle w:val="Hyperlink"/>
            <w:i/>
          </w:rPr>
          <w:t xml:space="preserve">Technical Regulations</w:t>
        </w:r>
      </w:hyperlink>
      <w:r>
        <w:t xml:space="preserve"> </w:t>
      </w:r>
      <w:r>
        <w:t xml:space="preserve">(WMO-No. 49).</w:t>
      </w:r>
    </w:p>
    <w:p>
      <w:pPr>
        <w:pStyle w:val="Heading4"/>
      </w:pPr>
      <w:bookmarkStart w:id="211" w:name="X3aad33676ad5ad6f09b9a4ab6bb080273a64b73"/>
      <w:r>
        <w:t xml:space="preserve">3.1.2.4 Principle 4: Information must be standardized and interoperable</w:t>
      </w:r>
      <w:bookmarkEnd w:id="211"/>
    </w:p>
    <w:p>
      <w:pPr>
        <w:numPr>
          <w:ilvl w:val="0"/>
          <w:numId w:val="1070"/>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0"/>
        </w:numPr>
      </w:pPr>
      <w:r>
        <w:t xml:space="preserve">Standardization is essential for structured information such as dataset definitions and metadata to support interoperability.</w:t>
      </w:r>
    </w:p>
    <w:p>
      <w:pPr>
        <w:numPr>
          <w:ilvl w:val="0"/>
          <w:numId w:val="1070"/>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0"/>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0"/>
        </w:numPr>
      </w:pPr>
      <w:r>
        <w:t xml:space="preserve">The use of closed and proprietary standards is strongly discouraged.</w:t>
      </w:r>
    </w:p>
    <w:p>
      <w:pPr>
        <w:pStyle w:val="Heading4"/>
      </w:pPr>
      <w:bookmarkStart w:id="212" w:name="Xabe19f037afdca30187d2da3a81af241ba37358"/>
      <w:r>
        <w:t xml:space="preserve">3.1.2.5 Principle 5: Information must be well documented</w:t>
      </w:r>
      <w:bookmarkEnd w:id="212"/>
    </w:p>
    <w:p>
      <w:pPr>
        <w:numPr>
          <w:ilvl w:val="0"/>
          <w:numId w:val="1071"/>
        </w:numPr>
      </w:pPr>
      <w:r>
        <w:t xml:space="preserve">WMO centres should comprehensively document information processes, policies, and procedures to facilitate broad and long-term use.</w:t>
      </w:r>
    </w:p>
    <w:p>
      <w:pPr>
        <w:numPr>
          <w:ilvl w:val="0"/>
          <w:numId w:val="1071"/>
        </w:numPr>
      </w:pPr>
      <w:r>
        <w:t xml:space="preserve">WMO centres should keep documentation up to date to ensure full traceability of processes along the information life cycle, particularly for its creation.</w:t>
      </w:r>
    </w:p>
    <w:p>
      <w:pPr>
        <w:numPr>
          <w:ilvl w:val="0"/>
          <w:numId w:val="1071"/>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3" w:name="X72a96d62430842ea3dd9b4c450950d95a997030"/>
      <w:r>
        <w:t xml:space="preserve">3.1.2.6 Principle 6: Information must be discoverable, accessible and retrievable</w:t>
      </w:r>
      <w:bookmarkEnd w:id="213"/>
    </w:p>
    <w:p>
      <w:pPr>
        <w:numPr>
          <w:ilvl w:val="0"/>
          <w:numId w:val="1072"/>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2"/>
        </w:numPr>
      </w:pPr>
      <w:r>
        <w:t xml:space="preserve">For information to be easily retrievable once discovered, it should be accessible using standard data exchange protocols.</w:t>
      </w:r>
    </w:p>
    <w:p>
      <w:pPr>
        <w:pStyle w:val="Heading4"/>
      </w:pPr>
      <w:bookmarkStart w:id="214" w:name="X026ff11b1d4a0bea7ef992f6bd490b7cc88faa7"/>
      <w:r>
        <w:t xml:space="preserve">3.1.2.7 Principle 7: Information should be reusable</w:t>
      </w:r>
      <w:bookmarkEnd w:id="214"/>
    </w:p>
    <w:p>
      <w:pPr>
        <w:numPr>
          <w:ilvl w:val="0"/>
          <w:numId w:val="1073"/>
        </w:numPr>
      </w:pPr>
      <w:r>
        <w:t xml:space="preserve">In order to maximize the economic benefits of an information asset, it should be made as widely available and as accessible as possible.</w:t>
      </w:r>
    </w:p>
    <w:p>
      <w:pPr>
        <w:numPr>
          <w:ilvl w:val="0"/>
          <w:numId w:val="1073"/>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3"/>
        </w:numPr>
      </w:pPr>
      <w:r>
        <w:t xml:space="preserve">The publisher should provide an explicit and well-defined licence for each information item or dataset as part of the associated metadata.</w:t>
      </w:r>
    </w:p>
    <w:p>
      <w:pPr>
        <w:numPr>
          <w:ilvl w:val="0"/>
          <w:numId w:val="1073"/>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5"/>
      </w:r>
    </w:p>
    <w:p>
      <w:pPr>
        <w:pStyle w:val="Heading4"/>
      </w:pPr>
      <w:bookmarkStart w:id="217" w:name="Xfe37d730def8f5457d23e1fdbfed6984dc0d7e2"/>
      <w:r>
        <w:t xml:space="preserve">3.1.2.8 Principle 8: Information management is subject to accountability and governance</w:t>
      </w:r>
      <w:bookmarkEnd w:id="217"/>
    </w:p>
    <w:p>
      <w:pPr>
        <w:numPr>
          <w:ilvl w:val="0"/>
          <w:numId w:val="1074"/>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5"/>
        </w:numPr>
      </w:pPr>
      <w:r>
        <w:t xml:space="preserve">The implementation of general information management practices, procedures and protocols, including well-defined roles, responsibilities and restrictions on managing the information;</w:t>
      </w:r>
    </w:p>
    <w:p>
      <w:pPr>
        <w:numPr>
          <w:ilvl w:val="1"/>
          <w:numId w:val="1075"/>
        </w:numPr>
      </w:pPr>
      <w:r>
        <w:t xml:space="preserve">The definition and enforcement of an appropriate retention policy, taking into account stakeholder needs and variations in value over the information life cycle;</w:t>
      </w:r>
    </w:p>
    <w:p>
      <w:pPr>
        <w:numPr>
          <w:ilvl w:val="1"/>
          <w:numId w:val="1075"/>
        </w:numPr>
      </w:pPr>
      <w:r>
        <w:t xml:space="preserve">The establishment of licensing and the definition and enforcement of any access restrictions.</w:t>
      </w:r>
    </w:p>
    <w:p>
      <w:pPr>
        <w:numPr>
          <w:ilvl w:val="1"/>
          <w:numId w:val="1075"/>
        </w:numPr>
      </w:pPr>
      <w:r>
        <w:t xml:space="preserve">The designated owner should have budget and decision-making authority with respect to preservation and data usage, including the authority to pass ownership to another entity.</w:t>
      </w:r>
    </w:p>
    <w:p>
      <w:pPr>
        <w:pStyle w:val="Heading3"/>
      </w:pPr>
      <w:bookmarkStart w:id="218" w:name="X9c752fd6ae863c24c49eca8af4a8463e20c3366"/>
      <w:r>
        <w:t xml:space="preserve">3.1.3 The information management life cycle</w:t>
      </w:r>
      <w:bookmarkEnd w:id="218"/>
    </w:p>
    <w:p>
      <w:pPr>
        <w:pStyle w:val="Heading4"/>
      </w:pPr>
      <w:bookmarkStart w:id="219" w:name="Xb113931e26c5e2839383394dd5560d20fc6c53a"/>
      <w:r>
        <w:t xml:space="preserve">3.1.3.1 Overview</w:t>
      </w:r>
      <w:bookmarkEnd w:id="219"/>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6"/>
        </w:numPr>
      </w:pPr>
      <w:r>
        <w:t xml:space="preserve">Planning, creation and acquisition;</w:t>
      </w:r>
    </w:p>
    <w:p>
      <w:pPr>
        <w:numPr>
          <w:ilvl w:val="0"/>
          <w:numId w:val="1076"/>
        </w:numPr>
      </w:pPr>
      <w:r>
        <w:t xml:space="preserve">Representation and metadata;</w:t>
      </w:r>
    </w:p>
    <w:p>
      <w:pPr>
        <w:numPr>
          <w:ilvl w:val="0"/>
          <w:numId w:val="1076"/>
        </w:numPr>
      </w:pPr>
      <w:r>
        <w:t xml:space="preserve">Publication and exchange;</w:t>
      </w:r>
    </w:p>
    <w:p>
      <w:pPr>
        <w:numPr>
          <w:ilvl w:val="0"/>
          <w:numId w:val="1076"/>
        </w:numPr>
      </w:pPr>
      <w:r>
        <w:t xml:space="preserve">Usage and communication;</w:t>
      </w:r>
    </w:p>
    <w:p>
      <w:pPr>
        <w:numPr>
          <w:ilvl w:val="0"/>
          <w:numId w:val="1076"/>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20" w:name="Xa7b4dbb7c09a3aec1d3e858254f12841c08d8d1"/>
      <w:r>
        <w:t xml:space="preserve">3.1.3.2 Overarching requirements</w:t>
      </w:r>
      <w:bookmarkEnd w:id="220"/>
    </w:p>
    <w:p>
      <w:pPr>
        <w:pStyle w:val="Heading5"/>
      </w:pPr>
      <w:bookmarkStart w:id="221" w:name="Xea907a5cbe9f16d440d26f0f905e3eca65207d4"/>
      <w:r>
        <w:t xml:space="preserve">3.1.3.2.1 Governance</w:t>
      </w:r>
      <w:bookmarkEnd w:id="221"/>
    </w:p>
    <w:p>
      <w:pPr>
        <w:numPr>
          <w:ilvl w:val="0"/>
          <w:numId w:val="1077"/>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7"/>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7"/>
        </w:numPr>
      </w:pPr>
      <w:r>
        <w:t xml:space="preserve">WMO centres should establish a board or leadership group to develop and regularly review such a governance structure and ensure compliance with its requirements.</w:t>
      </w:r>
    </w:p>
    <w:p>
      <w:pPr>
        <w:pStyle w:val="Heading5"/>
      </w:pPr>
      <w:bookmarkStart w:id="222" w:name="Xd455adcd80923cf9b82b4a09a9cdd7b4c9d137f"/>
      <w:r>
        <w:t xml:space="preserve">3.1.3.2.2 Documentation</w:t>
      </w:r>
      <w:bookmarkEnd w:id="222"/>
    </w:p>
    <w:p>
      <w:pPr>
        <w:numPr>
          <w:ilvl w:val="0"/>
          <w:numId w:val="1078"/>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78"/>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3" w:name="X9c11208d97c14289486262ab37e08c504a5672f"/>
      <w:r>
        <w:t xml:space="preserve">3.1.3.3 Aspects of the information management life cycle</w:t>
      </w:r>
      <w:bookmarkEnd w:id="223"/>
    </w:p>
    <w:p>
      <w:pPr>
        <w:pStyle w:val="Heading5"/>
      </w:pPr>
      <w:bookmarkStart w:id="224" w:name="X1ed5779c87cbdd77f8ea1892415ce3d9f4b79ae"/>
      <w:r>
        <w:t xml:space="preserve">3.1.3.3.1 Planning, information creation and acquisition</w:t>
      </w:r>
      <w:bookmarkEnd w:id="224"/>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79"/>
        </w:numPr>
      </w:pPr>
      <w:r>
        <w:t xml:space="preserve">Why the information is required;</w:t>
      </w:r>
    </w:p>
    <w:p>
      <w:pPr>
        <w:numPr>
          <w:ilvl w:val="0"/>
          <w:numId w:val="1079"/>
        </w:numPr>
      </w:pPr>
      <w:r>
        <w:t xml:space="preserve">How it will be collected or created;</w:t>
      </w:r>
    </w:p>
    <w:p>
      <w:pPr>
        <w:numPr>
          <w:ilvl w:val="0"/>
          <w:numId w:val="1079"/>
        </w:numPr>
      </w:pPr>
      <w:r>
        <w:t xml:space="preserve">How it will be stored;</w:t>
      </w:r>
    </w:p>
    <w:p>
      <w:pPr>
        <w:numPr>
          <w:ilvl w:val="0"/>
          <w:numId w:val="1079"/>
        </w:numPr>
      </w:pPr>
      <w:r>
        <w:t xml:space="preserve">Whether it will be exchanged with other users and under what policy;</w:t>
      </w:r>
    </w:p>
    <w:p>
      <w:pPr>
        <w:numPr>
          <w:ilvl w:val="0"/>
          <w:numId w:val="1079"/>
        </w:numPr>
      </w:pPr>
      <w:r>
        <w:t xml:space="preserve">Where it should be submitted for long-term archival;</w:t>
      </w:r>
    </w:p>
    <w:p>
      <w:pPr>
        <w:numPr>
          <w:ilvl w:val="0"/>
          <w:numId w:val="1079"/>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5" w:name="X80d5d39cac0ed4f84e64f7a8e6ea755443e2402"/>
      <w:r>
        <w:t xml:space="preserve">3.1.3.3.2 Representation and metadata</w:t>
      </w:r>
      <w:bookmarkEnd w:id="225"/>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6">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7" w:name="Xcffb3e710fe7b10a1b86e594bea59d4cd534f43"/>
      <w:r>
        <w:t xml:space="preserve">3.1.3.3.3 Publication and exchange of information</w:t>
      </w:r>
      <w:bookmarkEnd w:id="22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
        </w:rPr>
        <w:t xml:space="preserve">Note: The newsletter is available from:</w:t>
      </w:r>
      <w:r>
        <w:rPr>
          <w:i/>
        </w:rPr>
        <w:t xml:space="preserve"> </w:t>
      </w:r>
      <w:hyperlink r:id="rId228">
        <w:r>
          <w:rPr>
            <w:rStyle w:val="Hyperlink"/>
            <w:i/>
          </w:rPr>
          <w:t xml:space="preserve">https://community.wmo.int/news/operational-newsletter</w:t>
        </w:r>
      </w:hyperlink>
      <w:r>
        <w:t xml:space="preserve">.</w:t>
      </w:r>
    </w:p>
    <w:p>
      <w:pPr>
        <w:pStyle w:val="Heading5"/>
      </w:pPr>
      <w:bookmarkStart w:id="229" w:name="X66f9494569fc3a077b4a5f16e9521e987631eb6"/>
      <w:r>
        <w:t xml:space="preserve">3.1.3.3.4 Usage and communication</w:t>
      </w:r>
      <w:bookmarkEnd w:id="229"/>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0"/>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0"/>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0">
        <w:r>
          <w:rPr>
            <w:rStyle w:val="Hyperlink"/>
            <w:i/>
          </w:rPr>
          <w:t xml:space="preserve">Manual on the WMO Integrated Global Observing System</w:t>
        </w:r>
      </w:hyperlink>
      <w:r>
        <w:t xml:space="preserve"> </w:t>
      </w:r>
      <w:r>
        <w:t xml:space="preserve">(WMO-No. 1160) and the</w:t>
      </w:r>
      <w:r>
        <w:t xml:space="preserve"> </w:t>
      </w:r>
      <w:hyperlink r:id="rId231">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2">
        <w:r>
          <w:rPr>
            <w:rStyle w:val="Hyperlink"/>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3" w:name="Xe7e5aa57038497ed6dae5e6b74d56c0e3535a4e"/>
      <w:r>
        <w:t xml:space="preserve">3.1.3.3.5 Storage, archival and disposal</w:t>
      </w:r>
      <w:bookmarkEnd w:id="233"/>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4">
        <w:r>
          <w:rPr>
            <w:rStyle w:val="Hyperlink"/>
            <w:i/>
          </w:rPr>
          <w:t xml:space="preserve">Manual on Marine Meteorological Services</w:t>
        </w:r>
      </w:hyperlink>
      <w:r>
        <w:t xml:space="preserve"> </w:t>
      </w:r>
      <w:r>
        <w:t xml:space="preserve">(WMO-No. 558), Volume I, as well as the WMO World Data Centres and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 the</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5" w:name="Xda12bec5658cc5342bcaa1a8e7ce042df819f77"/>
      <w:r>
        <w:t xml:space="preserve">3.1.4 Other considerations</w:t>
      </w:r>
      <w:bookmarkEnd w:id="235"/>
    </w:p>
    <w:p>
      <w:pPr>
        <w:pStyle w:val="Heading4"/>
      </w:pPr>
      <w:bookmarkStart w:id="236" w:name="Xb42c72837bf521b7591661c77a7de56de732881"/>
      <w:r>
        <w:t xml:space="preserve">3.1.4.1 Technology and technology migration</w:t>
      </w:r>
      <w:bookmarkEnd w:id="236"/>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37">
        <w:r>
          <w:rPr>
            <w:rStyle w:val="Hyperlink"/>
            <w:i/>
          </w:rPr>
          <w:t xml:space="preserve">WMO Guidelines on Emerging Data Issues</w:t>
        </w:r>
      </w:hyperlink>
      <w:r>
        <w:t xml:space="preserve"> </w:t>
      </w:r>
      <w:r>
        <w:t xml:space="preserve">(WMO-No. 1239).</w:t>
      </w:r>
    </w:p>
    <w:p>
      <w:pPr>
        <w:pStyle w:val="Heading4"/>
      </w:pPr>
      <w:bookmarkStart w:id="238" w:name="Xfdf1ec97ef0e2e2f8372686023412b3075b03d2"/>
      <w:r>
        <w:t xml:space="preserve">3.1.4.2 Information security</w:t>
      </w:r>
      <w:bookmarkEnd w:id="238"/>
    </w:p>
    <w:p>
      <w:pPr>
        <w:pStyle w:val="FirstParagraph"/>
      </w:pPr>
      <w:r>
        <w:t xml:space="preserve">Further information on information security and best practices can be found in the</w:t>
      </w:r>
      <w:r>
        <w:t xml:space="preserve"> </w:t>
      </w:r>
      <w:hyperlink r:id="rId239">
        <w:r>
          <w:rPr>
            <w:rStyle w:val="Hyperlink"/>
            <w:i/>
          </w:rPr>
          <w:t xml:space="preserve">Guide to Information Technology Security</w:t>
        </w:r>
      </w:hyperlink>
      <w:r>
        <w:t xml:space="preserve"> </w:t>
      </w:r>
      <w:r>
        <w:t xml:space="preserve">(WMO-No. 1115).</w:t>
      </w:r>
    </w:p>
    <w:p>
      <w:pPr>
        <w:pStyle w:val="Heading1"/>
      </w:pPr>
      <w:bookmarkStart w:id="240" w:name="X21cd127bd20f258a1e62ea9ca51972219f0b892"/>
      <w:r>
        <w:t xml:space="preserve">PART IV</w:t>
      </w:r>
      <w:bookmarkEnd w:id="240"/>
    </w:p>
    <w:p>
      <w:pPr>
        <w:pStyle w:val="Heading2"/>
      </w:pPr>
      <w:bookmarkStart w:id="241" w:name="X71c247863f9308db54110576ff92f091d3be1e3"/>
      <w:r>
        <w:t xml:space="preserve">4.1 Security</w:t>
      </w:r>
      <w:bookmarkEnd w:id="241"/>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1"/>
        </w:numPr>
      </w:pPr>
      <w:r>
        <w:rPr>
          <w:i/>
        </w:rPr>
        <w:t xml:space="preserve">Guide to Information Technology Security</w:t>
      </w:r>
      <w:r>
        <w:t xml:space="preserve"> </w:t>
      </w:r>
      <w:r>
        <w:t xml:space="preserve">(WMO-No. 1115);</w:t>
      </w:r>
    </w:p>
    <w:p>
      <w:pPr>
        <w:numPr>
          <w:ilvl w:val="0"/>
          <w:numId w:val="1081"/>
        </w:numPr>
      </w:pPr>
      <w:hyperlink r:id="rId242">
        <w:r>
          <w:rPr>
            <w:rStyle w:val="Hyperlink"/>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p>
      <w:pPr>
        <w:pStyle w:val="Heading1"/>
      </w:pPr>
      <w:bookmarkStart w:id="243" w:name="X3305ea5abe6b1fb2cabf7a817df7b030491936b"/>
      <w:r>
        <w:t xml:space="preserve">PART V</w:t>
      </w:r>
      <w:bookmarkEnd w:id="243"/>
    </w:p>
    <w:p>
      <w:pPr>
        <w:pStyle w:val="Heading2"/>
      </w:pPr>
      <w:bookmarkStart w:id="244" w:name="X311f033dd070ab040b32e57c5c3829ecde9cfa8"/>
      <w:r>
        <w:t xml:space="preserve">5.1 Competencies</w:t>
      </w:r>
      <w:bookmarkEnd w:id="244"/>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WMO Information System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See</w:t>
      </w:r>
      <w:r>
        <w:t xml:space="preserve"> </w:t>
      </w:r>
      <w:r>
        <w:rPr>
          <w:i/>
        </w:rPr>
        <w:t xml:space="preserve">Data Catalog Vocabulary (DCAT) – Version 3, W3C Recommendation 22 August 2024</w:t>
      </w:r>
      <w:r>
        <w:t xml:space="preserve"> </w:t>
      </w:r>
      <w:hyperlink r:id="rId36">
        <w:r>
          <w:rPr>
            <w:rStyle w:val="Hyperlink"/>
          </w:rPr>
          <w:t xml:space="preserve">https://www.w3.org/TR/vocab-dcat-3/#Class:Dataset</w:t>
        </w:r>
      </w:hyperlink>
    </w:p>
  </w:footnote>
  <w:footnote w:id="37">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41">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4">
    <w:p>
      <w:pPr>
        <w:pStyle w:val="FootnoteText"/>
      </w:pPr>
      <w:r>
        <w:rPr>
          <w:rStyle w:val="FootnoteReference"/>
        </w:rPr>
        <w:footnoteRef/>
      </w:r>
      <w:r>
        <w:t xml:space="preserve"> </w:t>
      </w:r>
      <w:r>
        <w:t xml:space="preserve">See Internet Assigned Numbers Authority (IANA) Link Relations:</w:t>
      </w:r>
      <w:r>
        <w:t xml:space="preserve"> </w:t>
      </w:r>
      <w:hyperlink r:id="rId45">
        <w:r>
          <w:rPr>
            <w:rStyle w:val="Hyperlink"/>
          </w:rPr>
          <w:t xml:space="preserve">https://www.iana.org/assignments/link-relations/link-relations.xhtml</w:t>
        </w:r>
      </w:hyperlink>
    </w:p>
  </w:footnote>
  <w:footnote w:id="51">
    <w:p>
      <w:pPr>
        <w:pStyle w:val="FootnoteText"/>
      </w:pPr>
      <w:r>
        <w:rPr>
          <w:rStyle w:val="FootnoteReference"/>
        </w:rPr>
        <w:footnoteRef/>
      </w:r>
      <w:r>
        <w:t xml:space="preserve"> </w:t>
      </w:r>
      <w:r>
        <w:t xml:space="preserve">See RFC 7946 - The GeoJSON Format:</w:t>
      </w:r>
      <w:r>
        <w:t xml:space="preserve"> </w:t>
      </w:r>
      <w:hyperlink r:id="rId52">
        <w:r>
          <w:rPr>
            <w:rStyle w:val="Hyperlink"/>
          </w:rPr>
          <w:t xml:space="preserve">https://datatracker.ietf.org/doc/html/rfc7946</w:t>
        </w:r>
      </w:hyperlink>
      <w:r>
        <w:t xml:space="preserve">.</w:t>
      </w:r>
    </w:p>
  </w:footnote>
  <w:footnote w:id="53">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4">
    <w:p>
      <w:pPr>
        <w:pStyle w:val="FootnoteText"/>
      </w:pPr>
      <w:r>
        <w:rPr>
          <w:rStyle w:val="FootnoteReference"/>
        </w:rPr>
        <w:footnoteRef/>
      </w:r>
      <w:r>
        <w:t xml:space="preserve"> </w:t>
      </w:r>
      <w:r>
        <w:t xml:space="preserve">See OGC API - Records - Part 1: Core:</w:t>
      </w:r>
      <w:r>
        <w:t xml:space="preserve"> </w:t>
      </w:r>
      <w:hyperlink r:id="rId55">
        <w:r>
          <w:rPr>
            <w:rStyle w:val="Hyperlink"/>
          </w:rPr>
          <w:t xml:space="preserve">https://docs.ogc.org/DRAFTS/20-004.html</w:t>
        </w:r>
      </w:hyperlink>
      <w:r>
        <w:t xml:space="preserve">.</w:t>
      </w:r>
    </w:p>
  </w:footnote>
  <w:footnote w:id="56">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8">
    <w:p>
      <w:pPr>
        <w:pStyle w:val="FootnoteText"/>
      </w:pPr>
      <w:r>
        <w:rPr>
          <w:rStyle w:val="FootnoteReference"/>
        </w:rPr>
        <w:footnoteRef/>
      </w:r>
      <w:r>
        <w:t xml:space="preserve"> </w:t>
      </w:r>
      <w:r>
        <w:t xml:space="preserve">See Architecture of the World Wide Web, Volume One:</w:t>
      </w:r>
      <w:r>
        <w:t xml:space="preserve"> </w:t>
      </w:r>
      <w:hyperlink r:id="rId59">
        <w:r>
          <w:rPr>
            <w:rStyle w:val="Hyperlink"/>
          </w:rPr>
          <w:t xml:space="preserve">https://www.w3.org/TR/webarch/</w:t>
        </w:r>
      </w:hyperlink>
      <w:r>
        <w:t xml:space="preserve">.</w:t>
      </w:r>
    </w:p>
  </w:footnote>
  <w:footnote w:id="60">
    <w:p>
      <w:pPr>
        <w:pStyle w:val="FootnoteText"/>
      </w:pPr>
      <w:r>
        <w:rPr>
          <w:rStyle w:val="FootnoteReference"/>
        </w:rPr>
        <w:footnoteRef/>
      </w:r>
      <w:r>
        <w:t xml:space="preserve"> </w:t>
      </w:r>
      <w:r>
        <w:t xml:space="preserve">See RFC 3986 - Uniform Resource Identifier (URI) - Generic Syntax:</w:t>
      </w:r>
      <w:r>
        <w:t xml:space="preserve"> </w:t>
      </w:r>
      <w:hyperlink r:id="rId61">
        <w:r>
          <w:rPr>
            <w:rStyle w:val="Hyperlink"/>
          </w:rPr>
          <w:t xml:space="preserve">https://datatracker.ietf.org/doc/html/rfc3986</w:t>
        </w:r>
      </w:hyperlink>
      <w:r>
        <w:t xml:space="preserve">.</w:t>
      </w:r>
    </w:p>
  </w:footnote>
  <w:footnote w:id="62">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61">
        <w:r>
          <w:rPr>
            <w:rStyle w:val="Hyperlink"/>
          </w:rPr>
          <w:t xml:space="preserve">https://datatracker.ietf.org/doc/html/rfc3986</w:t>
        </w:r>
      </w:hyperlink>
      <w:r>
        <w:t xml:space="preserve">.</w:t>
      </w:r>
    </w:p>
  </w:footnote>
  <w:footnote w:id="63">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7">
    <w:p>
      <w:pPr>
        <w:pStyle w:val="FootnoteText"/>
      </w:pPr>
      <w:r>
        <w:rPr>
          <w:rStyle w:val="FootnoteReference"/>
        </w:rPr>
        <w:footnoteRef/>
      </w:r>
      <w:r>
        <w:t xml:space="preserve"> </w:t>
      </w:r>
      <w:r>
        <w:t xml:space="preserve">See STAC: SpatioTemporal Asset Catalogs:</w:t>
      </w:r>
      <w:r>
        <w:t xml:space="preserve"> </w:t>
      </w:r>
      <w:hyperlink r:id="rId68">
        <w:r>
          <w:rPr>
            <w:rStyle w:val="Hyperlink"/>
          </w:rPr>
          <w:t xml:space="preserve">https://stacspec.org/en</w:t>
        </w:r>
      </w:hyperlink>
      <w:r>
        <w:t xml:space="preserve">.</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https://www.iasa-web.org/tc04/submission-information-package-sip</w:t>
        </w:r>
      </w:hyperlink>
      <w:r>
        <w:t xml:space="preserve"> </w:t>
      </w:r>
      <w:r>
        <w:t xml:space="preserve">or</w:t>
      </w:r>
      <w:r>
        <w:t xml:space="preserve"> </w:t>
      </w:r>
      <w:hyperlink r:id="rId71">
        <w:r>
          <w:rPr>
            <w:rStyle w:val="Hyperlink"/>
          </w:rPr>
          <w:t xml:space="preserve">https://user.eumetsat.int/resources/user-guides/formats</w:t>
        </w:r>
      </w:hyperlink>
      <w:r>
        <w:t xml:space="preserve">.</w:t>
      </w:r>
    </w:p>
  </w:footnote>
  <w:footnote w:id="73">
    <w:p>
      <w:pPr>
        <w:pStyle w:val="FootnoteText"/>
      </w:pPr>
      <w:r>
        <w:rPr>
          <w:rStyle w:val="FootnoteReference"/>
        </w:rPr>
        <w:footnoteRef/>
      </w:r>
      <w:r>
        <w:t xml:space="preserve"> </w:t>
      </w:r>
      <w:r>
        <w:t xml:space="preserve">See OpenAPI Specification v3.1.0:</w:t>
      </w:r>
      <w:r>
        <w:t xml:space="preserve"> </w:t>
      </w:r>
      <w:hyperlink r:id="rId74">
        <w:r>
          <w:rPr>
            <w:rStyle w:val="Hyperlink"/>
          </w:rPr>
          <w:t xml:space="preserve">https://spec.openapis.org/oas/v3.1.0</w:t>
        </w:r>
      </w:hyperlink>
      <w:r>
        <w:t xml:space="preserve">.</w:t>
      </w:r>
    </w:p>
  </w:footnote>
  <w:footnote w:id="75">
    <w:p>
      <w:pPr>
        <w:pStyle w:val="FootnoteText"/>
      </w:pPr>
      <w:r>
        <w:rPr>
          <w:rStyle w:val="FootnoteReference"/>
        </w:rPr>
        <w:footnoteRef/>
      </w:r>
      <w:r>
        <w:t xml:space="preserve"> </w:t>
      </w:r>
      <w:r>
        <w:t xml:space="preserve">See OGC API:</w:t>
      </w:r>
      <w:r>
        <w:t xml:space="preserve"> </w:t>
      </w:r>
      <w:hyperlink r:id="rId76">
        <w:r>
          <w:rPr>
            <w:rStyle w:val="Hyperlink"/>
          </w:rPr>
          <w:t xml:space="preserve">https://ogcapi.ogc.org/</w:t>
        </w:r>
      </w:hyperlink>
      <w:r>
        <w:t xml:space="preserve">.</w:t>
      </w:r>
    </w:p>
  </w:footnote>
  <w:footnote w:id="77">
    <w:p>
      <w:pPr>
        <w:pStyle w:val="FootnoteText"/>
      </w:pPr>
      <w:r>
        <w:rPr>
          <w:rStyle w:val="FootnoteReference"/>
        </w:rPr>
        <w:footnoteRef/>
      </w:r>
      <w:r>
        <w:t xml:space="preserve"> </w:t>
      </w:r>
      <w:r>
        <w:t xml:space="preserve">See OGC API - Environmental Data Retrieval (EDR):</w:t>
      </w:r>
      <w:r>
        <w:t xml:space="preserve"> </w:t>
      </w:r>
      <w:hyperlink r:id="rId78">
        <w:r>
          <w:rPr>
            <w:rStyle w:val="Hyperlink"/>
          </w:rPr>
          <w:t xml:space="preserve">https://ogcapi.ogc.org/edr</w:t>
        </w:r>
      </w:hyperlink>
      <w:r>
        <w:t xml:space="preserve">.</w:t>
      </w:r>
    </w:p>
  </w:footnote>
  <w:footnote w:id="79">
    <w:p>
      <w:pPr>
        <w:pStyle w:val="FootnoteText"/>
      </w:pPr>
      <w:r>
        <w:rPr>
          <w:rStyle w:val="FootnoteReference"/>
        </w:rPr>
        <w:footnoteRef/>
      </w:r>
      <w:r>
        <w:t xml:space="preserve"> </w:t>
      </w:r>
      <w:r>
        <w:t xml:space="preserve">See OGC API - Features:</w:t>
      </w:r>
      <w:r>
        <w:t xml:space="preserve"> </w:t>
      </w:r>
      <w:hyperlink r:id="rId80">
        <w:r>
          <w:rPr>
            <w:rStyle w:val="Hyperlink"/>
          </w:rPr>
          <w:t xml:space="preserve">https://ogcapi.ogc.org/features</w:t>
        </w:r>
      </w:hyperlink>
      <w:r>
        <w:t xml:space="preserve">.</w:t>
      </w:r>
    </w:p>
  </w:footnote>
  <w:footnote w:id="81">
    <w:p>
      <w:pPr>
        <w:pStyle w:val="FootnoteText"/>
      </w:pPr>
      <w:r>
        <w:rPr>
          <w:rStyle w:val="FootnoteReference"/>
        </w:rPr>
        <w:footnoteRef/>
      </w:r>
      <w:r>
        <w:t xml:space="preserve"> </w:t>
      </w:r>
      <w:r>
        <w:t xml:space="preserve">See OGC API - Coverages:</w:t>
      </w:r>
      <w:r>
        <w:t xml:space="preserve"> </w:t>
      </w:r>
      <w:hyperlink r:id="rId82">
        <w:r>
          <w:rPr>
            <w:rStyle w:val="Hyperlink"/>
          </w:rPr>
          <w:t xml:space="preserve">https://ogcapi.ogc.org/coverages</w:t>
        </w:r>
      </w:hyperlink>
      <w:r>
        <w:t xml:space="preserve">.</w:t>
      </w:r>
    </w:p>
  </w:footnote>
  <w:footnote w:id="84">
    <w:p>
      <w:pPr>
        <w:pStyle w:val="FootnoteText"/>
      </w:pPr>
      <w:r>
        <w:rPr>
          <w:rStyle w:val="FootnoteReference"/>
        </w:rPr>
        <w:footnoteRef/>
      </w:r>
      <w:r>
        <w:t xml:space="preserve"> </w:t>
      </w:r>
      <w:r>
        <w:t xml:space="preserve">See World Weather Watch:</w:t>
      </w:r>
      <w:r>
        <w:t xml:space="preserve"> </w:t>
      </w:r>
      <w:hyperlink r:id="rId85">
        <w:r>
          <w:rPr>
            <w:rStyle w:val="Hyperlink"/>
          </w:rPr>
          <w:t xml:space="preserve">https://wmo.int/world-weather-watch</w:t>
        </w:r>
      </w:hyperlink>
      <w:r>
        <w:t xml:space="preserve">.</w:t>
      </w:r>
    </w:p>
  </w:footnote>
  <w:footnote w:id="86">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7">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8">
    <w:p>
      <w:pPr>
        <w:pStyle w:val="FootnoteText"/>
      </w:pPr>
      <w:r>
        <w:rPr>
          <w:rStyle w:val="FootnoteReference"/>
        </w:rPr>
        <w:footnoteRef/>
      </w:r>
      <w:r>
        <w:t xml:space="preserve"> </w:t>
      </w:r>
      <w:r>
        <w:t xml:space="preserve">See Internet Assigned Numbers Authority (IANA) Link Relations:</w:t>
      </w:r>
      <w:r>
        <w:t xml:space="preserve"> </w:t>
      </w:r>
      <w:hyperlink r:id="rId45">
        <w:r>
          <w:rPr>
            <w:rStyle w:val="Hyperlink"/>
          </w:rPr>
          <w:t xml:space="preserve">https://www.iana.org/assignments/link-relations/link-relations.xhtml</w:t>
        </w:r>
      </w:hyperlink>
      <w:r>
        <w:t xml:space="preserve">.</w:t>
      </w:r>
    </w:p>
  </w:footnote>
  <w:footnote w:id="89">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90">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92">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3">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4">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6">
    <w:p>
      <w:pPr>
        <w:pStyle w:val="FootnoteText"/>
      </w:pPr>
      <w:r>
        <w:rPr>
          <w:rStyle w:val="FootnoteReference"/>
        </w:rPr>
        <w:footnoteRef/>
      </w:r>
      <w:r>
        <w:t xml:space="preserve"> </w:t>
      </w:r>
      <w:r>
        <w:t xml:space="preserve">See OpenAPI Security Scheme Object:</w:t>
      </w:r>
      <w:r>
        <w:t xml:space="preserve"> </w:t>
      </w:r>
      <w:hyperlink r:id="rId97">
        <w:r>
          <w:rPr>
            <w:rStyle w:val="Hyperlink"/>
          </w:rPr>
          <w:t xml:space="preserve">https://spec.openapis.org/oas/v3.1.0#security-scheme-object</w:t>
        </w:r>
      </w:hyperlink>
      <w:r>
        <w:t xml:space="preserve">.</w:t>
      </w:r>
    </w:p>
  </w:footnote>
  <w:footnote w:id="98">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9">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
        </w:rPr>
        <w:t xml:space="preserve">Manual on WIS</w:t>
      </w:r>
      <w:r>
        <w:t xml:space="preserve">, Volume II.</w:t>
      </w:r>
    </w:p>
  </w:footnote>
  <w:footnote w:id="100">
    <w:p>
      <w:pPr>
        <w:pStyle w:val="FootnoteText"/>
      </w:pPr>
      <w:r>
        <w:rPr>
          <w:rStyle w:val="FootnoteReference"/>
        </w:rPr>
        <w:footnoteRef/>
      </w:r>
      <w:r>
        <w:t xml:space="preserve"> </w:t>
      </w:r>
      <w:r>
        <w:t xml:space="preserve">See working with presigned URLs on Amazon S3:</w:t>
      </w:r>
      <w:r>
        <w:t xml:space="preserve"> </w:t>
      </w:r>
      <w:hyperlink r:id="rId101">
        <w:r>
          <w:rPr>
            <w:rStyle w:val="Hyperlink"/>
          </w:rPr>
          <w:t xml:space="preserve">https://docs.aws.amazon.com/AmazonS3/latest/userguide/using-presigned-url.html</w:t>
        </w:r>
      </w:hyperlink>
      <w:r>
        <w:t xml:space="preserve">.</w:t>
      </w:r>
    </w:p>
  </w:footnote>
  <w:footnote w:id="103">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21">
    <w:p>
      <w:pPr>
        <w:pStyle w:val="FootnoteText"/>
      </w:pPr>
      <w:r>
        <w:rPr>
          <w:rStyle w:val="FootnoteReference"/>
        </w:rPr>
        <w:footnoteRef/>
      </w:r>
      <w:r>
        <w:t xml:space="preserve"> </w:t>
      </w:r>
      <w:r>
        <w:t xml:space="preserve">See MQTT Specifications:</w:t>
      </w:r>
      <w:r>
        <w:t xml:space="preserve"> </w:t>
      </w:r>
      <w:hyperlink r:id="rId122">
        <w:r>
          <w:rPr>
            <w:rStyle w:val="Hyperlink"/>
          </w:rPr>
          <w:t xml:space="preserve">https://mqtt.org/mqtt-specification/</w:t>
        </w:r>
      </w:hyperlink>
      <w:r>
        <w:t xml:space="preserve">.</w:t>
      </w:r>
    </w:p>
  </w:footnote>
  <w:footnote w:id="124">
    <w:p>
      <w:pPr>
        <w:pStyle w:val="FootnoteText"/>
      </w:pPr>
      <w:r>
        <w:rPr>
          <w:rStyle w:val="FootnoteReference"/>
        </w:rPr>
        <w:footnoteRef/>
      </w:r>
      <w:r>
        <w:t xml:space="preserve"> </w:t>
      </w:r>
      <w:r>
        <w:t xml:space="preserve">See RFC 7231 - Hypertext Transfer Protocol (HTTP/1.1): Semantics and Content:</w:t>
      </w:r>
      <w:r>
        <w:t xml:space="preserve"> </w:t>
      </w:r>
      <w:hyperlink r:id="rId125">
        <w:r>
          <w:rPr>
            <w:rStyle w:val="Hyperlink"/>
          </w:rPr>
          <w:t xml:space="preserve">https://datatracker.ietf.org/doc/html/rfc7231</w:t>
        </w:r>
      </w:hyperlink>
      <w:r>
        <w:t xml:space="preserve">.</w:t>
      </w:r>
    </w:p>
  </w:footnote>
  <w:footnote w:id="131">
    <w:p>
      <w:pPr>
        <w:pStyle w:val="FootnoteText"/>
      </w:pPr>
      <w:r>
        <w:rPr>
          <w:rStyle w:val="FootnoteReference"/>
        </w:rPr>
        <w:footnoteRef/>
      </w:r>
      <w:r>
        <w:t xml:space="preserve"> </w:t>
      </w:r>
      <w:r>
        <w:t xml:space="preserve">See IANA TLDs:</w:t>
      </w:r>
      <w:r>
        <w:t xml:space="preserve"> </w:t>
      </w:r>
      <w:hyperlink r:id="rId132">
        <w:r>
          <w:rPr>
            <w:rStyle w:val="Hyperlink"/>
          </w:rPr>
          <w:t xml:space="preserve">https://data.iana.org/TLD</w:t>
        </w:r>
      </w:hyperlink>
      <w:r>
        <w:t xml:space="preserve">.</w:t>
      </w:r>
    </w:p>
  </w:footnote>
  <w:footnote w:id="133">
    <w:p>
      <w:pPr>
        <w:pStyle w:val="FootnoteText"/>
      </w:pPr>
      <w:r>
        <w:rPr>
          <w:rStyle w:val="FootnoteReference"/>
        </w:rPr>
        <w:footnoteRef/>
      </w:r>
      <w:r>
        <w:t xml:space="preserve"> </w:t>
      </w:r>
      <w:r>
        <w:t xml:space="preserve">See</w:t>
      </w:r>
      <w:r>
        <w:t xml:space="preserve"> </w:t>
      </w:r>
      <w:hyperlink r:id="rId134">
        <w:r>
          <w:rPr>
            <w:rStyle w:val="Hyperlink"/>
          </w:rPr>
          <w:t xml:space="preserve">http://www.metoffice.gov.uk</w:t>
        </w:r>
      </w:hyperlink>
      <w:r>
        <w:t xml:space="preserve">.</w:t>
      </w:r>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See OpenAPI Specification - Security Scheme Object:</w:t>
      </w:r>
      <w:r>
        <w:t xml:space="preserve"> </w:t>
      </w:r>
      <w:hyperlink r:id="rId97">
        <w:r>
          <w:rPr>
            <w:rStyle w:val="Hyperlink"/>
          </w:rPr>
          <w:t xml:space="preserve">https://spec.openapis.org/oas/v3.1.0#security-scheme-object</w:t>
        </w:r>
      </w:hyperlink>
      <w:r>
        <w:t xml:space="preserve">.</w:t>
      </w:r>
    </w:p>
  </w:footnote>
  <w:footnote w:id="151">
    <w:p>
      <w:pPr>
        <w:pStyle w:val="FootnoteText"/>
      </w:pPr>
      <w:r>
        <w:rPr>
          <w:rStyle w:val="FootnoteReference"/>
        </w:rPr>
        <w:footnoteRef/>
      </w:r>
      <w:r>
        <w:t xml:space="preserve"> </w:t>
      </w:r>
      <w:r>
        <w:t xml:space="preserve">See OpenMetrics:</w:t>
      </w:r>
      <w:r>
        <w:t xml:space="preserve"> </w:t>
      </w:r>
      <w:hyperlink r:id="rId152">
        <w:r>
          <w:rPr>
            <w:rStyle w:val="Hyperlink"/>
          </w:rPr>
          <w:t xml:space="preserve">https://openmetrics.io</w:t>
        </w:r>
      </w:hyperlink>
      <w:r>
        <w:t xml:space="preserve">.</w:t>
      </w:r>
    </w:p>
  </w:footnote>
  <w:footnote w:id="153">
    <w:p>
      <w:pPr>
        <w:pStyle w:val="FootnoteText"/>
      </w:pPr>
      <w:r>
        <w:rPr>
          <w:rStyle w:val="FootnoteReference"/>
        </w:rPr>
        <w:footnoteRef/>
      </w:r>
      <w:r>
        <w:t xml:space="preserve"> </w:t>
      </w:r>
      <w:r>
        <w:t xml:space="preserve">OpenMetrics is proposed as a draft standard within the Internet Engineering Task Force (IETF).</w:t>
      </w:r>
    </w:p>
  </w:footnote>
  <w:footnote w:id="154">
    <w:p>
      <w:pPr>
        <w:pStyle w:val="FootnoteText"/>
      </w:pPr>
      <w:r>
        <w:rPr>
          <w:rStyle w:val="FootnoteReference"/>
        </w:rPr>
        <w:footnoteRef/>
      </w:r>
      <w:r>
        <w:t xml:space="preserve"> </w:t>
      </w:r>
      <w:r>
        <w:t xml:space="preserve">See</w:t>
      </w:r>
      <w:r>
        <w:t xml:space="preserve"> </w:t>
      </w:r>
      <w:hyperlink r:id="rId155">
        <w:r>
          <w:rPr>
            <w:rStyle w:val="Hyperlink"/>
          </w:rPr>
          <w:t xml:space="preserve">https://github.com/wmo-im/wis2-metric-hierarchy</w:t>
        </w:r>
      </w:hyperlink>
      <w:r>
        <w:t xml:space="preserve">.</w:t>
      </w:r>
    </w:p>
  </w:footnote>
  <w:footnote w:id="163">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6">
    <w:p>
      <w:pPr>
        <w:pStyle w:val="FootnoteText"/>
      </w:pPr>
      <w:r>
        <w:rPr>
          <w:rStyle w:val="FootnoteReference"/>
        </w:rPr>
        <w:footnoteRef/>
      </w:r>
      <w:r>
        <w:t xml:space="preserve"> </w:t>
      </w:r>
      <w:r>
        <w:t xml:space="preserve">See OGC-API Records - Part 1</w:t>
      </w:r>
      <w:r>
        <w:t xml:space="preserve"> </w:t>
      </w:r>
      <w:hyperlink r:id="rId55">
        <w:r>
          <w:rPr>
            <w:rStyle w:val="Hyperlink"/>
          </w:rPr>
          <w:t xml:space="preserve">https://docs.ogc.org/DRAFTS/20-004.html</w:t>
        </w:r>
      </w:hyperlink>
      <w:r>
        <w:t xml:space="preserve">.</w:t>
      </w:r>
    </w:p>
  </w:footnote>
  <w:footnote w:id="174">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 205) is defined in the</w:t>
      </w:r>
      <w:r>
        <w:t xml:space="preserve"> </w:t>
      </w:r>
      <w:r>
        <w:rPr>
          <w:i/>
        </w:rPr>
        <w:t xml:space="preserve">Manual on Codes</w:t>
      </w:r>
      <w:r>
        <w:t xml:space="preserve"> </w:t>
      </w:r>
      <w:r>
        <w:t xml:space="preserve">(WMO-No. 306), Volume I.3.</w:t>
      </w:r>
    </w:p>
  </w:footnote>
  <w:footnote w:id="181">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7">
        <w:r>
          <w:rPr>
            <w:rStyle w:val="Hyperlink"/>
          </w:rPr>
          <w:t xml:space="preserve">https://spec.openapis.org/oas/v3.1.0#security-scheme-object</w:t>
        </w:r>
      </w:hyperlink>
      <w:r>
        <w:t xml:space="preserve">.</w:t>
      </w:r>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1">
    <w:p>
      <w:pPr>
        <w:pStyle w:val="FootnoteText"/>
      </w:pPr>
      <w:r>
        <w:rPr>
          <w:rStyle w:val="FootnoteReference"/>
        </w:rPr>
        <w:footnoteRef/>
      </w:r>
      <w:r>
        <w:t xml:space="preserve"> </w:t>
      </w:r>
      <w:r>
        <w:t xml:space="preserve">See OpenMetrics:</w:t>
      </w:r>
      <w:r>
        <w:t xml:space="preserve"> </w:t>
      </w:r>
      <w:hyperlink r:id="rId152">
        <w:r>
          <w:rPr>
            <w:rStyle w:val="Hyperlink"/>
          </w:rPr>
          <w:t xml:space="preserve">https://openmetrics.io</w:t>
        </w:r>
      </w:hyperlink>
      <w:r>
        <w:t xml:space="preserve">.</w:t>
      </w:r>
    </w:p>
  </w:footnote>
  <w:footnote w:id="193">
    <w:p>
      <w:pPr>
        <w:pStyle w:val="FootnoteText"/>
      </w:pPr>
      <w:r>
        <w:rPr>
          <w:rStyle w:val="FootnoteReference"/>
        </w:rPr>
        <w:footnoteRef/>
      </w:r>
      <w:r>
        <w:t xml:space="preserve"> </w:t>
      </w:r>
      <w:r>
        <w:t xml:space="preserve">See AMQP 1.0:</w:t>
      </w:r>
      <w:r>
        <w:t xml:space="preserve"> </w:t>
      </w:r>
      <w:hyperlink r:id="rId194">
        <w:r>
          <w:rPr>
            <w:rStyle w:val="Hyperlink"/>
          </w:rPr>
          <w:t xml:space="preserve">https://www.amqp.org/resources/specifications</w:t>
        </w:r>
      </w:hyperlink>
      <w:r>
        <w:t xml:space="preserve">.</w:t>
      </w:r>
    </w:p>
  </w:footnote>
  <w:footnote w:id="196">
    <w:p>
      <w:pPr>
        <w:pStyle w:val="FootnoteText"/>
      </w:pPr>
      <w:r>
        <w:rPr>
          <w:rStyle w:val="FootnoteReference"/>
        </w:rPr>
        <w:footnoteRef/>
      </w:r>
      <w:r>
        <w:t xml:space="preserve"> </w:t>
      </w:r>
      <w:r>
        <w:t xml:space="preserve">See</w:t>
      </w:r>
      <w:r>
        <w:t xml:space="preserve"> </w:t>
      </w:r>
      <w:hyperlink r:id="rId197">
        <w:r>
          <w:rPr>
            <w:rStyle w:val="Hyperlink"/>
          </w:rPr>
          <w:t xml:space="preserve">https://schema.org</w:t>
        </w:r>
      </w:hyperlink>
      <w:r>
        <w:t xml:space="preserve">.</w:t>
      </w:r>
    </w:p>
  </w:footnote>
  <w:footnote w:id="215">
    <w:p>
      <w:pPr>
        <w:pStyle w:val="FootnoteText"/>
      </w:pPr>
      <w:r>
        <w:rPr>
          <w:rStyle w:val="FootnoteReference"/>
        </w:rPr>
        <w:footnoteRef/>
      </w:r>
      <w:r>
        <w:t xml:space="preserve"> </w:t>
      </w:r>
      <w:hyperlink r:id="rId216">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2" Target="https://data.iana.org/TLD" TargetMode="External" /><Relationship Type="http://schemas.openxmlformats.org/officeDocument/2006/relationships/hyperlink" Id="rId61" Target="https://datatracker.ietf.org/doc/html/rfc3986" TargetMode="External" /><Relationship Type="http://schemas.openxmlformats.org/officeDocument/2006/relationships/hyperlink" Id="rId125" Target="https://datatracker.ietf.org/doc/html/rfc7231" TargetMode="External" /><Relationship Type="http://schemas.openxmlformats.org/officeDocument/2006/relationships/hyperlink" Id="rId52" Target="https://datatracker.ietf.org/doc/html/rfc7946" TargetMode="External" /><Relationship Type="http://schemas.openxmlformats.org/officeDocument/2006/relationships/hyperlink" Id="rId101" Target="https://docs.aws.amazon.com/AmazonS3/latest/userguide/using-presigned-url.html" TargetMode="External" /><Relationship Type="http://schemas.openxmlformats.org/officeDocument/2006/relationships/hyperlink" Id="rId55"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5" Target="https://github.com/wmo-im/wis2-metric-hierarchy" TargetMode="External" /><Relationship Type="http://schemas.openxmlformats.org/officeDocument/2006/relationships/hyperlink" Id="rId146" Target="https://github.com/wmo-im/wis2box" TargetMode="External" /><Relationship Type="http://schemas.openxmlformats.org/officeDocument/2006/relationships/hyperlink" Id="rId216" Target="https://go-fair.org" TargetMode="External" /><Relationship Type="http://schemas.openxmlformats.org/officeDocument/2006/relationships/hyperlink" Id="rId242" Target="https://library.wmo.int/idurl/4/28988" TargetMode="External" /><Relationship Type="http://schemas.openxmlformats.org/officeDocument/2006/relationships/hyperlink" Id="rId65" Target="https://library.wmo.int/idurl/4/35625" TargetMode="External" /><Relationship Type="http://schemas.openxmlformats.org/officeDocument/2006/relationships/hyperlink" Id="rId232" Target="https://library.wmo.int/idurl/4/35703" TargetMode="External" /><Relationship Type="http://schemas.openxmlformats.org/officeDocument/2006/relationships/hyperlink" Id="rId210" Target="https://library.wmo.int/idurl/4/35722" TargetMode="External" /><Relationship Type="http://schemas.openxmlformats.org/officeDocument/2006/relationships/hyperlink" Id="rId226" Target="https://library.wmo.int/idurl/4/35769" TargetMode="External" /><Relationship Type="http://schemas.openxmlformats.org/officeDocument/2006/relationships/hyperlink" Id="rId234" Target="https://library.wmo.int/idurl/4/41585" TargetMode="External" /><Relationship Type="http://schemas.openxmlformats.org/officeDocument/2006/relationships/hyperlink" Id="rId239" Target="https://library.wmo.int/idurl/4/51145" TargetMode="External" /><Relationship Type="http://schemas.openxmlformats.org/officeDocument/2006/relationships/hyperlink" Id="rId230" Target="https://library.wmo.int/idurl/4/55063" TargetMode="External" /><Relationship Type="http://schemas.openxmlformats.org/officeDocument/2006/relationships/hyperlink" Id="rId231" Target="https://library.wmo.int/idurl/4/55696" TargetMode="External" /><Relationship Type="http://schemas.openxmlformats.org/officeDocument/2006/relationships/hyperlink" Id="rId237"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122" Target="https://mqtt.org/mqtt-specification/" TargetMode="External" /><Relationship Type="http://schemas.openxmlformats.org/officeDocument/2006/relationships/hyperlink" Id="rId76" Target="https://ogcapi.ogc.org/" TargetMode="External" /><Relationship Type="http://schemas.openxmlformats.org/officeDocument/2006/relationships/hyperlink" Id="rId82" Target="https://ogcapi.ogc.org/coverages" TargetMode="External" /><Relationship Type="http://schemas.openxmlformats.org/officeDocument/2006/relationships/hyperlink" Id="rId78" Target="https://ogcapi.ogc.org/edr" TargetMode="External" /><Relationship Type="http://schemas.openxmlformats.org/officeDocument/2006/relationships/hyperlink" Id="rId80"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4" Target="https://spec.openapis.org/oas/v3.1.0" TargetMode="External" /><Relationship Type="http://schemas.openxmlformats.org/officeDocument/2006/relationships/hyperlink" Id="rId97" Target="https://spec.openapis.org/oas/v3.1.0#security-scheme-object" TargetMode="External" /><Relationship Type="http://schemas.openxmlformats.org/officeDocument/2006/relationships/hyperlink" Id="rId68" Target="https://stacspec.org/en" TargetMode="External" /><Relationship Type="http://schemas.openxmlformats.org/officeDocument/2006/relationships/hyperlink" Id="rId71" Target="https://user.eumetsat.int/resources/user-guides/formats" TargetMode="External" /><Relationship Type="http://schemas.openxmlformats.org/officeDocument/2006/relationships/hyperlink" Id="rId85"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5" Target="https://www.iana.org/assignments/link-relations/link-relations.xhtml" TargetMode="External" /><Relationship Type="http://schemas.openxmlformats.org/officeDocument/2006/relationships/hyperlink" Id="rId70" Target="https://www.iasa-web.org/tc04/submission-information-package-sip" TargetMode="External" /><Relationship Type="http://schemas.openxmlformats.org/officeDocument/2006/relationships/hyperlink" Id="rId36" Target="https://www.w3.org/TR/vocab-dcat-3/#Class:Dataset" TargetMode="External" /><Relationship Type="http://schemas.openxmlformats.org/officeDocument/2006/relationships/hyperlink" Id="rId59"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2" Target="https://data.iana.org/TLD" TargetMode="External" /><Relationship Type="http://schemas.openxmlformats.org/officeDocument/2006/relationships/hyperlink" Id="rId61" Target="https://datatracker.ietf.org/doc/html/rfc3986" TargetMode="External" /><Relationship Type="http://schemas.openxmlformats.org/officeDocument/2006/relationships/hyperlink" Id="rId125" Target="https://datatracker.ietf.org/doc/html/rfc7231" TargetMode="External" /><Relationship Type="http://schemas.openxmlformats.org/officeDocument/2006/relationships/hyperlink" Id="rId52" Target="https://datatracker.ietf.org/doc/html/rfc7946" TargetMode="External" /><Relationship Type="http://schemas.openxmlformats.org/officeDocument/2006/relationships/hyperlink" Id="rId101" Target="https://docs.aws.amazon.com/AmazonS3/latest/userguide/using-presigned-url.html" TargetMode="External" /><Relationship Type="http://schemas.openxmlformats.org/officeDocument/2006/relationships/hyperlink" Id="rId55"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5" Target="https://github.com/wmo-im/wis2-metric-hierarchy" TargetMode="External" /><Relationship Type="http://schemas.openxmlformats.org/officeDocument/2006/relationships/hyperlink" Id="rId146" Target="https://github.com/wmo-im/wis2box" TargetMode="External" /><Relationship Type="http://schemas.openxmlformats.org/officeDocument/2006/relationships/hyperlink" Id="rId216" Target="https://go-fair.org" TargetMode="External" /><Relationship Type="http://schemas.openxmlformats.org/officeDocument/2006/relationships/hyperlink" Id="rId242" Target="https://library.wmo.int/idurl/4/28988" TargetMode="External" /><Relationship Type="http://schemas.openxmlformats.org/officeDocument/2006/relationships/hyperlink" Id="rId65" Target="https://library.wmo.int/idurl/4/35625" TargetMode="External" /><Relationship Type="http://schemas.openxmlformats.org/officeDocument/2006/relationships/hyperlink" Id="rId232" Target="https://library.wmo.int/idurl/4/35703" TargetMode="External" /><Relationship Type="http://schemas.openxmlformats.org/officeDocument/2006/relationships/hyperlink" Id="rId210" Target="https://library.wmo.int/idurl/4/35722" TargetMode="External" /><Relationship Type="http://schemas.openxmlformats.org/officeDocument/2006/relationships/hyperlink" Id="rId226" Target="https://library.wmo.int/idurl/4/35769" TargetMode="External" /><Relationship Type="http://schemas.openxmlformats.org/officeDocument/2006/relationships/hyperlink" Id="rId234" Target="https://library.wmo.int/idurl/4/41585" TargetMode="External" /><Relationship Type="http://schemas.openxmlformats.org/officeDocument/2006/relationships/hyperlink" Id="rId239" Target="https://library.wmo.int/idurl/4/51145" TargetMode="External" /><Relationship Type="http://schemas.openxmlformats.org/officeDocument/2006/relationships/hyperlink" Id="rId230" Target="https://library.wmo.int/idurl/4/55063" TargetMode="External" /><Relationship Type="http://schemas.openxmlformats.org/officeDocument/2006/relationships/hyperlink" Id="rId231" Target="https://library.wmo.int/idurl/4/55696" TargetMode="External" /><Relationship Type="http://schemas.openxmlformats.org/officeDocument/2006/relationships/hyperlink" Id="rId237"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122" Target="https://mqtt.org/mqtt-specification/" TargetMode="External" /><Relationship Type="http://schemas.openxmlformats.org/officeDocument/2006/relationships/hyperlink" Id="rId76" Target="https://ogcapi.ogc.org/" TargetMode="External" /><Relationship Type="http://schemas.openxmlformats.org/officeDocument/2006/relationships/hyperlink" Id="rId82" Target="https://ogcapi.ogc.org/coverages" TargetMode="External" /><Relationship Type="http://schemas.openxmlformats.org/officeDocument/2006/relationships/hyperlink" Id="rId78" Target="https://ogcapi.ogc.org/edr" TargetMode="External" /><Relationship Type="http://schemas.openxmlformats.org/officeDocument/2006/relationships/hyperlink" Id="rId80"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4" Target="https://spec.openapis.org/oas/v3.1.0" TargetMode="External" /><Relationship Type="http://schemas.openxmlformats.org/officeDocument/2006/relationships/hyperlink" Id="rId97" Target="https://spec.openapis.org/oas/v3.1.0#security-scheme-object" TargetMode="External" /><Relationship Type="http://schemas.openxmlformats.org/officeDocument/2006/relationships/hyperlink" Id="rId68" Target="https://stacspec.org/en" TargetMode="External" /><Relationship Type="http://schemas.openxmlformats.org/officeDocument/2006/relationships/hyperlink" Id="rId71" Target="https://user.eumetsat.int/resources/user-guides/formats" TargetMode="External" /><Relationship Type="http://schemas.openxmlformats.org/officeDocument/2006/relationships/hyperlink" Id="rId85"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5" Target="https://www.iana.org/assignments/link-relations/link-relations.xhtml" TargetMode="External" /><Relationship Type="http://schemas.openxmlformats.org/officeDocument/2006/relationships/hyperlink" Id="rId70" Target="https://www.iasa-web.org/tc04/submission-information-package-sip" TargetMode="External" /><Relationship Type="http://schemas.openxmlformats.org/officeDocument/2006/relationships/hyperlink" Id="rId36" Target="https://www.w3.org/TR/vocab-dcat-3/#Class:Dataset" TargetMode="External" /><Relationship Type="http://schemas.openxmlformats.org/officeDocument/2006/relationships/hyperlink" Id="rId59"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2024-10-25T08:24:38Z</dcterms:created>
  <dcterms:modified xsi:type="dcterms:W3CDTF">2024-10-25T08:24:38Z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2024-10-25</vt:lpwstr>
  </property>
</Properties>
</file>