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7.png" ContentType="image/png"/>
  <Override PartName="/word/media/rId195.png" ContentType="image/png"/>
  <Override PartName="/word/media/rId183.png" ContentType="image/png"/>
  <Override PartName="/word/media/rId1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2024-06-03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2024-06-03</w:t>
            </w:r>
          </w:p>
        </w:tc>
      </w:tr>
      <w:tr>
        <w:tc>
          <w:p>
            <w:pPr>
              <w:jc w:val="left"/>
            </w:pPr>
            <w:r>
              <w:t xml:space="preserve">Version: 2024.dev</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Heading1"/>
      </w:pPr>
      <w:bookmarkStart w:id="27" w:name="X549204531ac4cfafaf6f31089837a83c8a77192"/>
      <w:r>
        <w:t xml:space="preserve">PART I</w:t>
      </w:r>
      <w:bookmarkEnd w:id="27"/>
    </w:p>
    <w:p>
      <w:pPr>
        <w:pStyle w:val="Heading2"/>
      </w:pPr>
      <w:bookmarkStart w:id="28" w:name="X852f54d185094e52cec04272711b3ea995c484a"/>
      <w:r>
        <w:t xml:space="preserve">Introduction to WIS2</w:t>
      </w:r>
      <w:bookmarkEnd w:id="28"/>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9" w:name="Xd4bb5a1c4cdba43de6397d6e3c16aac779bf079"/>
      <w:r>
        <w:t xml:space="preserve">Leveraging open standards</w:t>
      </w:r>
      <w:bookmarkEnd w:id="29"/>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30" w:name="X0734bef67de5db9235582f4a529712381e37fcc"/>
      <w:r>
        <w:t xml:space="preserve">Simpler data exchange</w:t>
      </w:r>
      <w:bookmarkEnd w:id="30"/>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31" w:name="X67406e920a4ccd57c7cd292e6f7de06a46082dc"/>
      <w:r>
        <w:t xml:space="preserve">Cloud-ready solutions</w:t>
      </w:r>
      <w:bookmarkEnd w:id="31"/>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2" w:name="X90222933da14900ccee9ac904f28227ea8423df"/>
      <w:r>
        <w:t xml:space="preserve">Why are datasets so important?</w:t>
      </w:r>
      <w:bookmarkEnd w:id="32"/>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3"/>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w:t>
      </w:r>
      <w:r>
        <w:t xml:space="preserve"> </w:t>
      </w:r>
      <w:r>
        <w:rPr>
          <w:i/>
        </w:rPr>
        <w:t xml:space="preserve">Manual on WIS</w:t>
      </w:r>
      <w:r>
        <w:t xml:space="preserve"> </w:t>
      </w:r>
      <w:r>
        <w:t xml:space="preserve">(WMO-No. 1060), Volume II, Appendix F: WMO Core Metadata Profile 2.</w:t>
      </w:r>
    </w:p>
    <w:p>
      <w:pPr>
        <w:numPr>
          <w:ilvl w:val="0"/>
          <w:numId w:val="1003"/>
        </w:numPr>
      </w:pPr>
      <w:r>
        <w:t xml:space="preserve">We can search for Datasets that contain relevant data using the Global Discovery Catalogue (see</w:t>
      </w:r>
      <w:r>
        <w:t xml:space="preserve"> </w:t>
      </w:r>
      <w:hyperlink w:anchor="X7afed62fce9c77dc9763966ede44c55358b9618">
        <w:r>
          <w:rPr>
            <w:rStyle w:val="Hyperlink"/>
          </w:rPr>
          <w:t xml:space="preserve">Global Discovery Catalogue</w:t>
        </w:r>
      </w:hyperlink>
      <w:r>
        <w:t xml:space="preserve">).</w:t>
      </w:r>
    </w:p>
    <w:p>
      <w:pPr>
        <w:numPr>
          <w:ilvl w:val="0"/>
          <w:numId w:val="1003"/>
        </w:numPr>
      </w:pPr>
      <w:r>
        <w:t xml:space="preserve">We can subscribe to notifications about updates about a Dataset via a Global Broker (see</w:t>
      </w:r>
      <w:r>
        <w:t xml:space="preserve"> </w:t>
      </w:r>
      <w:hyperlink w:anchor="X457e87df81e20dd60341813f33917c04b732591">
        <w:r>
          <w:rPr>
            <w:rStyle w:val="Hyperlink"/>
          </w:rPr>
          <w:t xml:space="preserve">Global Broker</w:t>
        </w:r>
      </w:hyperlink>
      <w:r>
        <w:t xml:space="preserve">).</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w:t>
      </w:r>
      <w:r>
        <w:t xml:space="preserve">(WMO-No. 1060), Volume II, Appendix F: WMO Core Metadata Profile 2).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(e.g., for input to a weather prediction model), they should subscribe to one or more Global Broker to get notifications messages using MQTT protocol</w:t>
      </w:r>
      <w:r>
        <w:rPr>
          <w:rStyle w:val="FootnoteReference"/>
        </w:rPr>
        <w:footnoteReference w:id="39"/>
      </w:r>
      <w:r>
        <w:t xml:space="preserve">.</w:t>
      </w:r>
    </w:p>
    <w:p>
      <w:pPr>
        <w:pStyle w:val="BodyText"/>
      </w:pPr>
      <w:r>
        <w:t xml:space="preserve">In WIS2, notifications are re-published by Global Brokers to ensure resilient distribution. Consequently, there will by multiple places where one can subscribe. Data Consumers requiring real-time notifications must subscribe to Global Brokers. A Data Consumer should subscribe to more than one Global Broker, thereby ensuring that notifications continue to be received in the event that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w:t>
      </w:r>
      <w:r>
        <w:t xml:space="preserve">(WMO-No. 1060), Volume II, Appendix D: WIS2 Topic Hierarchy).</w:t>
      </w:r>
    </w:p>
    <w:p>
      <w:pPr>
        <w:pStyle w:val="BodyText"/>
      </w:pPr>
      <w:r>
        <w:t xml:space="preserve">A Data Consumer can find the appropriate topic to subscribe to either by searching the Global Discovery Catalogue, using an Internet search engines</w:t>
      </w:r>
      <w:r>
        <w:rPr>
          <w:rStyle w:val="FootnoteReference"/>
        </w:rPr>
        <w:footnoteReference w:id="40"/>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highly-available data server and publishes a new notification message advertising the availability of that data from a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6"/>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w:t>
      </w:r>
      <w:r>
        <w:t xml:space="preserve">(WMO-No. 1060),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hierachy to receive the notifications from Global Caches, each of which provides a link (i.e., URL) to download from the respective Global Cache’s data server.</w:t>
      </w:r>
    </w:p>
    <w:p>
      <w:pPr>
        <w:pStyle w:val="Heading3"/>
      </w:pPr>
      <w:bookmarkStart w:id="41" w:name="Xcc74123211a801bd7777cf5f2cb58a808b6c657"/>
      <w:r>
        <w:t xml:space="preserve">How to use a notification message to decide whether to download data</w:t>
      </w:r>
      <w:bookmarkEnd w:id="41"/>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w:t>
      </w:r>
      <w:r>
        <w:t xml:space="preserve">(WMO-No. 1060), Volume II,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will be available from both a WIS2 Node and Global Caches, each of which publish a different notification message advertising alternative locations from where the data can be downloaded. Because these are</w:t>
      </w:r>
      <w:r>
        <w:t xml:space="preserve"> </w:t>
      </w:r>
      <w:r>
        <w:rPr>
          <w:i/>
        </w:rPr>
        <w:t xml:space="preserve">different</w:t>
      </w:r>
      <w:r>
        <w:t xml:space="preserve"> </w:t>
      </w:r>
      <w:r>
        <w:t xml:space="preserve">messages, they will have</w:t>
      </w:r>
      <w:r>
        <w:t xml:space="preserve"> </w:t>
      </w:r>
      <w:r>
        <w:rPr>
          <w:i/>
        </w:rPr>
        <w:t xml:space="preserve">different</w:t>
      </w:r>
      <w:r>
        <w:t xml:space="preserve"> </w:t>
      </w:r>
      <w:r>
        <w:t xml:space="preserve">identifiers. However, the each of these messages refers to the same data object, which is uniquely identified in the notification message using the</w:t>
      </w:r>
      <w:r>
        <w:t xml:space="preserve"> </w:t>
      </w:r>
      <w:r>
        <w:rPr>
          <w:rStyle w:val="VerbatimChar"/>
        </w:rPr>
        <w:t xml:space="preserve">data_id</w:t>
      </w:r>
      <w:r>
        <w:t xml:space="preserve"> </w:t>
      </w:r>
      <w:r>
        <w:t xml:space="preserve">property. Notification messages from different sources can easily be compared to determine if they refer to the same data. By subscribing to the</w:t>
      </w:r>
      <w:r>
        <w:t xml:space="preserve"> </w:t>
      </w:r>
      <w:r>
        <w:rPr>
          <w:rStyle w:val="VerbatimChar"/>
        </w:rPr>
        <w:t xml:space="preserve">cache</w:t>
      </w:r>
      <w:r>
        <w:t xml:space="preserve"> </w:t>
      </w:r>
      <w:r>
        <w:t xml:space="preserve">root topic, Data Consumers will only receive notifications about data available from the Global Caches. The</w:t>
      </w:r>
      <w:r>
        <w:t xml:space="preserve"> </w:t>
      </w:r>
      <w:r>
        <w:rPr>
          <w:rStyle w:val="VerbatimChar"/>
        </w:rPr>
        <w:t xml:space="preserve">origin</w:t>
      </w:r>
      <w:r>
        <w:t xml:space="preserve"> </w:t>
      </w:r>
      <w:r>
        <w:t xml:space="preserve">root topic should be used when subscribing to notifications about Recommended data. Data Consumers should not subscribe to the</w:t>
      </w:r>
      <w:r>
        <w:t xml:space="preserve"> </w:t>
      </w:r>
      <w:r>
        <w:rPr>
          <w:rStyle w:val="VerbatimChar"/>
        </w:rPr>
        <w:t xml:space="preserve">origin</w:t>
      </w:r>
      <w:r>
        <w:t xml:space="preserve"> </w:t>
      </w:r>
      <w:r>
        <w:t xml:space="preserve">root topic for notifications about Core data because notification messages provided on these topics will refer to data published on directly on the WIS2 Nodes (i.e.,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from the Global Cache instance that the message refers to (i.e.,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Location, time, etc. Data Consumers can use this metadata to decide if the data object referenced in the message should be downloaded. This is known as</w:t>
      </w:r>
      <w:r>
        <w:t xml:space="preserve"> </w:t>
      </w:r>
      <w:r>
        <w:rPr>
          <w:i/>
        </w:rPr>
        <w:t xml:space="preserve">client-side filtering</w:t>
      </w:r>
      <w:r>
        <w:t xml:space="preserve">.</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2" w:name="X495ea6ae192f774a020b79fc072e970bf919ae2"/>
      <w:r>
        <w:t xml:space="preserve">How to download data</w:t>
      </w:r>
      <w:bookmarkEnd w:id="42"/>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links. The preferred link will be identified as "canonical" (link relation:</w:t>
      </w:r>
      <w:r>
        <w:t xml:space="preserve"> </w:t>
      </w:r>
      <w:r>
        <w:rPr>
          <w:rStyle w:val="VerbatimChar"/>
        </w:rPr>
        <w:t xml:space="preserve">"rel": "canonical"</w:t>
      </w:r>
      <w:r>
        <w:rPr>
          <w:rStyle w:val="FootnoteReference"/>
        </w:rPr>
        <w:footnoteReference w:id="43"/>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(i.e., where the Data Consumer needs to take some additional action(s) to download the data object), the download link will contain a security object that provides the pertinent information (e.g., the access control mechanism used, and where/how a Data Consumer would need to register to request access).</w:t>
      </w:r>
    </w:p>
    <w:p>
      <w:pPr>
        <w:pStyle w:val="Heading3"/>
      </w:pPr>
      <w:bookmarkStart w:id="45" w:name="X9fd58ee7f9ab1d79a413d5aafbf85877822b869"/>
      <w:r>
        <w:t xml:space="preserve">How to use data</w:t>
      </w:r>
      <w:bookmarkEnd w:id="45"/>
    </w:p>
    <w:p>
      <w:pPr>
        <w:pStyle w:val="FirstParagraph"/>
      </w:pPr>
      <w:r>
        <w:t xml:space="preserve">Data is shared on WIS2 in accordance with the WMO Unified Data Policy (Resolution 1 (Cg-Ext 2021)). This data policy describes two categories of data:</w:t>
      </w:r>
      <w:r>
        <w:t xml:space="preserve"> </w:t>
      </w:r>
      <w:r>
        <w:rPr>
          <w:b/>
        </w:rPr>
        <w:t xml:space="preserve">Core</w:t>
      </w:r>
      <w:r>
        <w:t xml:space="preserve"> </w:t>
      </w:r>
      <w:r>
        <w:t xml:space="preserve">and</w:t>
      </w:r>
      <w:r>
        <w:t xml:space="preserve"> </w:t>
      </w:r>
      <w:r>
        <w:rPr>
          <w:b/>
        </w:rPr>
        <w:t xml:space="preserve">Recommended</w:t>
      </w:r>
      <w:r>
        <w:t xml:space="preserve">:</w:t>
      </w:r>
    </w:p>
    <w:p>
      <w:pPr>
        <w:numPr>
          <w:ilvl w:val="0"/>
          <w:numId w:val="1007"/>
        </w:numPr>
      </w:pPr>
      <w:r>
        <w:t xml:space="preserve">Core data is considered essential for provision of services for the protection of life and</w:t>
      </w:r>
      <w:r>
        <w:t xml:space="preserve"> </w:t>
      </w:r>
      <w:r>
        <w:t xml:space="preserve">property and for the well-being of all nations. Core data is provided on a free and unrestricted basis, without charge and with no conditions on use.</w:t>
      </w:r>
    </w:p>
    <w:p>
      <w:pPr>
        <w:numPr>
          <w:ilvl w:val="0"/>
          <w:numId w:val="1007"/>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by provided with conditions on use and/or subject to a license.</w:t>
      </w:r>
    </w:p>
    <w:p>
      <w:pPr>
        <w:pStyle w:val="FirstParagraph"/>
      </w:pPr>
      <w:r>
        <w:t xml:space="preserve">Furthermore, the WMO Unified Data Policy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and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w:t>
      </w:r>
      <w:r>
        <w:t xml:space="preserve">(WMO-No. 1060), Volume II, Appendix F: WMO Core Metadata Profile 2, section 7.1.17.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p>
      <w:pPr>
        <w:pStyle w:val="Heading3"/>
      </w:pPr>
      <w:bookmarkStart w:id="46" w:name="X924432c79be1e639f1f2c4a8c47f89286aa2ce4"/>
      <w:r>
        <w:t xml:space="preserve">Further reading for data consumers</w:t>
      </w:r>
      <w:bookmarkEnd w:id="46"/>
    </w:p>
    <w:p>
      <w:pPr>
        <w:pStyle w:val="FirstParagraph"/>
      </w:pPr>
      <w:r>
        <w:t xml:space="preserve">As a Data Publisher planning to operate a WIS2 Node, as a minimum you should read the following sections:</w:t>
      </w:r>
    </w:p>
    <w:p>
      <w:pPr>
        <w:numPr>
          <w:ilvl w:val="0"/>
          <w:numId w:val="1009"/>
        </w:numPr>
      </w:pPr>
      <w:hyperlink w:anchor="X852f54d185094e52cec04272711b3ea995c484a">
        <w:r>
          <w:rPr>
            <w:rStyle w:val="Hyperlink"/>
          </w:rPr>
          <w:t xml:space="preserve">Introduction to WIS2</w:t>
        </w:r>
      </w:hyperlink>
    </w:p>
    <w:p>
      <w:pPr>
        <w:numPr>
          <w:ilvl w:val="0"/>
          <w:numId w:val="1009"/>
        </w:numPr>
      </w:pPr>
      <w:hyperlink w:anchor="Xee31e45694d178744a29089d70d1cd98c260b58">
        <w:r>
          <w:rPr>
            <w:rStyle w:val="Hyperlink"/>
          </w:rPr>
          <w:t xml:space="preserve">WIS2 Architecture</w:t>
        </w:r>
      </w:hyperlink>
    </w:p>
    <w:p>
      <w:pPr>
        <w:numPr>
          <w:ilvl w:val="0"/>
          <w:numId w:val="1009"/>
        </w:numPr>
      </w:pPr>
      <w:hyperlink w:anchor="Xf3fcf64578ae63c909403c87ace898a0d40b853">
        <w:r>
          <w:rPr>
            <w:rStyle w:val="Hyperlink"/>
          </w:rPr>
          <w:t xml:space="preserve">Roles in WIS2</w:t>
        </w:r>
      </w:hyperlink>
    </w:p>
    <w:p>
      <w:pPr>
        <w:numPr>
          <w:ilvl w:val="0"/>
          <w:numId w:val="1009"/>
        </w:numPr>
      </w:pPr>
      <w:hyperlink w:anchor="X77c8859ec5b5e85b166da5d11960b4ec9fd10d4">
        <w:r>
          <w:rPr>
            <w:rStyle w:val="Hyperlink"/>
          </w:rPr>
          <w:t xml:space="preserve">Components of WIS2</w:t>
        </w:r>
      </w:hyperlink>
    </w:p>
    <w:p>
      <w:pPr>
        <w:pStyle w:val="FirstParagraph"/>
      </w:pPr>
      <w:r>
        <w:t xml:space="preserve">The following specifications in the</w:t>
      </w:r>
      <w:r>
        <w:t xml:space="preserve"> </w:t>
      </w:r>
      <w:r>
        <w:rPr>
          <w:i/>
        </w:rPr>
        <w:t xml:space="preserve">Manual on WIS</w:t>
      </w:r>
      <w:r>
        <w:t xml:space="preserve"> </w:t>
      </w:r>
      <w:r>
        <w:t xml:space="preserve">(WMO-No. 1060), Volume II are useful for further reading:</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2</w:t>
      </w:r>
    </w:p>
    <w:p>
      <w:pPr>
        <w:pStyle w:val="Heading2"/>
      </w:pPr>
      <w:bookmarkStart w:id="47" w:name="X6cb1def057f1992ce4f8f7eebf9044ec834d943"/>
      <w:r>
        <w:t xml:space="preserve">Data publisher</w:t>
      </w:r>
      <w:bookmarkEnd w:id="47"/>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48" w:name="Xb38a9c58e093ef1a0571fa3b455563c0520b159"/>
      <w:r>
        <w:t xml:space="preserve">How to get started</w:t>
      </w:r>
      <w:bookmarkEnd w:id="48"/>
    </w:p>
    <w:p>
      <w:pPr>
        <w:pStyle w:val="FirstParagraph"/>
      </w:pPr>
      <w:r>
        <w:t xml:space="preserve">The first thing you need to do is consider your data, how it can be conceptually grouped into one or more datasets (see</w:t>
      </w:r>
      <w:r>
        <w:t xml:space="preserve"> </w:t>
      </w:r>
      <w:hyperlink w:anchor="X3fe916d773bd43c6cbbcb42c5fb8ec3bca6e925">
        <w:r>
          <w:rPr>
            <w:rStyle w:val="Hyperlink"/>
          </w:rPr>
          <w:t xml:space="preserve">???</w:t>
        </w:r>
      </w:hyperlink>
      <w:r>
        <w:t xml:space="preserve">), and whether it is</w:t>
      </w:r>
      <w:r>
        <w:t xml:space="preserve"> </w:t>
      </w:r>
      <w:r>
        <w:rPr>
          <w:b/>
        </w:rPr>
        <w:t xml:space="preserve">Core</w:t>
      </w:r>
      <w:r>
        <w:t xml:space="preserve"> </w:t>
      </w:r>
      <w:r>
        <w:t xml:space="preserve">or</w:t>
      </w:r>
      <w:r>
        <w:t xml:space="preserve"> </w:t>
      </w:r>
      <w:r>
        <w:rPr>
          <w:b/>
        </w:rPr>
        <w:t xml:space="preserve">Recommended</w:t>
      </w:r>
      <w:r>
        <w:t xml:space="preserve"> </w:t>
      </w:r>
      <w:r>
        <w:t xml:space="preserve">data, as per the WMO Unified Data Policy (Resolution 1 (Cg-Ext 2021)).</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w:t>
      </w:r>
      <w:r>
        <w:t xml:space="preserve">(WMO-No. 1060),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 you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operation of a WIS2 Node (see</w:t>
      </w:r>
      <w:r>
        <w:t xml:space="preserve"> </w:t>
      </w:r>
      <w:hyperlink w:anchor="X9809bf7de22c5a6f5ac4993d8ceb0a366b28036">
        <w:r>
          <w:rPr>
            <w:rStyle w:val="Hyperlink"/>
          </w:rPr>
          <w:t xml:space="preserve">WIS2 Node</w:t>
        </w:r>
      </w:hyperlink>
      <w:r>
        <w:t xml:space="preserve">). The procedure for registering a new WIS2 Node is provided in</w:t>
      </w:r>
      <w:r>
        <w:t xml:space="preserve"> </w:t>
      </w:r>
      <w:hyperlink w:anchor="X8e028573dd812516e98f10b49ed38e5e61384e5">
        <w:r>
          <w:rPr>
            <w:rStyle w:val="Hyperlink"/>
          </w:rPr>
          <w:t xml:space="preserve">Registration and decommissioning of a WIS2 Node</w:t>
        </w:r>
      </w:hyperlink>
      <w:r>
        <w:t xml:space="preserve">.</w:t>
      </w:r>
    </w:p>
    <w:p>
      <w:pPr>
        <w:pStyle w:val="BodyText"/>
      </w:pPr>
      <w:r>
        <w:t xml:space="preserve">Once you have determined the scope of your datasets, the data policy which applies, and have a WIS2 Node ready for data publication, you are ready to progress to the next step: providing discovery metadata.</w:t>
      </w:r>
    </w:p>
    <w:p>
      <w:pPr>
        <w:pStyle w:val="Heading3"/>
      </w:pPr>
      <w:bookmarkStart w:id="49" w:name="X5a8c56bdb90b874d4815ac6596e3356b5d6efcc"/>
      <w:r>
        <w:t xml:space="preserve">How to provide discovery metadata to WIS2</w:t>
      </w:r>
      <w:bookmarkEnd w:id="49"/>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50"/>
      </w:r>
      <w:r>
        <w:t xml:space="preserve">) must conform to the specification given in the</w:t>
      </w:r>
      <w:r>
        <w:t xml:space="preserve"> </w:t>
      </w:r>
      <w:r>
        <w:rPr>
          <w:i/>
        </w:rPr>
        <w:t xml:space="preserve">Manual on WIS</w:t>
      </w:r>
      <w:r>
        <w:t xml:space="preserve"> </w:t>
      </w:r>
      <w:r>
        <w:t xml:space="preserve">(WMO-No. 1060), Volume II, Appendix F: WMO Core Metadata Profile 2.</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2"/>
      </w:r>
      <w:r>
        <w:t xml:space="preserve"> </w:t>
      </w:r>
      <w:r>
        <w:t xml:space="preserve">using one of two ways: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you may operate a local metadata catalogue through which discovery metadata records can be shared using an API (e.g., OGC API - Records</w:t>
      </w:r>
      <w:r>
        <w:rPr>
          <w:rStyle w:val="FootnoteReference"/>
        </w:rPr>
        <w:footnoteReference w:id="53"/>
      </w:r>
      <w:r>
        <w:t xml:space="preserve">). Each discovery metadata record can be accessed with a unique URL via the API (e.g., as an item which is part of the discovery metadata catalogue).</w:t>
      </w:r>
    </w:p>
    <w:p>
      <w:pPr>
        <w:pStyle w:val="FirstParagraph"/>
      </w:pPr>
      <w:r>
        <w:t xml:space="preserve">In both cases, a notification message needs to be published on a message broker that tells WIS2 there is new discovery metadata to upload and that it is accessed at the specified URL</w:t>
      </w:r>
      <w:r>
        <w:rPr>
          <w:rStyle w:val="FootnoteReference"/>
        </w:rPr>
        <w:footnoteReference w:id="55"/>
      </w:r>
      <w:r>
        <w:t xml:space="preserve">. The notification messages shall conform to the specification given in the</w:t>
      </w:r>
      <w:r>
        <w:t xml:space="preserve"> </w:t>
      </w:r>
      <w:r>
        <w:rPr>
          <w:i/>
        </w:rPr>
        <w:t xml:space="preserve">Manual on WIS</w:t>
      </w:r>
      <w:r>
        <w:t xml:space="preserve"> </w:t>
      </w:r>
      <w:r>
        <w:t xml:space="preserve">(WMO-No. 1060), Volume II, Appendix E: WIS2 Notification Message. Furthermore, the notification message must be published on topic that conforms to the specification given in</w:t>
      </w:r>
      <w:r>
        <w:t xml:space="preserve"> </w:t>
      </w:r>
      <w:r>
        <w:rPr>
          <w:i/>
        </w:rPr>
        <w:t xml:space="preserve">Manual on WIS</w:t>
      </w:r>
      <w:r>
        <w:t xml:space="preserve"> </w:t>
      </w:r>
      <w:r>
        <w:t xml:space="preserve">(WMO-No. 1060), Volume II, Appendix D: WIS2 Topic Hierarchy. For example, metadata published by Deutscher Wetterdienst would use the following topic:</w:t>
      </w:r>
      <w:r>
        <w:t xml:space="preserve"> </w:t>
      </w:r>
      <w:r>
        <w:rPr>
          <w:rStyle w:val="VerbatimChar"/>
        </w:rPr>
        <w:t xml:space="preserve">origin/a/wis2/de-dwd/metadata/core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7afed62fce9c77dc9763966ede44c55358b9618">
        <w:r>
          <w:rPr>
            <w:rStyle w:val="Hyperlink"/>
          </w:rPr>
          <w:t xml:space="preserve">Global Discovery Catalogue</w:t>
        </w:r>
      </w:hyperlink>
      <w:r>
        <w:t xml:space="preserve">) will validate, assess, ingest, and publish the record. Validation ensures that your discovery metadata record complies with the specification.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6" w:name="Xbcd0ad231af43760e89b10173d3a0f64ce1daee"/>
      <w:r>
        <w:t xml:space="preserve">How to provide data to WIS2</w:t>
      </w:r>
      <w:bookmarkEnd w:id="56"/>
    </w:p>
    <w:p>
      <w:pPr>
        <w:pStyle w:val="FirstParagraph"/>
      </w:pPr>
      <w:r>
        <w:t xml:space="preserve">WIS2 is based on the Web architecture</w:t>
      </w:r>
      <w:r>
        <w:rPr>
          <w:rStyle w:val="FootnoteReference"/>
        </w:rPr>
        <w:footnoteReference w:id="57"/>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(e.g., a URI</w:t>
      </w:r>
      <w:r>
        <w:rPr>
          <w:rStyle w:val="FootnoteReference"/>
        </w:rPr>
        <w:footnoteReference w:id="59"/>
      </w:r>
      <w:r>
        <w:t xml:space="preserve">), and the unique identifier can be used to resolve the resource identified and interact with it (e.g.,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61"/>
      </w:r>
      <w:r>
        <w:t xml:space="preserve">, and making it available via a data server - most typically a Web server using the HTTP protocol</w:t>
      </w:r>
      <w:r>
        <w:rPr>
          <w:rStyle w:val="FootnoteReference"/>
        </w:rPr>
        <w:footnoteReference w:id="62"/>
      </w:r>
      <w:r>
        <w:t xml:space="preserve">. It’s up to the data server to decide what to provide when resolving the identifier: the URL of a data granule may resolve as a representation encoded in a given data format, whereas the URL of a dataset may resolve as a description of the dataset (i.e., metadata) that includes links to access the data from which the set is comprised - either individual files (i.e.,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3" w:name="X977aeff84469f7f317af595774c67f79c8e92ec"/>
      <w:r>
        <w:t xml:space="preserve">Data formats and encodings</w:t>
      </w:r>
      <w:bookmarkEnd w:id="63"/>
    </w:p>
    <w:p>
      <w:pPr>
        <w:pStyle w:val="FirstParagraph"/>
      </w:pPr>
      <w:r>
        <w:t xml:space="preserve">Whether providing data as files or through interactive APIs you need to decide which encodings (aka.</w:t>
      </w:r>
      <w:r>
        <w:t xml:space="preserve"> </w:t>
      </w:r>
      <w:r>
        <w:rPr>
          <w:i/>
        </w:rPr>
        <w:t xml:space="preserve">data formats</w:t>
      </w:r>
      <w:r>
        <w:t xml:space="preserve">) to use. WMO Technical Regulations may require that data is encoded in particular formats. For example, synoptic observations must be encoded in BUFR. The</w:t>
      </w:r>
      <w:r>
        <w:t xml:space="preserve"> </w:t>
      </w:r>
      <w:r>
        <w:rPr>
          <w:i/>
        </w:rPr>
        <w:t xml:space="preserve">Manual on Codes</w:t>
      </w:r>
      <w:r>
        <w:t xml:space="preserve"> </w:t>
      </w:r>
      <w:r>
        <w:t xml:space="preserve">(WMO-No. 306) provides details of data formats formally approved for use in WMO. However, Technical Regulations don’t cover all data sharing requirements. In such cases, you should select data formats that are open, non-proprietary, and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4" w:name="Xf06a8613489485c8f94034e44c1d964b0646367"/>
      <w:r>
        <w:t xml:space="preserve">Providing data as files</w:t>
      </w:r>
      <w:bookmarkEnd w:id="64"/>
    </w:p>
    <w:p>
      <w:pPr>
        <w:pStyle w:val="FirstParagraph"/>
      </w:pPr>
      <w:r>
        <w:t xml:space="preserve">The simplest way to publish data through WIS2 is to persist your data as files and publish those files on a Web sserver. All these files need to be organised somehow – perhaps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Assuming that your users understand your naming convention will be a barrier to widespread re-use; many users will simply treat the filename as an opaque string. Where communities commonly use file-naming conventions (e.g.,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(i.e., directories or folders in which files are grouped) with information that describes their content. Then users,both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formated "README" file describing the folder contents.</w:t>
      </w:r>
    </w:p>
    <w:p>
      <w:pPr>
        <w:numPr>
          <w:ilvl w:val="0"/>
          <w:numId w:val="1012"/>
        </w:numPr>
      </w:pPr>
      <w:r>
        <w:t xml:space="preserve">SpatioTemporal Asset Catalog (STAC)</w:t>
      </w:r>
      <w:r>
        <w:rPr>
          <w:rStyle w:val="FootnoteReference"/>
        </w:rPr>
        <w:footnoteReference w:id="65"/>
      </w:r>
      <w:r>
        <w:t xml:space="preserve">: a community standard based on GeoJSON to describe geospatial data files which can be easily indexed, browsed, and accessed. Free and open source tools tools present STAC records (one for each data object file) through a Web-based, browse-able user interface.</w:t>
      </w:r>
    </w:p>
    <w:p>
      <w:pPr>
        <w:pStyle w:val="FirstParagraph"/>
      </w:pPr>
      <w:r>
        <w:t xml:space="preserve">When publishing collections of data it is tempting to package content into zip or SIP</w:t>
      </w:r>
      <w:r>
        <w:rPr>
          <w:rStyle w:val="FootnoteReference"/>
        </w:rPr>
        <w:footnoteReference w:id="67"/>
      </w:r>
      <w:r>
        <w:t xml:space="preserve"> </w:t>
      </w:r>
      <w:r>
        <w:t xml:space="preserve">resources - perhaps even packaging the entire collection, complete with folders, into a single resource. Similarly, WMO formats such as GRIB and BUFR allow multiple data objects (e.g.,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i.e., only zip, SIP, or pack if your users expect it.</w:t>
      </w:r>
    </w:p>
    <w:p>
      <w:pPr>
        <w:pStyle w:val="Heading4"/>
      </w:pPr>
      <w:bookmarkStart w:id="70" w:name="X7b7a0fd622b21e67b01ff07778217f80a4d47a3"/>
      <w:r>
        <w:t xml:space="preserve">Providing interactive access to data with APIs</w:t>
      </w:r>
      <w:bookmarkEnd w:id="70"/>
    </w:p>
    <w:p>
      <w:pPr>
        <w:pStyle w:val="FirstParagraph"/>
      </w:pPr>
      <w:r>
        <w:t xml:space="preserve">Interactive data access aims to support efficient data workflows by enabling client applications to request only the data that they need. The advantage with interactive data access is that it provides more flexibility. Data publishers can offer an API structured around how users want to work with the data rather than force them to work with the structure that is convenient for you as a data publisher.</w:t>
      </w:r>
    </w:p>
    <w:p>
      <w:pPr>
        <w:pStyle w:val="BodyText"/>
      </w:pPr>
      <w:r>
        <w:t xml:space="preserve">But it is more complex to implement. You need a server running software that can:</w:t>
      </w:r>
    </w:p>
    <w:p>
      <w:pPr>
        <w:numPr>
          <w:ilvl w:val="0"/>
          <w:numId w:val="1013"/>
        </w:numPr>
      </w:pPr>
      <w:r>
        <w:t xml:space="preserve">Interpret a user’s request;</w:t>
      </w:r>
    </w:p>
    <w:p>
      <w:pPr>
        <w:numPr>
          <w:ilvl w:val="0"/>
          <w:numId w:val="1013"/>
        </w:numPr>
      </w:pPr>
      <w:r>
        <w:t xml:space="preserve">Extract the data from wherever it is stored;</w:t>
      </w:r>
    </w:p>
    <w:p>
      <w:pPr>
        <w:numPr>
          <w:ilvl w:val="0"/>
          <w:numId w:val="1013"/>
        </w:numPr>
      </w:pPr>
      <w:r>
        <w:t xml:space="preserve">Package that data up and send it back to the user.</w:t>
      </w:r>
    </w:p>
    <w:p>
      <w:pPr>
        <w:pStyle w:val="FirstParagraph"/>
      </w:pPr>
      <w:r>
        <w:t xml:space="preserve">Importantly, when considering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4"/>
        </w:numPr>
      </w:pPr>
      <w:r>
        <w:t xml:space="preserve">First, interactive APIs should be self-describing. A Data Consumer should not need to know, apriori, how to make requests from a API. They should be able to discover this information from the API endpoint itself – even if this is just a link to a documentation page they need to read.</w:t>
      </w:r>
    </w:p>
    <w:p>
      <w:pPr>
        <w:numPr>
          <w:ilvl w:val="0"/>
          <w:numId w:val="1014"/>
        </w:numPr>
      </w:pPr>
      <w:r>
        <w:t xml:space="preserve">Second, APIs should comply with OpenAPI</w:t>
      </w:r>
      <w:r>
        <w:rPr>
          <w:rStyle w:val="FootnoteReference"/>
        </w:rPr>
        <w:footnoteReference w:id="71"/>
      </w:r>
      <w:r>
        <w:t xml:space="preserve"> </w:t>
      </w:r>
      <w:r>
        <w:t xml:space="preserve">version 3 or later. OpenAPI provides a standardised mechanism to describe the API. Tooling (free and, commercial, etc.) is widely available that can read this metadata and automatically generate client applications to query the API.</w:t>
      </w:r>
    </w:p>
    <w:p>
      <w:pPr>
        <w:numPr>
          <w:ilvl w:val="0"/>
          <w:numId w:val="1014"/>
        </w:numPr>
      </w:pPr>
      <w:r>
        <w:t xml:space="preserve">Third, the Open Geospatial Consortium (OGC) have developed a suite of APIs</w:t>
      </w:r>
      <w:r>
        <w:rPr>
          <w:rStyle w:val="FootnoteReference"/>
        </w:rPr>
        <w:footnoteReference w:id="73"/>
      </w:r>
      <w:r>
        <w:t xml:space="preserve"> </w:t>
      </w:r>
      <w:r>
        <w:t xml:space="preserve">(called "OGC APIs") that are designed specifically to provide APIs for geospatial data workflows (discovery, vizualisation, access, processing/exploitation) – all of which build on OpenAPI. Among these, OGC API – Environmental Data Retrieval (EDR)</w:t>
      </w:r>
      <w:r>
        <w:rPr>
          <w:rStyle w:val="FootnoteReference"/>
        </w:rPr>
        <w:footnoteReference w:id="75"/>
      </w:r>
      <w:r>
        <w:t xml:space="preserve">, OGC API – Features</w:t>
      </w:r>
      <w:r>
        <w:rPr>
          <w:rStyle w:val="FootnoteReference"/>
        </w:rPr>
        <w:footnoteReference w:id="77"/>
      </w:r>
      <w:r>
        <w:t xml:space="preserve">, and OGC API - Coverages</w:t>
      </w:r>
      <w:r>
        <w:rPr>
          <w:rStyle w:val="FootnoteReference"/>
        </w:rPr>
        <w:footnoteReference w:id="79"/>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FirstParagraph"/>
      </w:pPr>
      <w:r>
        <w:t xml:space="preserve">Finally, you should consider versioning your API to avoid breaking changes when adding new features. A common approach is add a</w:t>
      </w:r>
      <w:r>
        <w:t xml:space="preserve"> </w:t>
      </w:r>
      <w:r>
        <w:rPr>
          <w:i/>
        </w:rPr>
        <w:t xml:space="preserve">version number</w:t>
      </w:r>
      <w:r>
        <w:t xml:space="preserve"> </w:t>
      </w:r>
      <w:r>
        <w:t xml:space="preserve">prefix into the API path; e.g.,</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use of interactive APIs in WIS2 is anticipated in future versions of this Guide.</w:t>
      </w:r>
    </w:p>
    <w:p>
      <w:pPr>
        <w:pStyle w:val="Heading4"/>
      </w:pPr>
      <w:bookmarkStart w:id="81" w:name="Xb132b820f5a9176a28c7400eac7c436297058ae"/>
      <w:r>
        <w:t xml:space="preserve">Providing data in (near) real-time</w:t>
      </w:r>
      <w:bookmarkEnd w:id="81"/>
    </w:p>
    <w:p>
      <w:pPr>
        <w:pStyle w:val="FirstParagraph"/>
      </w:pPr>
      <w:r>
        <w:t xml:space="preserve">WIS2 is designed to support the data sharing needs of all WMO programmes. Among these, the World Weather Watch</w:t>
      </w:r>
      <w:r>
        <w:t xml:space="preserve"> </w:t>
      </w:r>
      <w:r>
        <w:rPr>
          <w:rStyle w:val="FootnoteReference"/>
        </w:rPr>
        <w:footnoteReference w:id="82"/>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4"/>
      </w:r>
      <w:r>
        <w:t xml:space="preserve">, WIS2 uses notification messages to advertise the availability of a new resource - data or discovery metadata - and how to access that resource. Notification messages are published to a queue on a message broker in your WIS2 Node</w:t>
      </w:r>
      <w:r>
        <w:rPr>
          <w:rStyle w:val="FootnoteReference"/>
        </w:rPr>
        <w:footnoteReference w:id="85"/>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dataset.</w:t>
      </w:r>
    </w:p>
    <w:p>
      <w:pPr>
        <w:pStyle w:val="BodyText"/>
      </w:pPr>
      <w:r>
        <w:t xml:space="preserve">For example, when a new temperature profile from a radio sonde deployment is added to a dataset of upper-air data measurements, a notification message would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w:t>
      </w:r>
      <w:r>
        <w:t xml:space="preserve">(WMO-No. 1060), Volume II, Appendix E: WIS2 Notification Message.</w:t>
      </w:r>
    </w:p>
    <w:p>
      <w:pPr>
        <w:pStyle w:val="BodyText"/>
      </w:pPr>
      <w:r>
        <w:t xml:space="preserve">The URL used in the notification message should refer only to the newly added data object rather (e.g., the new temperature profile)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6"/>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(e.g., the use of an API key), you should include a security object in the download link that provides the pertinent information (e.g., the access control mechanism used, and where/how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w:t>
      </w:r>
      <w:r>
        <w:t xml:space="preserve">(WMO-No. 1060), Volume II, Appendix D: WIS2 Topic Hierarchy.</w:t>
      </w:r>
    </w:p>
    <w:p>
      <w:pPr>
        <w:pStyle w:val="BodyText"/>
      </w:pPr>
      <w:r>
        <w:t xml:space="preserve">If your data seems to relate to more than one topic, select the most appropriate one. The topic-hierarchy is not a knowledge organisation system - it is only used to ensure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your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87"/>
      </w:r>
      <w:r>
        <w:t xml:space="preserve">. Experimental topics are provided for each Earth-system discipline at level 8 in the topic hierarchy (e.g.,</w:t>
      </w:r>
      <w:r>
        <w:t xml:space="preserve"> </w:t>
      </w:r>
      <w:r>
        <w:rPr>
          <w:rStyle w:val="VerbatimChar"/>
        </w:rPr>
        <w:t xml:space="preserve">origin/a/wis2/{centre-id}/data/{earth-system-discipline}/experimental/</w:t>
      </w:r>
      <w:r>
        <w:t xml:space="preserve">). Data publishers can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w:t>
      </w:r>
      <w:r>
        <w:t xml:space="preserve">(WMO-No. 1060), Volume II, Appendix D: WIS2 Topic Hierarchy, section 7.1.2 Publishing guidelines.</w:t>
      </w:r>
    </w:p>
    <w:p>
      <w:pPr>
        <w:pStyle w:val="BodyText"/>
      </w:pPr>
      <w:r>
        <w:t xml:space="preserve">Whatever topic you choose, the discovery metadata you provided to the Global Discovery Catalogue must include subscription links using that topic</w:t>
      </w:r>
      <w:r>
        <w:rPr>
          <w:rStyle w:val="FootnoteReference"/>
        </w:rPr>
        <w:footnoteReference w:id="88"/>
      </w:r>
      <w:r>
        <w:t xml:space="preserve">. The Global Broker will only republish notification messages on topics specified in your discovery metadata records.</w:t>
      </w:r>
    </w:p>
    <w:p>
      <w:pPr>
        <w:pStyle w:val="Heading4"/>
      </w:pPr>
      <w:bookmarkStart w:id="89" w:name="Xc870f25786e5740db4e2f991f5983704ebfcba0"/>
      <w:r>
        <w:t xml:space="preserve">Considerations when providing Core data in WIS2</w:t>
      </w:r>
      <w:bookmarkEnd w:id="89"/>
    </w:p>
    <w:p>
      <w:pPr>
        <w:pStyle w:val="FirstParagraph"/>
      </w:pPr>
      <w:r>
        <w:t xml:space="preserve">Core data, as specified in the WMO Unified Data Policy (Resolution 1 (Cg-Ext 2021)) is considered essential for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3757fd838d3368c80e2243a833cf028c5b7f1b3">
        <w:r>
          <w:rPr>
            <w:rStyle w:val="Hyperlink"/>
          </w:rPr>
          <w:t xml:space="preserve">Global Cache</w:t>
        </w:r>
      </w:hyperlink>
      <w:r>
        <w:t xml:space="preserve">). Global Caches subscribe to notification messages about the availability of new Core data published at WIS2 Nodes, download a copy of that data and re-publish it on a high-performance data server, discarding it after the retention period expires - normally 24-hours</w:t>
      </w:r>
      <w:r>
        <w:rPr>
          <w:rStyle w:val="FootnoteReference"/>
        </w:rPr>
        <w:footnoteReference w:id="90"/>
      </w:r>
      <w:r>
        <w:t xml:space="preserve">. Global Caches do not provide any sophisticated APIs - they publish notification messages advertising the availability of data on their cache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i.e., the data object can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and cover the costs of delivering data to a global community.</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expected to cache about 100GB of data each day.</w:t>
      </w:r>
    </w:p>
    <w:p>
      <w:pPr>
        <w:pStyle w:val="BodyText"/>
      </w:pPr>
      <w:r>
        <w:t xml:space="preserve">If frequent updates to your dataset are very large (e.g.,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91"/>
      </w:r>
      <w:r>
        <w:t xml:space="preserve">.</w:t>
      </w:r>
    </w:p>
    <w:p>
      <w:pPr>
        <w:pStyle w:val="BodyText"/>
      </w:pPr>
      <w:r>
        <w:t xml:space="preserve">You must ensure that Core data that is not cached is publicly accessible from your WIS2 Node; i.e., with no access control mechanisms in place.</w:t>
      </w:r>
    </w:p>
    <w:p>
      <w:pPr>
        <w:pStyle w:val="BodyText"/>
      </w:pPr>
      <w:r>
        <w:t xml:space="preserve">A Global Cache operator may choose to disregard your cache preference - for example, if they feel that the content you are providing is large enough to impede provision of caching services for other Members</w:t>
      </w:r>
      <w:r>
        <w:rPr>
          <w:rStyle w:val="FootnoteReference"/>
        </w:rPr>
        <w:footnoteReference w:id="92"/>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3" w:name="Xa684fcc376d271e1cc17fe50bbb15b721d51b92"/>
      <w:r>
        <w:t xml:space="preserve">Implementing access control</w:t>
      </w:r>
      <w:bookmarkEnd w:id="93"/>
    </w:p>
    <w:p>
      <w:pPr>
        <w:pStyle w:val="FirstParagraph"/>
      </w:pPr>
      <w:r>
        <w:t xml:space="preserve">Recommended data, as defined in the WMO Unified Data Policy (Resolution 1 (Cg-Ext 2021)), is exchanged on WIS2 in support of Earth system monitoring and prediction efforts and</w:t>
      </w:r>
      <w:r>
        <w:t xml:space="preserve"> </w:t>
      </w:r>
      <w:r>
        <w:rPr>
          <w:i/>
        </w:rPr>
        <w:t xml:space="preserve">may</w:t>
      </w:r>
      <w:r>
        <w:t xml:space="preserve"> </w:t>
      </w:r>
      <w:r>
        <w:t xml:space="preserve">by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4"/>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notification messages should include a valid API key.</w:t>
      </w:r>
      <w:r>
        <w:rPr>
          <w:rStyle w:val="FootnoteReference"/>
        </w:rPr>
        <w:footnoteReference w:id="96"/>
      </w:r>
      <w:r>
        <w:rPr>
          <w:rStyle w:val="FootnoteReference"/>
        </w:rPr>
        <w:footnoteReference w:id="97"/>
      </w:r>
    </w:p>
    <w:p>
      <w:pPr>
        <w:pStyle w:val="BodyText"/>
      </w:pPr>
      <w:r>
        <w:t xml:space="preserve">Example 2: Pre-signed URLs. Your data server uses a cloud-based object store that requires credentials to be provided when downloading data. The URLs used in notification message should be</w:t>
      </w:r>
      <w:r>
        <w:t xml:space="preserve"> </w:t>
      </w:r>
      <w:r>
        <w:rPr>
          <w:i/>
        </w:rPr>
        <w:t xml:space="preserve">pre-signed</w:t>
      </w:r>
      <w:r>
        <w:t xml:space="preserve"> </w:t>
      </w:r>
      <w:r>
        <w:t xml:space="preserve">with the data publisher’s credentials and valid for the cache retention period (e.g., 24-hours).</w:t>
      </w:r>
      <w:r>
        <w:rPr>
          <w:rStyle w:val="FootnoteReference"/>
        </w:rPr>
        <w:footnoteReference w:id="98"/>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IP-filtering to allow access only from Global Services. For more details, see section 2.6 Implementation and operation of a WIS2 Node.</w:t>
      </w:r>
    </w:p>
    <w:p>
      <w:pPr>
        <w:pStyle w:val="Heading4"/>
      </w:pPr>
      <w:bookmarkStart w:id="100" w:name="X0b7a5ffb13d7a4fe82af2002d4d672f15b4ca83"/>
      <w:r>
        <w:t xml:space="preserve">Providing access to data archives</w:t>
      </w:r>
      <w:bookmarkEnd w:id="100"/>
    </w:p>
    <w:p>
      <w:pPr>
        <w:pStyle w:val="FirstParagraph"/>
      </w:pPr>
      <w:r>
        <w:t xml:space="preserve">There is no requirement for a WIS2 Node to publish notification messages about newly available data - the mechanism is available if needed (e.g., for real-time data exchange). Data archives published through WIS2 do not need to provide notification messages for data unless the user community have expressed a need to be rapidly notified about changes (e.g., the addition of new records into a climate observation archive).</w:t>
      </w:r>
    </w:p>
    <w:p>
      <w:pPr>
        <w:pStyle w:val="BodyText"/>
      </w:pPr>
      <w:r>
        <w:t xml:space="preserve">However, notification messages must still be used to share discovery metadata with WIS2. Given that provision of metadata and subsequent updates is likely to be infrequent, it may be sufficient to "hand-craft" a notification message and publish it locally on an MQTT broker</w:t>
      </w:r>
      <w:r>
        <w:rPr>
          <w:rStyle w:val="FootnoteReference"/>
        </w:rPr>
        <w:footnoteReference w:id="101"/>
      </w:r>
      <w:r>
        <w:t xml:space="preserve"> </w:t>
      </w:r>
      <w:r>
        <w:t xml:space="preserve">or with help from a GISC. See above for more details on publishing discovery metadata to WIS2.</w:t>
      </w:r>
    </w:p>
    <w:p>
      <w:pPr>
        <w:pStyle w:val="BodyText"/>
      </w:pPr>
      <w:r>
        <w:t xml:space="preserve">Note that some data archives are categorised as Core data; for example, Essential Climate Variables. Core data may be distributed via the Global Caches. However, given that these provide only short-term hosting of data (e.g., 24-hours), Global Caches are not an appropriate mechanism to provide access to archives of Core data. The archive must be accessed directly via the WIS2 Node.</w:t>
      </w:r>
    </w:p>
    <w:p>
      <w:pPr>
        <w:pStyle w:val="Heading3"/>
      </w:pPr>
      <w:bookmarkStart w:id="102" w:name="X3a4552e730719a1c498aa97fcf1d5ef177fb6ee"/>
      <w:r>
        <w:t xml:space="preserve">Further reading for data publishers</w:t>
      </w:r>
      <w:bookmarkEnd w:id="102"/>
    </w:p>
    <w:p>
      <w:pPr>
        <w:pStyle w:val="FirstParagraph"/>
      </w:pPr>
      <w:r>
        <w:t xml:space="preserve">As a Data Publisher planning to operate a WIS2 Node, as a minimum you should read the following sections:</w:t>
      </w:r>
    </w:p>
    <w:p>
      <w:pPr>
        <w:numPr>
          <w:ilvl w:val="0"/>
          <w:numId w:val="1016"/>
        </w:numPr>
      </w:pPr>
      <w:hyperlink w:anchor="X852f54d185094e52cec04272711b3ea995c484a">
        <w:r>
          <w:rPr>
            <w:rStyle w:val="Hyperlink"/>
          </w:rPr>
          <w:t xml:space="preserve">Introduction to WIS2</w:t>
        </w:r>
      </w:hyperlink>
    </w:p>
    <w:p>
      <w:pPr>
        <w:numPr>
          <w:ilvl w:val="0"/>
          <w:numId w:val="1016"/>
        </w:numPr>
      </w:pPr>
      <w:hyperlink w:anchor="Xee31e45694d178744a29089d70d1cd98c260b58">
        <w:r>
          <w:rPr>
            <w:rStyle w:val="Hyperlink"/>
          </w:rPr>
          <w:t xml:space="preserve">WIS2 Architecture</w:t>
        </w:r>
      </w:hyperlink>
    </w:p>
    <w:p>
      <w:pPr>
        <w:numPr>
          <w:ilvl w:val="0"/>
          <w:numId w:val="1016"/>
        </w:numPr>
      </w:pPr>
      <w:hyperlink w:anchor="Xf3fcf64578ae63c909403c87ace898a0d40b853">
        <w:r>
          <w:rPr>
            <w:rStyle w:val="Hyperlink"/>
          </w:rPr>
          <w:t xml:space="preserve">Roles in WIS2</w:t>
        </w:r>
      </w:hyperlink>
    </w:p>
    <w:p>
      <w:pPr>
        <w:numPr>
          <w:ilvl w:val="0"/>
          <w:numId w:val="1016"/>
        </w:numPr>
      </w:pPr>
      <w:hyperlink w:anchor="X77c8859ec5b5e85b166da5d11960b4ec9fd10d4">
        <w:r>
          <w:rPr>
            <w:rStyle w:val="Hyperlink"/>
          </w:rPr>
          <w:t xml:space="preserve">Components of WIS2</w:t>
        </w:r>
      </w:hyperlink>
    </w:p>
    <w:p>
      <w:pPr>
        <w:numPr>
          <w:ilvl w:val="0"/>
          <w:numId w:val="1016"/>
        </w:numPr>
      </w:pPr>
      <w:hyperlink w:anchor="Xff31a5d1aa87fc988a72aaf109f7c8e748ad4b1">
        <w:r>
          <w:rPr>
            <w:rStyle w:val="Hyperlink"/>
          </w:rPr>
          <w:t xml:space="preserve">Implementation and operation of a WIS2 Node</w:t>
        </w:r>
      </w:hyperlink>
    </w:p>
    <w:p>
      <w:pPr>
        <w:pStyle w:val="FirstParagraph"/>
      </w:pPr>
      <w:r>
        <w:t xml:space="preserve">The following sections are useful for further reading:</w:t>
      </w:r>
    </w:p>
    <w:p>
      <w:pPr>
        <w:numPr>
          <w:ilvl w:val="0"/>
          <w:numId w:val="1017"/>
        </w:numPr>
      </w:pPr>
      <w:hyperlink w:anchor="Xf663b84f8b08bef805756b15e1319003d76fa52">
        <w:r>
          <w:rPr>
            <w:rStyle w:val="Hyperlink"/>
          </w:rPr>
          <w:t xml:space="preserve">Information management</w:t>
        </w:r>
      </w:hyperlink>
    </w:p>
    <w:p>
      <w:pPr>
        <w:numPr>
          <w:ilvl w:val="0"/>
          <w:numId w:val="1017"/>
        </w:numPr>
      </w:pPr>
      <w:hyperlink w:anchor="X450d2800ceddee769150bb96f748c14ec1a5fef">
        <w:r>
          <w:rPr>
            <w:rStyle w:val="Hyperlink"/>
          </w:rPr>
          <w:t xml:space="preserve">Security</w:t>
        </w:r>
      </w:hyperlink>
    </w:p>
    <w:p>
      <w:pPr>
        <w:numPr>
          <w:ilvl w:val="0"/>
          <w:numId w:val="1017"/>
        </w:numPr>
      </w:pPr>
      <w:hyperlink w:anchor="Xb01b72941e106f40026e8313cebe8325cd24f8c">
        <w:r>
          <w:rPr>
            <w:rStyle w:val="Hyperlink"/>
          </w:rPr>
          <w:t xml:space="preserve">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subsequent releases of this Guide.</w:t>
      </w:r>
    </w:p>
    <w:p>
      <w:pPr>
        <w:pStyle w:val="BodyText"/>
      </w:pPr>
      <w:r>
        <w:t xml:space="preserve">If you are publishing aviation weather data via WIS2 for onward transmission through ICAO SWIM you should also read:</w:t>
      </w:r>
    </w:p>
    <w:p>
      <w:pPr>
        <w:numPr>
          <w:ilvl w:val="0"/>
          <w:numId w:val="1018"/>
        </w:numPr>
      </w:pPr>
      <w:hyperlink w:anchor="X05985e6bd0b8456ebcd2a65185f7b5816dd6910">
        <w:r>
          <w:rPr>
            <w:rStyle w:val="Hyperlink"/>
          </w:rPr>
          <w:t xml:space="preserve">???</w:t>
        </w:r>
      </w:hyperlink>
    </w:p>
    <w:p>
      <w:pPr>
        <w:pStyle w:val="FirstParagraph"/>
      </w:pPr>
      <w:r>
        <w:t xml:space="preserve">Finally, you should also review the specifications in the</w:t>
      </w:r>
      <w:r>
        <w:t xml:space="preserve"> </w:t>
      </w:r>
      <w:r>
        <w:rPr>
          <w:i/>
        </w:rPr>
        <w:t xml:space="preserve">Manual on WIS</w:t>
      </w:r>
      <w:r>
        <w:t xml:space="preserve"> </w:t>
      </w:r>
      <w:r>
        <w:t xml:space="preserve">(WMO-No. 1060), Volume II:</w:t>
      </w:r>
    </w:p>
    <w:p>
      <w:pPr>
        <w:numPr>
          <w:ilvl w:val="0"/>
          <w:numId w:val="1019"/>
        </w:numPr>
      </w:pPr>
      <w:r>
        <w:t xml:space="preserve">Appendix D: WIS2 Topic Hierarchy</w:t>
      </w:r>
    </w:p>
    <w:p>
      <w:pPr>
        <w:numPr>
          <w:ilvl w:val="0"/>
          <w:numId w:val="1019"/>
        </w:numPr>
      </w:pPr>
      <w:r>
        <w:t xml:space="preserve">Appendix E: WIS2 Notification Message</w:t>
      </w:r>
    </w:p>
    <w:p>
      <w:pPr>
        <w:numPr>
          <w:ilvl w:val="0"/>
          <w:numId w:val="1019"/>
        </w:numPr>
      </w:pPr>
      <w:r>
        <w:t xml:space="preserve">Appendix F: WMO Core Metadata Profile 2</w:t>
      </w:r>
    </w:p>
    <w:p>
      <w:pPr>
        <w:pStyle w:val="Heading1"/>
      </w:pPr>
      <w:bookmarkStart w:id="103" w:name="X27c3714cbd41941b233815ec66585da0909fd6e"/>
      <w:r>
        <w:t xml:space="preserve">PART II</w:t>
      </w:r>
      <w:bookmarkEnd w:id="103"/>
    </w:p>
    <w:p>
      <w:pPr>
        <w:pStyle w:val="Heading2"/>
      </w:pPr>
      <w:bookmarkStart w:id="104" w:name="Xee31e45694d178744a29089d70d1cd98c260b58"/>
      <w:r>
        <w:t xml:space="preserve">WIS2 Architecture</w:t>
      </w:r>
      <w:bookmarkEnd w:id="104"/>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w:t>
      </w:r>
      <w:r>
        <w:t xml:space="preserve">(WMO-No. 1060), Volume II.</w:t>
      </w:r>
    </w:p>
    <w:p>
      <w:pPr>
        <w:pStyle w:val="Heading2"/>
      </w:pPr>
      <w:bookmarkStart w:id="105" w:name="Xf3fcf64578ae63c909403c87ace898a0d40b853"/>
      <w:r>
        <w:t xml:space="preserve">Roles in WIS2</w:t>
      </w:r>
      <w:bookmarkEnd w:id="105"/>
    </w:p>
    <w:p>
      <w:pPr>
        <w:pStyle w:val="FirstParagraph"/>
      </w:pPr>
      <w:r>
        <w:t xml:space="preserve">When describing the functions of WIS2 there are four roles to consider:</w:t>
      </w:r>
    </w:p>
    <w:p>
      <w:pPr>
        <w:numPr>
          <w:ilvl w:val="0"/>
          <w:numId w:val="1020"/>
        </w:numPr>
      </w:pPr>
      <w:r>
        <w:t xml:space="preserve">Data Publisher</w:t>
      </w:r>
    </w:p>
    <w:p>
      <w:pPr>
        <w:numPr>
          <w:ilvl w:val="0"/>
          <w:numId w:val="1020"/>
        </w:numPr>
      </w:pPr>
      <w:r>
        <w:t xml:space="preserve">Global Coordinator</w:t>
      </w:r>
    </w:p>
    <w:p>
      <w:pPr>
        <w:numPr>
          <w:ilvl w:val="0"/>
          <w:numId w:val="1020"/>
        </w:numPr>
      </w:pPr>
      <w:r>
        <w:t xml:space="preserve">Global Service Operator</w:t>
      </w:r>
    </w:p>
    <w:p>
      <w:pPr>
        <w:numPr>
          <w:ilvl w:val="0"/>
          <w:numId w:val="1020"/>
        </w:numPr>
      </w:pPr>
      <w:r>
        <w:t xml:space="preserve">Data Consumer</w:t>
      </w:r>
    </w:p>
    <w:p>
      <w:pPr>
        <w:pStyle w:val="FirstParagraph"/>
      </w:pPr>
      <w:r>
        <w:t xml:space="preserve">These roles are outlined below.</w:t>
      </w:r>
    </w:p>
    <w:p>
      <w:pPr>
        <w:pStyle w:val="Heading3"/>
      </w:pPr>
      <w:bookmarkStart w:id="106" w:name="Xf4bb3307fe8469253cd7ca852fef5c83d1fe8a5"/>
      <w:r>
        <w:t xml:space="preserve">Data Publisher</w:t>
      </w:r>
      <w:bookmarkEnd w:id="106"/>
    </w:p>
    <w:p>
      <w:pPr>
        <w:numPr>
          <w:ilvl w:val="0"/>
          <w:numId w:val="1021"/>
        </w:numPr>
      </w:pPr>
      <w:r>
        <w:t xml:space="preserve">This role is fulfilled by NC and DCPC.</w:t>
      </w:r>
    </w:p>
    <w:p>
      <w:pPr>
        <w:numPr>
          <w:ilvl w:val="0"/>
          <w:numId w:val="1021"/>
        </w:numPr>
      </w:pPr>
      <w:r>
        <w:t xml:space="preserve">Data Publishers operate a WIS2 Node to share their data within the WIS2 ecosystem.</w:t>
      </w:r>
    </w:p>
    <w:p>
      <w:pPr>
        <w:numPr>
          <w:ilvl w:val="0"/>
          <w:numId w:val="1021"/>
        </w:numPr>
      </w:pPr>
      <w:r>
        <w:t xml:space="preserve">Data Publishers manage, curate, and provide access to one or more "Datasets".</w:t>
      </w:r>
    </w:p>
    <w:p>
      <w:pPr>
        <w:numPr>
          <w:ilvl w:val="0"/>
          <w:numId w:val="1021"/>
        </w:numPr>
      </w:pPr>
      <w:r>
        <w:t xml:space="preserve">For each Dataset, a Data Publisher provides:</w:t>
      </w:r>
    </w:p>
    <w:p>
      <w:pPr>
        <w:numPr>
          <w:ilvl w:val="1"/>
          <w:numId w:val="1022"/>
        </w:numPr>
      </w:pPr>
      <w:r>
        <w:t xml:space="preserve">"Discovery metadata" to describe the Dataset, provide details on how it can be accessed, and under what conditions.</w:t>
      </w:r>
    </w:p>
    <w:p>
      <w:pPr>
        <w:numPr>
          <w:ilvl w:val="1"/>
          <w:numId w:val="1022"/>
        </w:numPr>
      </w:pPr>
      <w:r>
        <w:t xml:space="preserve">An API or Web-service to access (or interact with) the Dataset.</w:t>
      </w:r>
    </w:p>
    <w:p>
      <w:pPr>
        <w:numPr>
          <w:ilvl w:val="1"/>
          <w:numId w:val="1022"/>
        </w:numPr>
      </w:pPr>
      <w:r>
        <w:t xml:space="preserve">Notification messages advertising the availability of new data and metadata.</w:t>
      </w:r>
    </w:p>
    <w:p>
      <w:pPr>
        <w:pStyle w:val="Heading3"/>
      </w:pPr>
      <w:bookmarkStart w:id="107" w:name="Xc0611752d8a6c0f785a97ddd2d396d99c16b126"/>
      <w:r>
        <w:t xml:space="preserve">Global Coordinator</w:t>
      </w:r>
      <w:bookmarkEnd w:id="107"/>
    </w:p>
    <w:p>
      <w:pPr>
        <w:numPr>
          <w:ilvl w:val="0"/>
          <w:numId w:val="1023"/>
        </w:numPr>
      </w:pPr>
      <w:r>
        <w:t xml:space="preserve">This role is exclusive to GISCs.</w:t>
      </w:r>
    </w:p>
    <w:p>
      <w:pPr>
        <w:numPr>
          <w:ilvl w:val="0"/>
          <w:numId w:val="1023"/>
        </w:numPr>
      </w:pPr>
      <w:r>
        <w:t xml:space="preserve">All GISCs supporting WMO Members in their AoR fulfil their data sharing obligations via WIS2.</w:t>
      </w:r>
    </w:p>
    <w:p>
      <w:pPr>
        <w:pStyle w:val="Heading3"/>
      </w:pPr>
      <w:bookmarkStart w:id="108" w:name="X36ff8ac78eae6a2fa832e9cc3b0b7981aef981e"/>
      <w:r>
        <w:t xml:space="preserve">Global Service operator</w:t>
      </w:r>
      <w:bookmarkEnd w:id="108"/>
    </w:p>
    <w:p>
      <w:pPr>
        <w:numPr>
          <w:ilvl w:val="0"/>
          <w:numId w:val="1024"/>
        </w:numPr>
      </w:pPr>
      <w:r>
        <w:t xml:space="preserve">To ensure highly available global data exchange, a WIS Centre may operate one or more Global Services:</w:t>
      </w:r>
    </w:p>
    <w:p>
      <w:pPr>
        <w:numPr>
          <w:ilvl w:val="1"/>
          <w:numId w:val="1025"/>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1"/>
          <w:numId w:val="1025"/>
        </w:numPr>
      </w:pPr>
      <w:r>
        <w:t xml:space="preserve">Global Broker: provides highly available messaging services where users may subscribe to notifications about all Datasets provided by Data Publishers.</w:t>
      </w:r>
    </w:p>
    <w:p>
      <w:pPr>
        <w:numPr>
          <w:ilvl w:val="1"/>
          <w:numId w:val="1025"/>
        </w:numPr>
      </w:pPr>
      <w:r>
        <w:t xml:space="preserve">Global Cache: provides highly available download service for cached copies of core data downloaded from Data Publishers’ Web-services.</w:t>
      </w:r>
    </w:p>
    <w:p>
      <w:pPr>
        <w:numPr>
          <w:ilvl w:val="1"/>
          <w:numId w:val="1025"/>
        </w:numPr>
      </w:pPr>
      <w:r>
        <w:t xml:space="preserve">Global Monitor: gathers and displays system performance, data availability, and other metrics from all WIS2 Nodes and Global Services.</w:t>
      </w:r>
    </w:p>
    <w:p>
      <w:pPr>
        <w:pStyle w:val="Heading3"/>
      </w:pPr>
      <w:bookmarkStart w:id="109" w:name="X1a4539aae2056893b0f4c21aa9ca0ae9441812a"/>
      <w:r>
        <w:t xml:space="preserve">Data Consumer</w:t>
      </w:r>
      <w:bookmarkEnd w:id="109"/>
    </w:p>
    <w:p>
      <w:pPr>
        <w:numPr>
          <w:ilvl w:val="0"/>
          <w:numId w:val="1026"/>
        </w:numPr>
      </w:pPr>
      <w:r>
        <w:t xml:space="preserve">This role represents anyone wanting to find, access, and use data from WIS2 – examples include (but are not limited to): NMHS, government agency, research institution, private sector organisation, etc.</w:t>
      </w:r>
    </w:p>
    <w:p>
      <w:pPr>
        <w:numPr>
          <w:ilvl w:val="0"/>
          <w:numId w:val="1026"/>
        </w:numPr>
      </w:pPr>
      <w:r>
        <w:t xml:space="preserve">Searches or browses the Global Discovery Catalogue (or other search engine) to discover the Dataset(s) that meet their needs (i.e., "Datasets of interest").</w:t>
      </w:r>
    </w:p>
    <w:p>
      <w:pPr>
        <w:numPr>
          <w:ilvl w:val="0"/>
          <w:numId w:val="1026"/>
        </w:numPr>
      </w:pPr>
      <w:r>
        <w:t xml:space="preserve">Subscribes via the Global Broker to receive notification messages about the availability of data or metadata associated with Datasets of interest.</w:t>
      </w:r>
    </w:p>
    <w:p>
      <w:pPr>
        <w:numPr>
          <w:ilvl w:val="0"/>
          <w:numId w:val="1026"/>
        </w:numPr>
      </w:pPr>
      <w:r>
        <w:t xml:space="preserve">Determines whether the data or metadata referenced in notification messages is required.</w:t>
      </w:r>
    </w:p>
    <w:p>
      <w:pPr>
        <w:numPr>
          <w:ilvl w:val="0"/>
          <w:numId w:val="1026"/>
        </w:numPr>
      </w:pPr>
      <w:r>
        <w:t xml:space="preserve">Downloads data from Global Cache or WIS2 Node.</w:t>
      </w:r>
    </w:p>
    <w:p>
      <w:pPr>
        <w:pStyle w:val="Heading2"/>
      </w:pPr>
      <w:bookmarkStart w:id="110" w:name="X4377534b50509c858737c0b074d5a3307b7fcf9"/>
      <w:r>
        <w:t xml:space="preserve">Specifications of WIS2</w:t>
      </w:r>
      <w:bookmarkEnd w:id="110"/>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w:t>
      </w:r>
      <w:r>
        <w:t xml:space="preserve">(WMO-No. 1060), Volume II for details.</w:t>
      </w:r>
    </w:p>
    <w:p>
      <w:pPr>
        <w:pStyle w:val="Heading2"/>
      </w:pPr>
      <w:bookmarkStart w:id="111" w:name="X77c8859ec5b5e85b166da5d11960b4ec9fd10d4"/>
      <w:r>
        <w:t xml:space="preserve">Components of WIS2</w:t>
      </w:r>
      <w:bookmarkEnd w:id="111"/>
    </w:p>
    <w:p>
      <w:pPr>
        <w:pStyle w:val="Heading3"/>
      </w:pPr>
      <w:bookmarkStart w:id="112" w:name="X9809bf7de22c5a6f5ac4993d8ceb0a366b28036"/>
      <w:r>
        <w:t xml:space="preserve">WIS2 Node</w:t>
      </w:r>
      <w:bookmarkEnd w:id="112"/>
    </w:p>
    <w:p>
      <w:pPr>
        <w:numPr>
          <w:ilvl w:val="0"/>
          <w:numId w:val="1027"/>
        </w:numPr>
      </w:pPr>
      <w:r>
        <w:t xml:space="preserve">WIS2 Nodes are central to WIS2. These are operated by National Centres (NC) and Data Collection or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27"/>
        </w:numPr>
      </w:pPr>
      <w:r>
        <w:t xml:space="preserve">WIS2 adopts Web technologies and open standards enabling WIS2 Nodes to be implemented using freely-available software components and common industry practices.</w:t>
      </w:r>
    </w:p>
    <w:p>
      <w:pPr>
        <w:numPr>
          <w:ilvl w:val="0"/>
          <w:numId w:val="1027"/>
        </w:numPr>
      </w:pPr>
      <w:r>
        <w:t xml:space="preserve">WIS2 Nodes publish data as files of a Web server or using an interactive Web service.</w:t>
      </w:r>
    </w:p>
    <w:p>
      <w:pPr>
        <w:numPr>
          <w:ilvl w:val="0"/>
          <w:numId w:val="1027"/>
        </w:numPr>
      </w:pPr>
      <w:r>
        <w:t xml:space="preserve">WIS2 Nodes describe the data they publish using discovery metadata. See the</w:t>
      </w:r>
      <w:r>
        <w:t xml:space="preserve"> </w:t>
      </w:r>
      <w:r>
        <w:rPr>
          <w:i/>
        </w:rPr>
        <w:t xml:space="preserve">Manual on WIS</w:t>
      </w:r>
      <w:r>
        <w:t xml:space="preserve"> </w:t>
      </w:r>
      <w:r>
        <w:t xml:space="preserve">(WMO-No. 1060), Volume II, Appendix F: WMO Core Metadata Profile 2.</w:t>
      </w:r>
    </w:p>
    <w:p>
      <w:pPr>
        <w:numPr>
          <w:ilvl w:val="0"/>
          <w:numId w:val="1027"/>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w:t>
      </w:r>
      <w:r>
        <w:t xml:space="preserve">(WMO-No. 1060), Volume II, Appendix D: WIS2 Topic Hierarchy and Appendix E: WIS2 Notification Message.</w:t>
      </w:r>
    </w:p>
    <w:p>
      <w:pPr>
        <w:numPr>
          <w:ilvl w:val="0"/>
          <w:numId w:val="1027"/>
        </w:numPr>
      </w:pPr>
      <w:r>
        <w:t xml:space="preserve">WIS2 Nodes may implement controlled access for the data they publish. Global Services will operate with fixed IP addresses, enabling WIS2 Nodes to easily distinguish their requests.</w:t>
      </w:r>
    </w:p>
    <w:p>
      <w:pPr>
        <w:pStyle w:val="Heading3"/>
      </w:pPr>
      <w:bookmarkStart w:id="113" w:name="X457e87df81e20dd60341813f33917c04b732591"/>
      <w:r>
        <w:t xml:space="preserve">Global Broker</w:t>
      </w:r>
      <w:bookmarkEnd w:id="113"/>
    </w:p>
    <w:p>
      <w:pPr>
        <w:numPr>
          <w:ilvl w:val="0"/>
          <w:numId w:val="1028"/>
        </w:numPr>
      </w:pPr>
      <w:r>
        <w:t xml:space="preserve">WIS2 incorporates several Global Brokers, ensuring highly resilient distribution of notification messages across the globe.</w:t>
      </w:r>
    </w:p>
    <w:p>
      <w:pPr>
        <w:numPr>
          <w:ilvl w:val="0"/>
          <w:numId w:val="1028"/>
        </w:numPr>
      </w:pPr>
      <w:r>
        <w:t xml:space="preserve">A Global Broker subscribes to the message broker operated by each WIS2 Node and republishes notification messages.</w:t>
      </w:r>
    </w:p>
    <w:p>
      <w:pPr>
        <w:numPr>
          <w:ilvl w:val="0"/>
          <w:numId w:val="1028"/>
        </w:numPr>
      </w:pPr>
      <w:r>
        <w:t xml:space="preserve">A Global broker subscribes to notifications from other Global Brokers to ensure it receives a copy of all notification messages.</w:t>
      </w:r>
    </w:p>
    <w:p>
      <w:pPr>
        <w:numPr>
          <w:ilvl w:val="0"/>
          <w:numId w:val="1028"/>
        </w:numPr>
      </w:pPr>
      <w:r>
        <w:t xml:space="preserve">A Global Broker republishes notification messages from every WIS2 Node and Global Service.</w:t>
      </w:r>
    </w:p>
    <w:p>
      <w:pPr>
        <w:numPr>
          <w:ilvl w:val="0"/>
          <w:numId w:val="1028"/>
        </w:numPr>
      </w:pPr>
      <w:r>
        <w:t xml:space="preserve">A Global Broker operates a highly available, high-performance message broker.</w:t>
      </w:r>
    </w:p>
    <w:p>
      <w:pPr>
        <w:numPr>
          <w:ilvl w:val="0"/>
          <w:numId w:val="1028"/>
        </w:numPr>
      </w:pPr>
      <w:r>
        <w:t xml:space="preserve">A Global Broker uses the WIS2 Topic Hierarchy enabling a Data Consumer to easily find topics relevant to their needs.</w:t>
      </w:r>
    </w:p>
    <w:p>
      <w:pPr>
        <w:numPr>
          <w:ilvl w:val="0"/>
          <w:numId w:val="1028"/>
        </w:numPr>
      </w:pPr>
      <w:r>
        <w:t xml:space="preserve">Data Consumers should subscribe to notifications from a Global Broker not directly to the message brokers operated by WIS2 Nodes.</w:t>
      </w:r>
    </w:p>
    <w:p>
      <w:pPr>
        <w:pStyle w:val="Heading3"/>
      </w:pPr>
      <w:bookmarkStart w:id="114" w:name="X3757fd838d3368c80e2243a833cf028c5b7f1b3"/>
      <w:r>
        <w:t xml:space="preserve">Global Cache</w:t>
      </w:r>
      <w:bookmarkEnd w:id="114"/>
    </w:p>
    <w:p>
      <w:pPr>
        <w:numPr>
          <w:ilvl w:val="0"/>
          <w:numId w:val="1029"/>
        </w:numPr>
      </w:pPr>
      <w:r>
        <w:t xml:space="preserve">WIS2 incorporates several Global Caches, ensuring highly resilient distribution of data across the globe.</w:t>
      </w:r>
    </w:p>
    <w:p>
      <w:pPr>
        <w:numPr>
          <w:ilvl w:val="0"/>
          <w:numId w:val="1029"/>
        </w:numPr>
      </w:pPr>
      <w:r>
        <w:t xml:space="preserve">A Global Cache provides a highly available data server from which a Data Consumer can download Core data, as specified in the WMO Unified Data Policy, Resolution 1 (Cg-Ext(2021)).</w:t>
      </w:r>
    </w:p>
    <w:p>
      <w:pPr>
        <w:numPr>
          <w:ilvl w:val="0"/>
          <w:numId w:val="1029"/>
        </w:numPr>
      </w:pPr>
      <w:r>
        <w:t xml:space="preserve">A Global Cache subscribes to notification messages via a Global Broker.</w:t>
      </w:r>
    </w:p>
    <w:p>
      <w:pPr>
        <w:numPr>
          <w:ilvl w:val="0"/>
          <w:numId w:val="1029"/>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29"/>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9"/>
        </w:numPr>
      </w:pPr>
      <w:r>
        <w:t xml:space="preserve">A Global Cache shall retain a copy of core data for a duration compatible with the real-time or near real-time schedule of the data and not less than 24-hours.</w:t>
      </w:r>
    </w:p>
    <w:p>
      <w:pPr>
        <w:numPr>
          <w:ilvl w:val="0"/>
          <w:numId w:val="1029"/>
        </w:numPr>
      </w:pPr>
      <w:r>
        <w:t xml:space="preserve">A Global Cache will delete data from the cache once the retention period has expired.</w:t>
      </w:r>
    </w:p>
    <w:p>
      <w:pPr>
        <w:numPr>
          <w:ilvl w:val="0"/>
          <w:numId w:val="1029"/>
        </w:numPr>
      </w:pPr>
      <w:r>
        <w:t xml:space="preserve">Data Consumers should download data from a Global Cache when available.</w:t>
      </w:r>
    </w:p>
    <w:p>
      <w:pPr>
        <w:pStyle w:val="Heading3"/>
      </w:pPr>
      <w:bookmarkStart w:id="115" w:name="X7afed62fce9c77dc9763966ede44c55358b9618"/>
      <w:r>
        <w:t xml:space="preserve">Global Discovery Catalogue</w:t>
      </w:r>
      <w:bookmarkEnd w:id="115"/>
    </w:p>
    <w:p>
      <w:pPr>
        <w:numPr>
          <w:ilvl w:val="0"/>
          <w:numId w:val="1030"/>
        </w:numPr>
      </w:pPr>
      <w:r>
        <w:t xml:space="preserve">WIS2 includes several Global Discovery Catalogues.</w:t>
      </w:r>
    </w:p>
    <w:p>
      <w:pPr>
        <w:numPr>
          <w:ilvl w:val="0"/>
          <w:numId w:val="1030"/>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30"/>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30"/>
        </w:numPr>
      </w:pPr>
      <w:r>
        <w:t xml:space="preserve">A Global Discovery Catalogue will amend discovery metadata records to add details of where one can subscribe to updates about the Dataset at a Global Broker.</w:t>
      </w:r>
    </w:p>
    <w:p>
      <w:pPr>
        <w:numPr>
          <w:ilvl w:val="0"/>
          <w:numId w:val="1030"/>
        </w:numPr>
      </w:pPr>
      <w:r>
        <w:t xml:space="preserve">A Global Discovery Catalogue makes its content available for indexing by search engines.</w:t>
      </w:r>
    </w:p>
    <w:p>
      <w:pPr>
        <w:pStyle w:val="Heading3"/>
      </w:pPr>
      <w:bookmarkStart w:id="116" w:name="X4e88c05a27e698b3d133af3a43b16886494a2e2"/>
      <w:r>
        <w:t xml:space="preserve">Global Monitor</w:t>
      </w:r>
      <w:bookmarkEnd w:id="116"/>
    </w:p>
    <w:p>
      <w:pPr>
        <w:numPr>
          <w:ilvl w:val="0"/>
          <w:numId w:val="1031"/>
        </w:numPr>
      </w:pPr>
      <w:r>
        <w:t xml:space="preserve">WIS2 includes a Global Monitor service.</w:t>
      </w:r>
    </w:p>
    <w:p>
      <w:pPr>
        <w:numPr>
          <w:ilvl w:val="0"/>
          <w:numId w:val="1031"/>
        </w:numPr>
      </w:pPr>
      <w:r>
        <w:t xml:space="preserve">The Global Monitor collects metrics from WIS2 components.</w:t>
      </w:r>
    </w:p>
    <w:p>
      <w:pPr>
        <w:numPr>
          <w:ilvl w:val="0"/>
          <w:numId w:val="1031"/>
        </w:numPr>
      </w:pPr>
      <w:r>
        <w:t xml:space="preserve">The Global Monitor provides a dashboard that supports operational management of the WIS2 system.</w:t>
      </w:r>
    </w:p>
    <w:p>
      <w:pPr>
        <w:numPr>
          <w:ilvl w:val="0"/>
          <w:numId w:val="1031"/>
        </w:numPr>
      </w:pPr>
      <w:r>
        <w:t xml:space="preserve">The Global Monitor tracks:</w:t>
      </w:r>
    </w:p>
    <w:p>
      <w:pPr>
        <w:numPr>
          <w:ilvl w:val="1"/>
          <w:numId w:val="1032"/>
        </w:numPr>
      </w:pPr>
      <w:r>
        <w:t xml:space="preserve">What data is published by WIS2 Nodes.</w:t>
      </w:r>
    </w:p>
    <w:p>
      <w:pPr>
        <w:numPr>
          <w:ilvl w:val="1"/>
          <w:numId w:val="1032"/>
        </w:numPr>
      </w:pPr>
      <w:r>
        <w:t xml:space="preserve">Whether data can be effectively accessed by Data Consumers.</w:t>
      </w:r>
    </w:p>
    <w:p>
      <w:pPr>
        <w:numPr>
          <w:ilvl w:val="1"/>
          <w:numId w:val="1032"/>
        </w:numPr>
      </w:pPr>
      <w:r>
        <w:t xml:space="preserve">The performance of components in the WIS2 system.</w:t>
      </w:r>
    </w:p>
    <w:p>
      <w:pPr>
        <w:pStyle w:val="Heading2"/>
      </w:pPr>
      <w:bookmarkStart w:id="117" w:name="Xee8f00d4b5d32ea81dee296c05c3047c4b44548"/>
      <w:r>
        <w:t xml:space="preserve">Protocols configuration</w:t>
      </w:r>
      <w:bookmarkEnd w:id="117"/>
    </w:p>
    <w:p>
      <w:pPr>
        <w:pStyle w:val="Heading3"/>
      </w:pPr>
      <w:bookmarkStart w:id="118" w:name="X24a7c06ed7dc4cc495cbe882209559321d9907a"/>
      <w:r>
        <w:t xml:space="preserve">Publish-Subscribe protocol (MQTT)</w:t>
      </w:r>
      <w:bookmarkEnd w:id="118"/>
    </w:p>
    <w:p>
      <w:pPr>
        <w:numPr>
          <w:ilvl w:val="0"/>
          <w:numId w:val="1033"/>
        </w:numPr>
      </w:pPr>
      <w:r>
        <w:t xml:space="preserve">The MQTT protocol</w:t>
      </w:r>
      <w:r>
        <w:rPr>
          <w:rStyle w:val="FootnoteReference"/>
        </w:rPr>
        <w:footnoteReference w:id="119"/>
      </w:r>
      <w:r>
        <w:t xml:space="preserve"> </w:t>
      </w:r>
      <w:r>
        <w:t xml:space="preserve">is to be used for all WIS2 Publish-Subscribe workflow (publication and subscription).</w:t>
      </w:r>
    </w:p>
    <w:p>
      <w:pPr>
        <w:numPr>
          <w:ilvl w:val="0"/>
          <w:numId w:val="1033"/>
        </w:numPr>
      </w:pPr>
      <w:r>
        <w:t xml:space="preserve">MQTT v3.1.1 and v5.0 are the chosen protocols for the WIS2 Notification Messages publication and subscription.</w:t>
      </w:r>
    </w:p>
    <w:p>
      <w:pPr>
        <w:numPr>
          <w:ilvl w:val="1"/>
          <w:numId w:val="1034"/>
        </w:numPr>
      </w:pPr>
      <w:r>
        <w:t xml:space="preserve">To connect to Global Brokers, MQTT v5.0 is preferred as it provides additional features such as the ability to used shared subscription.</w:t>
      </w:r>
    </w:p>
    <w:p>
      <w:pPr>
        <w:numPr>
          <w:ilvl w:val="0"/>
          <w:numId w:val="1033"/>
        </w:numPr>
      </w:pPr>
      <w:r>
        <w:t xml:space="preserve">The following parameters are to be used for all MQTT client/server connectivity and subscription:</w:t>
      </w:r>
    </w:p>
    <w:p>
      <w:pPr>
        <w:numPr>
          <w:ilvl w:val="1"/>
          <w:numId w:val="1035"/>
        </w:numPr>
      </w:pPr>
      <w:r>
        <w:t xml:space="preserve">Message retention: false</w:t>
      </w:r>
    </w:p>
    <w:p>
      <w:pPr>
        <w:numPr>
          <w:ilvl w:val="1"/>
          <w:numId w:val="1035"/>
        </w:numPr>
      </w:pPr>
      <w:r>
        <w:t xml:space="preserve">Quality of Service (QoS) of 1</w:t>
      </w:r>
    </w:p>
    <w:p>
      <w:pPr>
        <w:numPr>
          <w:ilvl w:val="1"/>
          <w:numId w:val="1035"/>
        </w:numPr>
      </w:pPr>
      <w:r>
        <w:t xml:space="preserve">A maximum of 2000 messages to be held in a queue per client</w:t>
      </w:r>
    </w:p>
    <w:p>
      <w:pPr>
        <w:numPr>
          <w:ilvl w:val="0"/>
          <w:numId w:val="1033"/>
        </w:numPr>
      </w:pPr>
      <w:r>
        <w:t xml:space="preserve">In order to permit authentication and authorization for users, WIS2 Node, Global Cache, Global Discovery Catalogue and Global Brokers shall use a user and password based mechanism.</w:t>
      </w:r>
    </w:p>
    <w:p>
      <w:pPr>
        <w:numPr>
          <w:ilvl w:val="0"/>
          <w:numId w:val="1033"/>
        </w:numPr>
      </w:pPr>
      <w:r>
        <w:t xml:space="preserve">To improve the overall level of security of WIS2, the secure version of the MQTT protocol is preferred. If used, the certificate must be valid.</w:t>
      </w:r>
    </w:p>
    <w:p>
      <w:pPr>
        <w:numPr>
          <w:ilvl w:val="0"/>
          <w:numId w:val="1033"/>
        </w:numPr>
      </w:pPr>
      <w:r>
        <w:t xml:space="preserve">The standard TCP ports to be used are 8883 for Secure MQTT (MQTTS) and 443 for Secure Web Socket (WSS).</w:t>
      </w:r>
    </w:p>
    <w:p>
      <w:pPr>
        <w:pStyle w:val="Heading3"/>
      </w:pPr>
      <w:bookmarkStart w:id="121" w:name="X5c2c63cbe773be7ffd5fb93b0614b441ffbec41"/>
      <w:r>
        <w:t xml:space="preserve">Download protocol (HTTP)</w:t>
      </w:r>
      <w:bookmarkEnd w:id="121"/>
    </w:p>
    <w:p>
      <w:pPr>
        <w:numPr>
          <w:ilvl w:val="0"/>
          <w:numId w:val="1036"/>
        </w:numPr>
      </w:pPr>
      <w:r>
        <w:t xml:space="preserve">The HTTP protocol (RFC 7231</w:t>
      </w:r>
      <w:r>
        <w:rPr>
          <w:rStyle w:val="FootnoteReference"/>
        </w:rPr>
        <w:footnoteReference w:id="122"/>
      </w:r>
      <w:r>
        <w:t xml:space="preserve">) is to be used for all WIS2 download workflow.</w:t>
      </w:r>
    </w:p>
    <w:p>
      <w:pPr>
        <w:numPr>
          <w:ilvl w:val="0"/>
          <w:numId w:val="1036"/>
        </w:numPr>
      </w:pPr>
      <w:r>
        <w:t xml:space="preserve">To improve the overall level of security of WIS2, the secure version of the HTTP protocol is preferred. If used, the certificate must be valid.</w:t>
      </w:r>
    </w:p>
    <w:p>
      <w:pPr>
        <w:numPr>
          <w:ilvl w:val="0"/>
          <w:numId w:val="1036"/>
        </w:numPr>
      </w:pPr>
      <w:r>
        <w:t xml:space="preserve">The standard TCP port to be used is 443 for Secure HTTP (HTTPS).</w:t>
      </w:r>
    </w:p>
    <w:p>
      <w:pPr>
        <w:pStyle w:val="Heading2"/>
      </w:pPr>
      <w:bookmarkStart w:id="124" w:name="Xff31a5d1aa87fc988a72aaf109f7c8e748ad4b1"/>
      <w:r>
        <w:t xml:space="preserve">Implementation and operation of a WIS2 Node</w:t>
      </w:r>
      <w:bookmarkEnd w:id="124"/>
    </w:p>
    <w:p>
      <w:pPr>
        <w:pStyle w:val="Heading3"/>
      </w:pPr>
      <w:bookmarkStart w:id="125" w:name="X2dc45f7e3308f894d44a9e549266f7a5068a5e5"/>
      <w:r>
        <w:t xml:space="preserve">Practices and procedures</w:t>
      </w:r>
      <w:bookmarkEnd w:id="125"/>
    </w:p>
    <w:p>
      <w:pPr>
        <w:pStyle w:val="Heading4"/>
      </w:pPr>
      <w:bookmarkStart w:id="126" w:name="X8e028573dd812516e98f10b49ed38e5e61384e5"/>
      <w:r>
        <w:t xml:space="preserve">Registration and decommissioning of a WIS2 Node</w:t>
      </w:r>
      <w:bookmarkEnd w:id="126"/>
    </w:p>
    <w:p>
      <w:pPr>
        <w:pStyle w:val="FirstParagraph"/>
      </w:pPr>
      <w:r>
        <w:t xml:space="preserve">Registration and decomissioning of WIS2 Nodes must be approved by the Permanent Representative to WMO (PR) for the country or territory in which the WIS Centre resides. Where the WIS2 Node is part of a Data Collection or Production Centre (DCPC), the sponsoring WMO Programme or Regional Association shall be consulted.</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7"/>
        </w:numPr>
      </w:pPr>
      <w:r>
        <w:t xml:space="preserve">Request hosting a WIS2 Node: A request for hosting a WIS2 Node shall be put forward by WIS National Focal Point (NFP)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7"/>
        </w:numPr>
      </w:pPr>
      <w:r>
        <w:t xml:space="preserve">Assign a centre-id: The centre identifier (</w:t>
      </w:r>
      <w:r>
        <w:rPr>
          <w:rStyle w:val="VerbatimChar"/>
        </w:rPr>
        <w:t xml:space="preserve">centre-id</w:t>
      </w:r>
      <w:r>
        <w:t xml:space="preserve">) is an acronym as proposed by the Member and endorsed by the WMO Secretariat. It is a single identifier comprised of a top level domain (TLD) and centre name, and represents the data publisher, distributor or issuing centre of a given dataset or data product/granule (see the</w:t>
      </w:r>
      <w:r>
        <w:t xml:space="preserve"> </w:t>
      </w:r>
      <w:r>
        <w:rPr>
          <w:i/>
        </w:rPr>
        <w:t xml:space="preserve">Manual on WIS</w:t>
      </w:r>
      <w:r>
        <w:t xml:space="preserve"> </w:t>
      </w:r>
      <w:r>
        <w:t xml:space="preserve">(WMO-No. 1060), Volume II, Appendix D: WIS2 Topic Hierarchy). See below for guidance on assigning a centre identifier (</w:t>
      </w:r>
      <w:hyperlink w:anchor="X27173178c4748fd757f42270292ab989f273da4">
        <w:r>
          <w:rPr>
            <w:rStyle w:val="Hyperlink"/>
          </w:rPr>
          <w:t xml:space="preserve">???</w:t>
        </w:r>
      </w:hyperlink>
      <w:r>
        <w:t xml:space="preserve">).</w:t>
      </w:r>
    </w:p>
    <w:p>
      <w:pPr>
        <w:numPr>
          <w:ilvl w:val="0"/>
          <w:numId w:val="1037"/>
        </w:numPr>
      </w:pPr>
      <w:r>
        <w:t xml:space="preserve">Complete the WIS2 Register: The WIS National Focal Point shall complete the WIS2 Register operated by the WMO Secretariat.</w:t>
      </w:r>
    </w:p>
    <w:p>
      <w:pPr>
        <w:numPr>
          <w:ilvl w:val="0"/>
          <w:numId w:val="1037"/>
        </w:numPr>
      </w:pPr>
      <w:r>
        <w:t xml:space="preserve">Provide Global Service details: The WMO Secretariat provides connection details for the Global Services (e.g., IP addresses) so that the WIS2 Node can be configured to provide the access.</w:t>
      </w:r>
    </w:p>
    <w:p>
      <w:pPr>
        <w:numPr>
          <w:ilvl w:val="0"/>
          <w:numId w:val="1037"/>
        </w:numPr>
      </w:pPr>
      <w:r>
        <w:t xml:space="preserve">WIS2 Node assessment: The principal GISC verifies that the WIS2 Node is compliant with WIS2 requirements. The assessment includes:</w:t>
      </w:r>
    </w:p>
    <w:p>
      <w:pPr>
        <w:numPr>
          <w:ilvl w:val="1"/>
          <w:numId w:val="1038"/>
        </w:numPr>
      </w:pPr>
      <w:r>
        <w:t xml:space="preserve">verification of the compliance of the topics used by the centre with the WIS2 Topic Hierarchy (WTH) specification.</w:t>
      </w:r>
    </w:p>
    <w:p>
      <w:pPr>
        <w:numPr>
          <w:ilvl w:val="1"/>
          <w:numId w:val="1038"/>
        </w:numPr>
      </w:pPr>
      <w:r>
        <w:t xml:space="preserve">verification of compliance of notification messages with the WIS2 Notification Message (WNM) specification.</w:t>
      </w:r>
    </w:p>
    <w:p>
      <w:pPr>
        <w:numPr>
          <w:ilvl w:val="1"/>
          <w:numId w:val="1038"/>
        </w:numPr>
      </w:pPr>
      <w:r>
        <w:t xml:space="preserve">verification that the data server is correctly configured and properly functioning.</w:t>
      </w:r>
    </w:p>
    <w:p>
      <w:pPr>
        <w:numPr>
          <w:ilvl w:val="1"/>
          <w:numId w:val="1038"/>
        </w:numPr>
      </w:pPr>
      <w:r>
        <w:t xml:space="preserve">verification that the message broker is correctly configured and properly functioning.</w:t>
      </w:r>
    </w:p>
    <w:p>
      <w:pPr>
        <w:numPr>
          <w:ilvl w:val="0"/>
          <w:numId w:val="1037"/>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7"/>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27"/>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the Global Services, it can procede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5a8c56bdb90b874d4815ac6596e3356b5d6efcc">
        <w:r>
          <w:rPr>
            <w:rStyle w:val="Hyperlink"/>
          </w:rPr>
          <w:t xml:space="preserve">How to provide discovery metadata to WIS2</w:t>
        </w:r>
      </w:hyperlink>
      <w:r>
        <w:t xml:space="preserve">.</w:t>
      </w:r>
    </w:p>
    <w:p>
      <w:pPr>
        <w:pStyle w:val="BodyText"/>
      </w:pPr>
      <w:r>
        <w:t xml:space="preserve">Once the dataset has successfully been registered, the WIS2 Node can procede to exchange data - see</w:t>
      </w:r>
      <w:r>
        <w:t xml:space="preserve"> </w:t>
      </w:r>
      <w:hyperlink w:anchor="Xd60b69774d1e9d2911886b93600e91e891ee744">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28" w:name="Xb8e0be8b6c37b07d112a8a99be8be37f3f9c9b4"/>
      <w:r>
        <w:t xml:space="preserve">Guidance on assigning a Centre Identifier for a WIS2 Node</w:t>
      </w:r>
      <w:bookmarkEnd w:id="128"/>
    </w:p>
    <w:p>
      <w:pPr>
        <w:pStyle w:val="FirstParagraph"/>
      </w:pPr>
      <w:r>
        <w:t xml:space="preserve">The Centre Identifier (</w:t>
      </w:r>
      <w:r>
        <w:rPr>
          <w:rStyle w:val="VerbatimChar"/>
        </w:rPr>
        <w:t xml:space="preserve">centre-id</w:t>
      </w:r>
      <w:r>
        <w:t xml:space="preserve">) is used in WIS2 to uniquely identify a participating WIS2 Node. The Centre Identifier must conform to the specification given in the</w:t>
      </w:r>
      <w:r>
        <w:t xml:space="preserve"> </w:t>
      </w:r>
      <w:r>
        <w:rPr>
          <w:i/>
        </w:rPr>
        <w:t xml:space="preserve">Manual on WIS</w:t>
      </w:r>
      <w:r>
        <w:t xml:space="preserve"> </w:t>
      </w:r>
      <w:r>
        <w:t xml:space="preserve">(WMO-No. 1060), Volume II, Appendix D: WIS2 Topic Hierarchy, section 7.1.6 Centre identification.</w:t>
      </w:r>
    </w:p>
    <w:p>
      <w:pPr>
        <w:pStyle w:val="BodyText"/>
      </w:pPr>
      <w:r>
        <w:t xml:space="preserve">The Centre Identifier 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IANA</w:t>
      </w:r>
      <w:r>
        <w:rPr>
          <w:rStyle w:val="FootnoteReference"/>
        </w:rPr>
        <w:footnoteReference w:id="129"/>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it’s considered part of France, it uses the Euro. Here, we would use the “fr” TLD. New Caledonia is a French overseas territory with top-level-domain of “nc”. It has separate, devolved governance. The recommendation is to use “nc”. All that said, it’s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recognisable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31">
        <w:r>
          <w:rPr>
            <w:rStyle w:val="Hyperlink"/>
          </w:rPr>
          <w:t xml:space="preserve">http://www.metoffice.gov.uk</w:t>
        </w:r>
      </w:hyperlink>
      <w:r>
        <w:t xml:space="preserve">), so “metoffice” is better than “ukmo”</w:t>
      </w:r>
      <w:r>
        <w:rPr>
          <w:rStyle w:val="FootnoteReference"/>
        </w:rPr>
        <w:footnoteReference w:id="132"/>
      </w:r>
      <w:r>
        <w:t xml:space="preserve">. Using the 4-letter GTS centre identifiers (</w:t>
      </w:r>
      <w:r>
        <w:rPr>
          <w:b/>
        </w:rPr>
        <w:t xml:space="preserve">CCCC</w:t>
      </w:r>
      <w:r>
        <w:t xml:space="preserve">) is not recommended because people unfamiliar with the GTS do not understand them.</w:t>
      </w:r>
    </w:p>
    <w:p>
      <w:pPr>
        <w:pStyle w:val="BodyText"/>
      </w:pPr>
      <w:r>
        <w:t xml:space="preserve">The Centre Identifier specification says that larger organisations operating multiple centres may wish to register separate centre-ids for each centre. This is good practice. Keeping with the UK example, Met Office operates a National Meteorological Centre (NMC), 9 DCPCs (e.g., a Volcanic Ash Advisory Centre) and a WIS2 Global Service, so it’s important to split them out. For example:</w:t>
      </w:r>
    </w:p>
    <w:p>
      <w:pPr>
        <w:numPr>
          <w:ilvl w:val="0"/>
          <w:numId w:val="1039"/>
        </w:numPr>
      </w:pPr>
      <w:r>
        <w:rPr>
          <w:rStyle w:val="VerbatimChar"/>
        </w:rPr>
        <w:t xml:space="preserve">uk-metoffice-nmc</w:t>
      </w:r>
    </w:p>
    <w:p>
      <w:pPr>
        <w:numPr>
          <w:ilvl w:val="0"/>
          <w:numId w:val="1039"/>
        </w:numPr>
      </w:pPr>
      <w:r>
        <w:rPr>
          <w:rStyle w:val="VerbatimChar"/>
        </w:rPr>
        <w:t xml:space="preserve">uk-metoffice-vaac</w:t>
      </w:r>
    </w:p>
    <w:p>
      <w:pPr>
        <w:numPr>
          <w:ilvl w:val="0"/>
          <w:numId w:val="1039"/>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 Nodes.</w:t>
      </w:r>
    </w:p>
    <w:p>
      <w:pPr>
        <w:pStyle w:val="BodyText"/>
      </w:pPr>
      <w:r>
        <w:t xml:space="preserve">Appending “-test” may be used to designate test WIS Nodes.</w:t>
      </w:r>
    </w:p>
    <w:p>
      <w:pPr>
        <w:pStyle w:val="Heading4"/>
      </w:pPr>
      <w:bookmarkStart w:id="133" w:name="X2efa4b3c7f11b5869994d3f39fb42c00bf9526c"/>
      <w:r>
        <w:t xml:space="preserve">Authentication, authorization, and access control for a WIS2 Node</w:t>
      </w:r>
      <w:bookmarkEnd w:id="133"/>
    </w:p>
    <w:p>
      <w:pPr>
        <w:pStyle w:val="FirstParagraph"/>
      </w:pPr>
      <w:r>
        <w:t xml:space="preserve">When configuring your WIS2 Node you need to consider how it will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4"/>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5"/>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6"/>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37"/>
      </w:r>
      <w:r>
        <w:t xml:space="preserve">.</w:t>
      </w:r>
    </w:p>
    <w:p>
      <w:pPr>
        <w:pStyle w:val="Heading3"/>
      </w:pPr>
      <w:bookmarkStart w:id="138" w:name="X88471e81d2325170fe741992b384283916f363b"/>
      <w:r>
        <w:t xml:space="preserve">Performance management</w:t>
      </w:r>
      <w:bookmarkEnd w:id="138"/>
    </w:p>
    <w:p>
      <w:pPr>
        <w:pStyle w:val="Heading4"/>
      </w:pPr>
      <w:bookmarkStart w:id="139" w:name="Xe6d7c72f985dadd42293bc857d52add7d42ea2b"/>
      <w:r>
        <w:t xml:space="preserve">Service levels and performance indicators</w:t>
      </w:r>
      <w:bookmarkEnd w:id="139"/>
    </w:p>
    <w:p>
      <w:pPr>
        <w:pStyle w:val="FirstParagraph"/>
      </w:pPr>
      <w:r>
        <w:t xml:space="preserve">A WIS2 Node must be able to:</w:t>
      </w:r>
    </w:p>
    <w:p>
      <w:pPr>
        <w:numPr>
          <w:ilvl w:val="0"/>
          <w:numId w:val="1040"/>
        </w:numPr>
      </w:pPr>
      <w:r>
        <w:t xml:space="preserve">Publish datasets and compliant metadata and discovery metadata</w:t>
      </w:r>
    </w:p>
    <w:p>
      <w:pPr>
        <w:numPr>
          <w:ilvl w:val="1"/>
          <w:numId w:val="1041"/>
        </w:numPr>
      </w:pPr>
      <w:r>
        <w:t xml:space="preserve">Publish metadata to the Global Data Catalogue</w:t>
      </w:r>
    </w:p>
    <w:p>
      <w:pPr>
        <w:numPr>
          <w:ilvl w:val="1"/>
          <w:numId w:val="1041"/>
        </w:numPr>
      </w:pPr>
      <w:r>
        <w:t xml:space="preserve">Publish core data to the Global Cache</w:t>
      </w:r>
    </w:p>
    <w:p>
      <w:pPr>
        <w:numPr>
          <w:ilvl w:val="1"/>
          <w:numId w:val="1041"/>
        </w:numPr>
      </w:pPr>
      <w:r>
        <w:t xml:space="preserve">Publish data for consumer access</w:t>
      </w:r>
    </w:p>
    <w:p>
      <w:pPr>
        <w:numPr>
          <w:ilvl w:val="1"/>
          <w:numId w:val="1041"/>
        </w:numPr>
      </w:pPr>
      <w:r>
        <w:t xml:space="preserve">Publish data embedded in a message (i.e., CAP warnings)</w:t>
      </w:r>
    </w:p>
    <w:p>
      <w:pPr>
        <w:numPr>
          <w:ilvl w:val="1"/>
          <w:numId w:val="1041"/>
        </w:numPr>
      </w:pPr>
      <w:r>
        <w:t xml:space="preserve">Receive metadata publication errors from the Global Data Catalogue</w:t>
      </w:r>
    </w:p>
    <w:p>
      <w:pPr>
        <w:numPr>
          <w:ilvl w:val="1"/>
          <w:numId w:val="1041"/>
        </w:numPr>
      </w:pPr>
      <w:r>
        <w:t xml:space="preserve">Provide metadata with topics to Global Brokers</w:t>
      </w:r>
    </w:p>
    <w:p>
      <w:pPr>
        <w:pStyle w:val="Heading4"/>
      </w:pPr>
      <w:bookmarkStart w:id="140" w:name="X2886e34fe23330b8786c561b0ec5c85175dd9ff"/>
      <w:r>
        <w:t xml:space="preserve">System performance metrics</w:t>
      </w:r>
      <w:bookmarkEnd w:id="140"/>
    </w:p>
    <w:p>
      <w:pPr>
        <w:pStyle w:val="FirstParagraph"/>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141" w:name="X464b6d43f4672450684bd5ad766cf1649d4bfd4"/>
      <w:r>
        <w:t xml:space="preserve">WIS2 Node reference implementation: WIS2 in a box</w:t>
      </w:r>
      <w:bookmarkEnd w:id="141"/>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42"/>
        </w:numPr>
      </w:pPr>
      <w:r>
        <w:t xml:space="preserve">Configuration, generation and publication of data (real-time or archive) and metadata to WIS2, compliant to WIS2 Node requirements</w:t>
      </w:r>
    </w:p>
    <w:p>
      <w:pPr>
        <w:numPr>
          <w:ilvl w:val="0"/>
          <w:numId w:val="1042"/>
        </w:numPr>
      </w:pPr>
      <w:r>
        <w:t xml:space="preserve">MQTT Message Broker and notification message publication (Subscribe)</w:t>
      </w:r>
    </w:p>
    <w:p>
      <w:pPr>
        <w:numPr>
          <w:ilvl w:val="0"/>
          <w:numId w:val="1042"/>
        </w:numPr>
      </w:pPr>
      <w:r>
        <w:t xml:space="preserve">HTTP object storage and raw data access (Download)</w:t>
      </w:r>
    </w:p>
    <w:p>
      <w:pPr>
        <w:numPr>
          <w:ilvl w:val="0"/>
          <w:numId w:val="1042"/>
        </w:numPr>
      </w:pPr>
      <w:r>
        <w:t xml:space="preserve">Station metadata curation / editing tools (user interface)</w:t>
      </w:r>
    </w:p>
    <w:p>
      <w:pPr>
        <w:numPr>
          <w:ilvl w:val="0"/>
          <w:numId w:val="1042"/>
        </w:numPr>
      </w:pPr>
      <w:r>
        <w:t xml:space="preserve">Discovery metadata curation / editing tools (user interface)</w:t>
      </w:r>
    </w:p>
    <w:p>
      <w:pPr>
        <w:numPr>
          <w:ilvl w:val="0"/>
          <w:numId w:val="1042"/>
        </w:numPr>
      </w:pPr>
      <w:r>
        <w:t xml:space="preserve">Data entry tools (user interfaces)</w:t>
      </w:r>
    </w:p>
    <w:p>
      <w:pPr>
        <w:numPr>
          <w:ilvl w:val="0"/>
          <w:numId w:val="1042"/>
        </w:numPr>
      </w:pPr>
      <w:r>
        <w:t xml:space="preserve">OGC API server, providing dynamic APIs for discovery, access, visualization and processing functionality (APIs)</w:t>
      </w:r>
    </w:p>
    <w:p>
      <w:pPr>
        <w:numPr>
          <w:ilvl w:val="0"/>
          <w:numId w:val="1042"/>
        </w:numPr>
      </w:pPr>
      <w:r>
        <w:t xml:space="preserve">Extensible data "pipelines", allowing for transformation, processing and publishing of additional data types</w:t>
      </w:r>
    </w:p>
    <w:p>
      <w:pPr>
        <w:numPr>
          <w:ilvl w:val="0"/>
          <w:numId w:val="1042"/>
        </w:numPr>
      </w:pPr>
      <w:r>
        <w:t xml:space="preserve">Provision of system performance and data availability metrics</w:t>
      </w:r>
    </w:p>
    <w:p>
      <w:pPr>
        <w:numPr>
          <w:ilvl w:val="0"/>
          <w:numId w:val="1042"/>
        </w:numPr>
      </w:pPr>
      <w:r>
        <w:t xml:space="preserve">Access control for recommended data publication, as required</w:t>
      </w:r>
    </w:p>
    <w:p>
      <w:pPr>
        <w:numPr>
          <w:ilvl w:val="0"/>
          <w:numId w:val="1042"/>
        </w:numPr>
      </w:pPr>
      <w:r>
        <w:t xml:space="preserve">Subscription to notifications and and download of WIS data from Global Services</w:t>
      </w:r>
    </w:p>
    <w:p>
      <w:pPr>
        <w:numPr>
          <w:ilvl w:val="0"/>
          <w:numId w:val="104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142">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142">
        <w:r>
          <w:rPr>
            <w:rStyle w:val="Hyperlink"/>
          </w:rPr>
          <w:t xml:space="preserve">https://docs.wis2box.wis.wmo.int</w:t>
        </w:r>
      </w:hyperlink>
      <w:r>
        <w:t xml:space="preserve">.</w:t>
      </w:r>
    </w:p>
    <w:p>
      <w:pPr>
        <w:pStyle w:val="Heading2"/>
      </w:pPr>
      <w:bookmarkStart w:id="143" w:name="X9e72a2ecfcdde13f98188c11fb151050efd6b8e"/>
      <w:r>
        <w:t xml:space="preserve">Implementation and operation of a Global Service</w:t>
      </w:r>
      <w:bookmarkEnd w:id="143"/>
    </w:p>
    <w:p>
      <w:pPr>
        <w:pStyle w:val="Heading3"/>
      </w:pPr>
      <w:bookmarkStart w:id="144" w:name="X2413b2167533c41decb1d7ad264ee77ac10f5b8"/>
      <w:r>
        <w:t xml:space="preserve">Procedure for registration of a new Global Service</w:t>
      </w:r>
      <w:bookmarkEnd w:id="144"/>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43"/>
        </w:numPr>
      </w:pPr>
      <w:r>
        <w:t xml:space="preserve">Three (3) Global Brokers: Each Global Broker connected to at least two (2) other Global Brokers</w:t>
      </w:r>
    </w:p>
    <w:p>
      <w:pPr>
        <w:numPr>
          <w:ilvl w:val="0"/>
          <w:numId w:val="1043"/>
        </w:numPr>
      </w:pPr>
      <w:r>
        <w:t xml:space="preserve">Three (3) Global Caches: Each Global Cache connected to at least two (2) Global Broker and should be able to download the data from all WIS2 Nodes providing Core data</w:t>
      </w:r>
    </w:p>
    <w:p>
      <w:pPr>
        <w:numPr>
          <w:ilvl w:val="0"/>
          <w:numId w:val="1043"/>
        </w:numPr>
      </w:pPr>
      <w:r>
        <w:t xml:space="preserve">Two (2) Global Discovery Catalogues: Each Global Discovery Catalogue connected to at least one (1) Global Broker</w:t>
      </w:r>
    </w:p>
    <w:p>
      <w:pPr>
        <w:numPr>
          <w:ilvl w:val="0"/>
          <w:numId w:val="1043"/>
        </w:numPr>
      </w:pPr>
      <w:r>
        <w:t xml:space="preserve">Two (2) Global Monitors: Each Global Monitor should scrape the metrics from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w:t>
      </w:r>
      <w:r>
        <w:t xml:space="preserve"> </w:t>
      </w:r>
      <w:r>
        <w:rPr>
          <w:i/>
        </w:rPr>
        <w:t xml:space="preserve">Manual on WIS</w:t>
      </w:r>
      <w:r>
        <w:t xml:space="preserve"> </w:t>
      </w:r>
      <w:r>
        <w:t xml:space="preserve">(WMO-No. 1060), Volume II,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145" w:name="X92a574e92bd468929fa857fcf361addb0e19130"/>
      <w:r>
        <w:t xml:space="preserve">Performance management and monitoring of a Global Service</w:t>
      </w:r>
      <w:bookmarkEnd w:id="145"/>
    </w:p>
    <w:p>
      <w:pPr>
        <w:pStyle w:val="Heading4"/>
      </w:pPr>
      <w:bookmarkStart w:id="146" w:name="X5e314926e6c38d8253e74ca9c7c0b4c5d26b707"/>
      <w:r>
        <w:t xml:space="preserve">Monitoring and metrics for WIS2 operations</w:t>
      </w:r>
      <w:bookmarkEnd w:id="146"/>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47"/>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148"/>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0"/>
      </w:r>
    </w:p>
    <w:p>
      <w:pPr>
        <w:pStyle w:val="Heading4"/>
      </w:pPr>
      <w:bookmarkStart w:id="152" w:name="X61b468b8bf7d4308bcaac71a7f66d738b5d312d"/>
      <w:r>
        <w:t xml:space="preserve">Service levels, performance indicators, and fair-usage policies</w:t>
      </w:r>
      <w:bookmarkEnd w:id="152"/>
    </w:p>
    <w:p>
      <w:pPr>
        <w:numPr>
          <w:ilvl w:val="0"/>
          <w:numId w:val="1044"/>
        </w:numPr>
      </w:pPr>
      <w:r>
        <w:t xml:space="preserve">Each WIS Centre operating a WIS2 Node will be responsible in achieving the highest possible level of service based on their resources and capabilities.</w:t>
      </w:r>
    </w:p>
    <w:p>
      <w:pPr>
        <w:numPr>
          <w:ilvl w:val="0"/>
          <w:numId w:val="104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4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44"/>
        </w:numPr>
      </w:pPr>
      <w:r>
        <w:t xml:space="preserve">A Global Broker:</w:t>
      </w:r>
    </w:p>
    <w:p>
      <w:pPr>
        <w:numPr>
          <w:ilvl w:val="1"/>
          <w:numId w:val="1045"/>
        </w:numPr>
      </w:pPr>
      <w:r>
        <w:t xml:space="preserve">should support a minimum of 200 WIS2 Nodes or Global Services</w:t>
      </w:r>
    </w:p>
    <w:p>
      <w:pPr>
        <w:numPr>
          <w:ilvl w:val="1"/>
          <w:numId w:val="1045"/>
        </w:numPr>
      </w:pPr>
      <w:r>
        <w:t xml:space="preserve">should support a minimum of 1000 subscribers.</w:t>
      </w:r>
    </w:p>
    <w:p>
      <w:pPr>
        <w:numPr>
          <w:ilvl w:val="1"/>
          <w:numId w:val="1045"/>
        </w:numPr>
      </w:pPr>
      <w:r>
        <w:t xml:space="preserve">should support processing of a minimum of 10000 messages per second</w:t>
      </w:r>
    </w:p>
    <w:p>
      <w:pPr>
        <w:numPr>
          <w:ilvl w:val="0"/>
          <w:numId w:val="1044"/>
        </w:numPr>
      </w:pPr>
      <w:r>
        <w:t xml:space="preserve">A Global Cache:</w:t>
      </w:r>
    </w:p>
    <w:p>
      <w:pPr>
        <w:numPr>
          <w:ilvl w:val="1"/>
          <w:numId w:val="1046"/>
        </w:numPr>
      </w:pPr>
      <w:r>
        <w:t xml:space="preserve">should support a mimimum of 100 GB of data in the cache</w:t>
      </w:r>
    </w:p>
    <w:p>
      <w:pPr>
        <w:numPr>
          <w:ilvl w:val="1"/>
          <w:numId w:val="1046"/>
        </w:numPr>
      </w:pPr>
      <w:r>
        <w:t xml:space="preserve">should support a minimum of 1000 simultaneous downloads</w:t>
      </w:r>
    </w:p>
    <w:p>
      <w:pPr>
        <w:numPr>
          <w:ilvl w:val="1"/>
          <w:numId w:val="1046"/>
        </w:numPr>
      </w:pPr>
      <w:r>
        <w:t xml:space="preserve">could limit the number of simultaneous connections from a user (known by its originating source IP) to 5</w:t>
      </w:r>
    </w:p>
    <w:p>
      <w:pPr>
        <w:numPr>
          <w:ilvl w:val="1"/>
          <w:numId w:val="1046"/>
        </w:numPr>
      </w:pPr>
      <w:r>
        <w:t xml:space="preserve">could limit the bandwidth usage of the service to 1Gb/s</w:t>
      </w:r>
    </w:p>
    <w:p>
      <w:pPr>
        <w:numPr>
          <w:ilvl w:val="0"/>
          <w:numId w:val="1044"/>
        </w:numPr>
      </w:pPr>
      <w:r>
        <w:t xml:space="preserve">A Global Monitor:</w:t>
      </w:r>
    </w:p>
    <w:p>
      <w:pPr>
        <w:numPr>
          <w:ilvl w:val="1"/>
          <w:numId w:val="1047"/>
        </w:numPr>
      </w:pPr>
      <w:r>
        <w:t xml:space="preserve">should support a minimum of 50 metrics providers</w:t>
      </w:r>
    </w:p>
    <w:p>
      <w:pPr>
        <w:numPr>
          <w:ilvl w:val="1"/>
          <w:numId w:val="1047"/>
        </w:numPr>
      </w:pPr>
      <w:r>
        <w:t xml:space="preserve">should support 200 simultaneous access to the dashboard</w:t>
      </w:r>
    </w:p>
    <w:p>
      <w:pPr>
        <w:numPr>
          <w:ilvl w:val="1"/>
          <w:numId w:val="1047"/>
        </w:numPr>
      </w:pPr>
      <w:r>
        <w:t xml:space="preserve">could limit the bandwidth usage of the service to 100Mb/s</w:t>
      </w:r>
    </w:p>
    <w:p>
      <w:pPr>
        <w:numPr>
          <w:ilvl w:val="0"/>
          <w:numId w:val="1044"/>
        </w:numPr>
      </w:pPr>
      <w:r>
        <w:t xml:space="preserve">A Global Discovery Catalogue:</w:t>
      </w:r>
    </w:p>
    <w:p>
      <w:pPr>
        <w:numPr>
          <w:ilvl w:val="1"/>
          <w:numId w:val="1048"/>
        </w:numPr>
      </w:pPr>
      <w:r>
        <w:t xml:space="preserve">should support a minimum of 20000 metadata records</w:t>
      </w:r>
    </w:p>
    <w:p>
      <w:pPr>
        <w:numPr>
          <w:ilvl w:val="1"/>
          <w:numId w:val="1048"/>
        </w:numPr>
      </w:pPr>
      <w:r>
        <w:t xml:space="preserve">should support a minimum of 50 requests per second to the API endpoint</w:t>
      </w:r>
    </w:p>
    <w:p>
      <w:pPr>
        <w:pStyle w:val="Heading4"/>
      </w:pPr>
      <w:bookmarkStart w:id="153" w:name="X9f81c9ccadcb1a687a8114ac1ba77ad17867978"/>
      <w:r>
        <w:t xml:space="preserve">Metrics for Global Services</w:t>
      </w:r>
      <w:bookmarkEnd w:id="153"/>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4" w:name="Xe0eab1aae4f0a18f4dcba102bbc5cb0f1021ecf"/>
      <w:r>
        <w:t xml:space="preserve">Global Broker</w:t>
      </w:r>
      <w:bookmarkEnd w:id="154"/>
    </w:p>
    <w:p>
      <w:pPr>
        <w:pStyle w:val="Heading4"/>
      </w:pPr>
      <w:bookmarkStart w:id="155" w:name="Xffd6385210ddd18d3a42c4b75583b265bf38983"/>
      <w:r>
        <w:t xml:space="preserve">Technical considerations</w:t>
      </w:r>
      <w:bookmarkEnd w:id="155"/>
    </w:p>
    <w:p>
      <w:pPr>
        <w:numPr>
          <w:ilvl w:val="0"/>
          <w:numId w:val="1049"/>
        </w:numPr>
      </w:pPr>
      <w:r>
        <w:t xml:space="preserve">As detailed above, there will be at least three (3) instances of Global Broker to ensure highly available, low latency global provision of messages within WIS.</w:t>
      </w:r>
    </w:p>
    <w:p>
      <w:pPr>
        <w:numPr>
          <w:ilvl w:val="0"/>
          <w:numId w:val="1049"/>
        </w:numPr>
      </w:pPr>
      <w:r>
        <w:t xml:space="preserve">A Global Broker instance subscribes to messages from WIS2 Nodes and other Global Services. The Global Broker should aim at subscribing to all WIS Centres. If this is not possible, for whatever reason, the Global Broker should inform WMO Secretariat so that situation is documented.</w:t>
      </w:r>
    </w:p>
    <w:p>
      <w:pPr>
        <w:numPr>
          <w:ilvl w:val="0"/>
          <w:numId w:val="1049"/>
        </w:numPr>
      </w:pPr>
      <w:r>
        <w:t xml:space="preserve">Every WIS2 Node or Global Service must have subscriptions from at least two Global Brokers.</w:t>
      </w:r>
    </w:p>
    <w:p>
      <w:pPr>
        <w:numPr>
          <w:ilvl w:val="0"/>
          <w:numId w:val="1049"/>
        </w:numPr>
      </w:pPr>
      <w:r>
        <w:t xml:space="preserve">For full global coverage, a Global Broker instance will subscribe to messages from at least two (2) other Global Brokers.</w:t>
      </w:r>
    </w:p>
    <w:p>
      <w:pPr>
        <w:numPr>
          <w:ilvl w:val="0"/>
          <w:numId w:val="1049"/>
        </w:numPr>
      </w:pPr>
      <w:r>
        <w:t xml:space="preserve">When subscribing to messages from WIS2 Node and other Global Services, a Global Broker must authenticate using the valid credentials managed by the WIS Centre and available at WMO Secretariat.</w:t>
      </w:r>
    </w:p>
    <w:p>
      <w:pPr>
        <w:numPr>
          <w:ilvl w:val="0"/>
          <w:numId w:val="1049"/>
        </w:numPr>
      </w:pPr>
      <w:r>
        <w:t xml:space="preserve">A Global Broker is built around two software components:</w:t>
      </w:r>
    </w:p>
    <w:p>
      <w:pPr>
        <w:numPr>
          <w:ilvl w:val="1"/>
          <w:numId w:val="105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50"/>
        </w:numPr>
      </w:pPr>
      <w:r>
        <w:t xml:space="preserve">Additional features including anti-loop detection, notification message format compliance, validation of the published topic, and provision of metrics are required.</w:t>
      </w:r>
    </w:p>
    <w:p>
      <w:pPr>
        <w:numPr>
          <w:ilvl w:val="0"/>
          <w:numId w:val="1049"/>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9"/>
        </w:numPr>
      </w:pPr>
      <w:r>
        <w:t xml:space="preserve">A Global Broker will validate notification messages against the standard format (see Notification message format and structure), discarding non-compliant messages and raising an alert. The metric</w:t>
      </w:r>
      <w:r>
        <w:t xml:space="preserve"> </w:t>
      </w:r>
      <w:r>
        <w:rPr>
          <w:rStyle w:val="VerbatimChar"/>
        </w:rPr>
        <w:t xml:space="preserve">wmo_wis2_gb_messages_invalid_total</w:t>
      </w:r>
      <w:r>
        <w:t xml:space="preserve"> </w:t>
      </w:r>
      <w:r>
        <w:t xml:space="preserve">will be increased by 1.</w:t>
      </w:r>
    </w:p>
    <w:p>
      <w:pPr>
        <w:numPr>
          <w:ilvl w:val="0"/>
          <w:numId w:val="104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9"/>
        </w:numPr>
      </w:pPr>
      <w:r>
        <w:t xml:space="preserve">All aboved defined metrics will be made avalaible on HTTPS endpoints that the Global Monitor will ingest from regularly.</w:t>
      </w:r>
    </w:p>
    <w:p>
      <w:pPr>
        <w:numPr>
          <w:ilvl w:val="0"/>
          <w:numId w:val="1049"/>
        </w:numPr>
      </w:pPr>
      <w:r>
        <w:t xml:space="preserve">As a convention Global Broker centre-id will be</w:t>
      </w:r>
      <w:r>
        <w:t xml:space="preserve"> </w:t>
      </w:r>
      <w:r>
        <w:rPr>
          <w:rStyle w:val="VerbatimChar"/>
        </w:rPr>
        <w:t xml:space="preserve">tld-{centre-name}-global-broker</w:t>
      </w:r>
      <w:r>
        <w:t xml:space="preserve">.</w:t>
      </w:r>
    </w:p>
    <w:p>
      <w:pPr>
        <w:numPr>
          <w:ilvl w:val="0"/>
          <w:numId w:val="104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156" w:name="X743200c472f9d0375e2986f5890dff3da599269"/>
      <w:r>
        <w:t xml:space="preserve">Global Cache</w:t>
      </w:r>
      <w:bookmarkEnd w:id="156"/>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157" w:name="X786d3f3a1e3b20eb2f4f60f868fc4d4fcbe1071"/>
      <w:r>
        <w:t xml:space="preserve">Technical considerations</w:t>
      </w:r>
      <w:bookmarkEnd w:id="157"/>
    </w:p>
    <w:p>
      <w:pPr>
        <w:numPr>
          <w:ilvl w:val="0"/>
          <w:numId w:val="1051"/>
        </w:numPr>
      </w:pPr>
      <w:r>
        <w:t xml:space="preserve">A Global Cache is built around three software components:</w:t>
      </w:r>
    </w:p>
    <w:p>
      <w:pPr>
        <w:numPr>
          <w:ilvl w:val="1"/>
          <w:numId w:val="1052"/>
        </w:numPr>
      </w:pPr>
      <w:r>
        <w:t xml:space="preserve">A highly available data server allowing data consumers to download cache resources with high bandwidth and low latency.</w:t>
      </w:r>
    </w:p>
    <w:p>
      <w:pPr>
        <w:numPr>
          <w:ilvl w:val="1"/>
          <w:numId w:val="1052"/>
        </w:numPr>
      </w:pPr>
      <w:r>
        <w:t xml:space="preserve">A message broker implementing both MQTTv3.1.1 and MQTTv5 for publishing notification messages about resources that are available from the Global Cache</w:t>
      </w:r>
    </w:p>
    <w:p>
      <w:pPr>
        <w:numPr>
          <w:ilvl w:val="1"/>
          <w:numId w:val="105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51"/>
        </w:numPr>
      </w:pPr>
      <w:r>
        <w:t xml:space="preserve">The Global Cache will aim at containing copies of real-time and near real-time data designated as "core" within the WMO Unified Data Policy, Resolution 1 (Cg-Ext(2021)).</w:t>
      </w:r>
    </w:p>
    <w:p>
      <w:pPr>
        <w:numPr>
          <w:ilvl w:val="0"/>
          <w:numId w:val="1051"/>
        </w:numPr>
      </w:pPr>
      <w:r>
        <w:t xml:space="preserve">A Global Cache instance will host data objects copied from NC/DCPCs.</w:t>
      </w:r>
    </w:p>
    <w:p>
      <w:pPr>
        <w:numPr>
          <w:ilvl w:val="0"/>
          <w:numId w:val="1051"/>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w:t>
      </w:r>
      <w:r>
        <w:t xml:space="preserve">(WMO-No. 1060), Volume II, Appendix E: WIS2 Notification Message).</w:t>
      </w:r>
    </w:p>
    <w:p>
      <w:pPr>
        <w:numPr>
          <w:ilvl w:val="0"/>
          <w:numId w:val="1051"/>
        </w:numPr>
      </w:pPr>
      <w:r>
        <w:t xml:space="preserve">A Global Cache instance will use the standard topic structure in their local message brokers (see</w:t>
      </w:r>
      <w:r>
        <w:t xml:space="preserve"> </w:t>
      </w:r>
      <w:r>
        <w:rPr>
          <w:i/>
        </w:rPr>
        <w:t xml:space="preserve">Manual on WIS</w:t>
      </w:r>
      <w:r>
        <w:t xml:space="preserve"> </w:t>
      </w:r>
      <w:r>
        <w:t xml:space="preserve">(WMO-No. 1060), Volume II, Appendix D: WIS2 Topic Hierarchy</w:t>
      </w:r>
      <w:r>
        <w:t xml:space="preserve"> </w:t>
      </w:r>
      <w:r>
        <w:t xml:space="preserve">).</w:t>
      </w:r>
    </w:p>
    <w:p>
      <w:pPr>
        <w:numPr>
          <w:ilvl w:val="0"/>
          <w:numId w:val="1051"/>
        </w:numPr>
      </w:pPr>
      <w:r>
        <w:t xml:space="preserve">A Global Cache instance will publish on topic</w:t>
      </w:r>
      <w:r>
        <w:t xml:space="preserve"> </w:t>
      </w:r>
      <w:r>
        <w:rPr>
          <w:rStyle w:val="VerbatimChar"/>
        </w:rPr>
        <w:t xml:space="preserve">cache/a/wis2/…​</w:t>
      </w:r>
      <w:r>
        <w:t xml:space="preserve">.</w:t>
      </w:r>
    </w:p>
    <w:p>
      <w:pPr>
        <w:numPr>
          <w:ilvl w:val="0"/>
          <w:numId w:val="1051"/>
        </w:numPr>
      </w:pPr>
      <w:r>
        <w:t xml:space="preserve">There will be multiple Global Cache instances to ensure highly available, low latency global provision of real-time and near real-time "core" data within WIS2.</w:t>
      </w:r>
    </w:p>
    <w:p>
      <w:pPr>
        <w:numPr>
          <w:ilvl w:val="0"/>
          <w:numId w:val="105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5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5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5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5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51"/>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5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their GISC to remedy the issue.</w:t>
      </w:r>
    </w:p>
    <w:p>
      <w:pPr>
        <w:numPr>
          <w:ilvl w:val="0"/>
          <w:numId w:val="105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5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5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5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58" w:name="Xc6a761dae7c2ab8ca53d55e2bb6a1eee7d9f700"/>
      <w:r>
        <w:t xml:space="preserve">Practices and procedures</w:t>
      </w:r>
      <w:bookmarkEnd w:id="158"/>
    </w:p>
    <w:p>
      <w:pPr>
        <w:numPr>
          <w:ilvl w:val="0"/>
          <w:numId w:val="105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3"/>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59"/>
      </w:r>
    </w:p>
    <w:p>
      <w:pPr>
        <w:numPr>
          <w:ilvl w:val="0"/>
          <w:numId w:val="1053"/>
        </w:numPr>
      </w:pPr>
      <w:r>
        <w:t xml:space="preserve">A Global Cache shall retain the data and metadata they receive for a minimum period of 24 hours. Requirements relating varying retention times for different types of data may be added later.</w:t>
      </w:r>
    </w:p>
    <w:p>
      <w:pPr>
        <w:numPr>
          <w:ilvl w:val="0"/>
          <w:numId w:val="1053"/>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4"/>
        </w:numPr>
      </w:pPr>
      <w:r>
        <w:t xml:space="preserve">If the message contains the property</w:t>
      </w:r>
      <w:r>
        <w:t xml:space="preserve"> </w:t>
      </w:r>
      <w:r>
        <w:rPr>
          <w:rStyle w:val="VerbatimChar"/>
        </w:rPr>
        <w:t xml:space="preserve">"properties.cache": false</w:t>
      </w:r>
    </w:p>
    <w:p>
      <w:pPr>
        <w:numPr>
          <w:ilvl w:val="2"/>
          <w:numId w:val="1055"/>
        </w:numPr>
      </w:pPr>
      <w:r>
        <w:t xml:space="preserve">Republish the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4"/>
        </w:numPr>
      </w:pPr>
      <w:r>
        <w:t xml:space="preserve">else</w:t>
      </w:r>
    </w:p>
    <w:p>
      <w:pPr>
        <w:numPr>
          <w:ilvl w:val="2"/>
          <w:numId w:val="1056"/>
        </w:numPr>
      </w:pPr>
      <w:r>
        <w:t xml:space="preserve">Maintain a list of data_ids already downloaded.</w:t>
      </w:r>
    </w:p>
    <w:p>
      <w:pPr>
        <w:numPr>
          <w:ilvl w:val="2"/>
          <w:numId w:val="1056"/>
        </w:numPr>
      </w:pPr>
      <w:r>
        <w:t xml:space="preserve">Verify if the message points to new or updated data by comparing the pubtime value of the notification message with the list of data_ids.</w:t>
      </w:r>
    </w:p>
    <w:p>
      <w:pPr>
        <w:numPr>
          <w:ilvl w:val="2"/>
          <w:numId w:val="1056"/>
        </w:numPr>
      </w:pPr>
      <w:r>
        <w:t xml:space="preserve">If the message is new or updated</w:t>
      </w:r>
    </w:p>
    <w:p>
      <w:pPr>
        <w:numPr>
          <w:ilvl w:val="3"/>
          <w:numId w:val="105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7"/>
        </w:numPr>
      </w:pPr>
      <w:r>
        <w:t xml:space="preserve">If the message contains an integrity value for the data, verify the integrity of the data.</w:t>
      </w:r>
    </w:p>
    <w:p>
      <w:pPr>
        <w:numPr>
          <w:ilvl w:val="3"/>
          <w:numId w:val="1057"/>
        </w:numPr>
      </w:pPr>
      <w:r>
        <w:t xml:space="preserve">If data is downloaded successfully, move the data to the HTTP endpoint of the Global Cache.</w:t>
      </w:r>
    </w:p>
    <w:p>
      <w:pPr>
        <w:numPr>
          <w:ilvl w:val="3"/>
          <w:numId w:val="1057"/>
        </w:numPr>
      </w:pPr>
      <w:r>
        <w:t xml:space="preserve">Wait until the data becomes available at the endpoint.</w:t>
      </w:r>
    </w:p>
    <w:p>
      <w:pPr>
        <w:numPr>
          <w:ilvl w:val="3"/>
          <w:numId w:val="105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6"/>
        </w:numPr>
      </w:pPr>
      <w:r>
        <w:t xml:space="preserve">else</w:t>
      </w:r>
    </w:p>
    <w:p>
      <w:pPr>
        <w:numPr>
          <w:ilvl w:val="3"/>
          <w:numId w:val="1058"/>
        </w:numPr>
      </w:pPr>
      <w:r>
        <w:t xml:space="preserve">Drop the messages for data already present on the Cache.</w:t>
      </w:r>
    </w:p>
    <w:p>
      <w:pPr>
        <w:numPr>
          <w:ilvl w:val="0"/>
          <w:numId w:val="105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3"/>
        </w:numPr>
      </w:pPr>
      <w:r>
        <w:t xml:space="preserve">A Global Cache shall provide the metric defined in this Guide at an http(s) endpoint</w:t>
      </w:r>
    </w:p>
    <w:p>
      <w:pPr>
        <w:numPr>
          <w:ilvl w:val="0"/>
          <w:numId w:val="1053"/>
        </w:numPr>
      </w:pPr>
      <w:r>
        <w:t xml:space="preserve">A Global Cache should make sure that data is downloaded in parallel and downloads are not blocking each other</w:t>
      </w:r>
    </w:p>
    <w:p>
      <w:pPr>
        <w:numPr>
          <w:ilvl w:val="0"/>
          <w:numId w:val="105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160" w:name="X98dc1b7aeea0d58f8b8d679247b663e1f86c3af"/>
      <w:r>
        <w:t xml:space="preserve">Global Discovery Catalogue</w:t>
      </w:r>
      <w:bookmarkEnd w:id="160"/>
    </w:p>
    <w:p>
      <w:pPr>
        <w:pStyle w:val="Heading4"/>
      </w:pPr>
      <w:bookmarkStart w:id="161" w:name="Xfb2e666548741befe53fbe311ab83706f224432"/>
      <w:r>
        <w:t xml:space="preserve">Technical considerations</w:t>
      </w:r>
      <w:bookmarkEnd w:id="161"/>
    </w:p>
    <w:p>
      <w:pPr>
        <w:numPr>
          <w:ilvl w:val="0"/>
          <w:numId w:val="105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9"/>
        </w:numPr>
      </w:pPr>
      <w:r>
        <w:t xml:space="preserve">The Global Discovery Catalogue implements the OGC API – Records – Part 1: Core standard</w:t>
      </w:r>
      <w:r>
        <w:rPr>
          <w:rStyle w:val="FootnoteReference"/>
        </w:rPr>
        <w:footnoteReference w:id="162"/>
      </w:r>
      <w:r>
        <w:t xml:space="preserve">, adhering to the following conformance classes and their dependencies:</w:t>
      </w:r>
    </w:p>
    <w:p>
      <w:pPr>
        <w:numPr>
          <w:ilvl w:val="1"/>
          <w:numId w:val="1060"/>
        </w:numPr>
      </w:pPr>
      <w:r>
        <w:t xml:space="preserve">Searchable Catalog (Deployment)</w:t>
      </w:r>
    </w:p>
    <w:p>
      <w:pPr>
        <w:numPr>
          <w:ilvl w:val="1"/>
          <w:numId w:val="1060"/>
        </w:numPr>
      </w:pPr>
      <w:r>
        <w:t xml:space="preserve">Searchable Catalog - Sorting (Deployment)</w:t>
      </w:r>
    </w:p>
    <w:p>
      <w:pPr>
        <w:numPr>
          <w:ilvl w:val="1"/>
          <w:numId w:val="1060"/>
        </w:numPr>
      </w:pPr>
      <w:r>
        <w:t xml:space="preserve">Searchable Catalog - Filtering (Deployment)</w:t>
      </w:r>
    </w:p>
    <w:p>
      <w:pPr>
        <w:numPr>
          <w:ilvl w:val="1"/>
          <w:numId w:val="1060"/>
        </w:numPr>
      </w:pPr>
      <w:r>
        <w:t xml:space="preserve">JSON (Building Block)</w:t>
      </w:r>
    </w:p>
    <w:p>
      <w:pPr>
        <w:numPr>
          <w:ilvl w:val="1"/>
          <w:numId w:val="1060"/>
        </w:numPr>
      </w:pPr>
      <w:r>
        <w:t xml:space="preserve">HTML (Building Block)</w:t>
      </w:r>
    </w:p>
    <w:p>
      <w:pPr>
        <w:numPr>
          <w:ilvl w:val="0"/>
          <w:numId w:val="105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9"/>
        </w:numPr>
      </w:pPr>
      <w:r>
        <w:t xml:space="preserve">The Global Discovery Catalogue advertises the availability of Datasets and how to access them or subscribe to updates.</w:t>
      </w:r>
    </w:p>
    <w:p>
      <w:pPr>
        <w:numPr>
          <w:ilvl w:val="0"/>
          <w:numId w:val="1059"/>
        </w:numPr>
      </w:pPr>
      <w:r>
        <w:t xml:space="preserve">The Global Discovery Catalogue does not advertise or list the availability of individual Data Objects that comprise a Dataset (i.e. data files).</w:t>
      </w:r>
    </w:p>
    <w:p>
      <w:pPr>
        <w:numPr>
          <w:ilvl w:val="0"/>
          <w:numId w:val="1059"/>
        </w:numPr>
      </w:pPr>
      <w:r>
        <w:t xml:space="preserve">A single Global Discovery Catalogue instance is sufficient for WIS2.</w:t>
      </w:r>
    </w:p>
    <w:p>
      <w:pPr>
        <w:numPr>
          <w:ilvl w:val="0"/>
          <w:numId w:val="1059"/>
        </w:numPr>
      </w:pPr>
      <w:r>
        <w:t xml:space="preserve">Multiple Global Discovery Catalogue instances may be deployed for resilience.</w:t>
      </w:r>
    </w:p>
    <w:p>
      <w:pPr>
        <w:numPr>
          <w:ilvl w:val="0"/>
          <w:numId w:val="105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9"/>
        </w:numPr>
      </w:pPr>
      <w:r>
        <w:t xml:space="preserve">A Global Discovery Catalogue is populated with discovery metadata records from a Global Cache instance, receiving messages about the availability of discovery metadata records via a Global Broker.</w:t>
      </w:r>
    </w:p>
    <w:p>
      <w:pPr>
        <w:numPr>
          <w:ilvl w:val="0"/>
          <w:numId w:val="105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w:t>
      </w:r>
      <w:r>
        <w:t xml:space="preserve">(WMO-No. 1060), Volume II, Appendix F: WMO Core Metadata Profile 2)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w:t>
      </w:r>
      <w:r>
        <w:t xml:space="preserve">(WMO-No. 1060), Volume II, Appendix D: WIS2 Topic Hierarchy), to ensure that discovery metadata is published by the authoritative orgnanization.</w:t>
      </w:r>
    </w:p>
    <w:p>
      <w:pPr>
        <w:numPr>
          <w:ilvl w:val="0"/>
          <w:numId w:val="1059"/>
        </w:numPr>
      </w:pPr>
      <w:r>
        <w:t xml:space="preserve">A Global Discovery Catalogue will validate discovery metadata records against the WMO Core Metadata Profile 2 (WCMP2). Valid WCMP2 records will be ingested into the catalogue. Invalid or malformed records will be discarded and reported to the Global Monitor against the centre identifier associated with the discovery metadata record.</w:t>
      </w:r>
    </w:p>
    <w:p>
      <w:pPr>
        <w:numPr>
          <w:ilvl w:val="0"/>
          <w:numId w:val="105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9"/>
        </w:numPr>
      </w:pPr>
      <w:r>
        <w:t xml:space="preserve">A Global Discovery Catalogue will remove discovery metadata that is marked for deletion as specified in the data notification message.</w:t>
      </w:r>
    </w:p>
    <w:p>
      <w:pPr>
        <w:numPr>
          <w:ilvl w:val="0"/>
          <w:numId w:val="1059"/>
        </w:numPr>
      </w:pPr>
      <w:r>
        <w:t xml:space="preserve">A Global Discovery Catalogue should apply faceting capability as specified in the cataloguing considerations of the WCMP2 specification, as defined in OGC API - Records.</w:t>
      </w:r>
    </w:p>
    <w:p>
      <w:pPr>
        <w:numPr>
          <w:ilvl w:val="0"/>
          <w:numId w:val="105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9"/>
        </w:numPr>
      </w:pPr>
      <w:r>
        <w:t xml:space="preserve">A Global Discovery Catalogue will generate and store a zipfile of all WCMP2 records once a day, that will be made be accessible via HTTP.</w:t>
      </w:r>
    </w:p>
    <w:p>
      <w:pPr>
        <w:numPr>
          <w:ilvl w:val="0"/>
          <w:numId w:val="105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9"/>
        </w:numPr>
      </w:pPr>
      <w:r>
        <w:t xml:space="preserve">A Global Discovery Catalogue may initialize itself (cold start) from a zipfile of all WCMP2 records published.</w:t>
      </w:r>
    </w:p>
    <w:p>
      <w:pPr>
        <w:numPr>
          <w:ilvl w:val="0"/>
          <w:numId w:val="105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3" w:name="X6065a0bce40360a3246dd1925c599c3bfa3e21a"/>
      <w:r>
        <w:t xml:space="preserve">Global Discovery Catalogue reference implementation: wis2-gdc</w:t>
      </w:r>
      <w:bookmarkEnd w:id="163"/>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61"/>
        </w:numPr>
      </w:pPr>
      <w:r>
        <w:t xml:space="preserve">discovery metadata subscription and publication from the Global Broker</w:t>
      </w:r>
    </w:p>
    <w:p>
      <w:pPr>
        <w:numPr>
          <w:ilvl w:val="0"/>
          <w:numId w:val="1061"/>
        </w:numPr>
      </w:pPr>
      <w:r>
        <w:t xml:space="preserve">discovery metadata download the Global Cache</w:t>
      </w:r>
    </w:p>
    <w:p>
      <w:pPr>
        <w:numPr>
          <w:ilvl w:val="0"/>
          <w:numId w:val="1061"/>
        </w:numPr>
      </w:pPr>
      <w:r>
        <w:t xml:space="preserve">discovery metadata validation, ingest and publication</w:t>
      </w:r>
    </w:p>
    <w:p>
      <w:pPr>
        <w:numPr>
          <w:ilvl w:val="0"/>
          <w:numId w:val="1061"/>
        </w:numPr>
      </w:pPr>
      <w:r>
        <w:t xml:space="preserve">WCMP2 compliance</w:t>
      </w:r>
    </w:p>
    <w:p>
      <w:pPr>
        <w:numPr>
          <w:ilvl w:val="0"/>
          <w:numId w:val="1061"/>
        </w:numPr>
      </w:pPr>
      <w:r>
        <w:t xml:space="preserve">quality assessment (KPIs)</w:t>
      </w:r>
    </w:p>
    <w:p>
      <w:pPr>
        <w:numPr>
          <w:ilvl w:val="0"/>
          <w:numId w:val="1061"/>
        </w:numPr>
      </w:pPr>
      <w:r>
        <w:t xml:space="preserve">OGC API - Records - Part 1: Core compliance</w:t>
      </w:r>
    </w:p>
    <w:p>
      <w:pPr>
        <w:numPr>
          <w:ilvl w:val="0"/>
          <w:numId w:val="1061"/>
        </w:numPr>
      </w:pPr>
      <w:r>
        <w:t xml:space="preserve">metrics reporting</w:t>
      </w:r>
    </w:p>
    <w:p>
      <w:pPr>
        <w:numPr>
          <w:ilvl w:val="0"/>
          <w:numId w:val="106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164">
        <w:r>
          <w:rPr>
            <w:rStyle w:val="Hyperlink"/>
          </w:rPr>
          <w:t xml:space="preserve">https://github.com/wmo-im/wis2-gdc</w:t>
        </w:r>
      </w:hyperlink>
      <w:r>
        <w:t xml:space="preserve">.</w:t>
      </w:r>
    </w:p>
    <w:p>
      <w:pPr>
        <w:pStyle w:val="Heading3"/>
      </w:pPr>
      <w:bookmarkStart w:id="165" w:name="Xcc01d2686e89c463d7923a65ea7a9e03e587af8"/>
      <w:r>
        <w:t xml:space="preserve">Global Monitor</w:t>
      </w:r>
      <w:bookmarkEnd w:id="165"/>
    </w:p>
    <w:p>
      <w:pPr>
        <w:pStyle w:val="Heading4"/>
      </w:pPr>
      <w:bookmarkStart w:id="166" w:name="Xd139f35e1c8e20bb300c6e70a06e779eeaccbe8"/>
      <w:r>
        <w:t xml:space="preserve">Technical Considerations</w:t>
      </w:r>
      <w:bookmarkEnd w:id="166"/>
    </w:p>
    <w:p>
      <w:pPr>
        <w:numPr>
          <w:ilvl w:val="0"/>
          <w:numId w:val="1062"/>
        </w:numPr>
      </w:pPr>
      <w:r>
        <w:t xml:space="preserve">WIS standardises how system performance and data availability metrics are published from WIS2 Nodes and Global Services.</w:t>
      </w:r>
    </w:p>
    <w:p>
      <w:pPr>
        <w:numPr>
          <w:ilvl w:val="0"/>
          <w:numId w:val="106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62"/>
        </w:numPr>
      </w:pPr>
      <w:r>
        <w:t xml:space="preserve">The Global Monitor will collect metrics as defined in the OpenMetrics standard.</w:t>
      </w:r>
    </w:p>
    <w:p>
      <w:pPr>
        <w:numPr>
          <w:ilvl w:val="0"/>
          <w:numId w:val="1062"/>
        </w:numPr>
      </w:pPr>
      <w:r>
        <w:t xml:space="preserve">The Global Monitor will monitor the 'health' (i.e., performance) of components at NC/DCPC as well as Global Service instances.</w:t>
      </w:r>
    </w:p>
    <w:p>
      <w:pPr>
        <w:numPr>
          <w:ilvl w:val="0"/>
          <w:numId w:val="1062"/>
        </w:numPr>
      </w:pPr>
      <w:r>
        <w:t xml:space="preserve">The Global Monitor will provide a Web-based ‘dashboard’ that displays the WIS2 system performance and data availability.</w:t>
      </w:r>
    </w:p>
    <w:p>
      <w:pPr>
        <w:numPr>
          <w:ilvl w:val="0"/>
          <w:numId w:val="1062"/>
        </w:numPr>
      </w:pPr>
      <w:r>
        <w:t xml:space="preserve">As a convention Global Monitor centre-id will be</w:t>
      </w:r>
      <w:r>
        <w:t xml:space="preserve"> </w:t>
      </w:r>
      <w:r>
        <w:rPr>
          <w:rStyle w:val="VerbatimChar"/>
        </w:rPr>
        <w:t xml:space="preserve">tld-{centre-name}-global-monitor</w:t>
      </w:r>
      <w:r>
        <w:t xml:space="preserve">.</w:t>
      </w:r>
    </w:p>
    <w:p>
      <w:pPr>
        <w:numPr>
          <w:ilvl w:val="0"/>
          <w:numId w:val="1000"/>
        </w:numPr>
        <w:pStyle w:val="SourceCode"/>
      </w:pPr>
      <w:r>
        <w:rPr>
          <w:rStyle w:val="VerbatimChar"/>
        </w:rPr>
        <w:t xml:space="preserve">The main task of the Global Monitor is to regularly query the provided metrics from the relevant WIS2 entities, aggregate and process the data and then provide the results to the end user in a suitable presentation.</w:t>
      </w:r>
    </w:p>
    <w:p>
      <w:pPr>
        <w:pStyle w:val="Heading2"/>
      </w:pPr>
      <w:bookmarkStart w:id="167" w:name="Xeeabc229dc8912ba5f974878e5a5a11961b3b62"/>
      <w:r>
        <w:t xml:space="preserve">Operations</w:t>
      </w:r>
      <w:bookmarkEnd w:id="167"/>
    </w:p>
    <w:p>
      <w:pPr>
        <w:pStyle w:val="Heading3"/>
      </w:pPr>
      <w:bookmarkStart w:id="168" w:name="X5c617aa2ee6751c4b95283e47cb4b5ee7ac3c61"/>
      <w:r>
        <w:t xml:space="preserve">Interoperability with external systems</w:t>
      </w:r>
      <w:bookmarkEnd w:id="168"/>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69" w:name="X9a4ce0d19d67477e2e98a434de760aa481811e6"/>
      <w:r>
        <w:t xml:space="preserve">Publishing meteorological data through WIS2 into ICAO SWIM</w:t>
      </w:r>
      <w:bookmarkEnd w:id="169"/>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(System Wide Information Management) is the ICAO</w:t>
      </w:r>
      <w:r>
        <w:t xml:space="preserve"> </w:t>
      </w:r>
      <w:r>
        <w:t xml:space="preserve">initiative to harmonize the provision of aeronautical, meteorological and flight</w:t>
      </w:r>
      <w:r>
        <w:t xml:space="preserve"> </w:t>
      </w:r>
      <w:r>
        <w:t xml:space="preserve">information to support air traffic management (ATM).</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w:t>
      </w:r>
      <w:r>
        <w:t xml:space="preserve">(WMO-No.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w:t>
      </w:r>
      <w:r>
        <w:rPr>
          <w:rStyle w:val="FootnoteReference"/>
        </w:rPr>
        <w:footnoteReference w:id="170"/>
      </w:r>
      <w:r>
        <w:t xml:space="preserve">.</w:t>
      </w:r>
    </w:p>
    <w:p>
      <w:pPr>
        <w:pStyle w:val="BodyText"/>
      </w:pPr>
      <w:r>
        <w:t xml:space="preserve">During the WIS2 transition phase (2025-2030), meteorological data published</w:t>
      </w:r>
      <w:r>
        <w:t xml:space="preserve"> </w:t>
      </w:r>
      <w:r>
        <w:t xml:space="preserve">via WIS2 will automatically be published to the GTS via the WIS2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71"/>
            </w:r>
          </w:p>
        </w:tc>
      </w:tr>
    </w:tbl>
    <w:p>
      <w:pPr>
        <w:pStyle w:val="BodyText"/>
      </w:pPr>
      <w:r>
        <w:t xml:space="preserve">An organisation (e.g.,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3"/>
        </w:numPr>
      </w:pPr>
      <w:r>
        <w:t xml:space="preserve">Mechanisms used by SWIM to discover service providers and services.</w:t>
      </w:r>
    </w:p>
    <w:p>
      <w:pPr>
        <w:numPr>
          <w:ilvl w:val="0"/>
          <w:numId w:val="1063"/>
        </w:numPr>
      </w:pPr>
      <w:r>
        <w:t xml:space="preserve">Specification of the SWIM data message.</w:t>
      </w:r>
    </w:p>
    <w:p>
      <w:pPr>
        <w:numPr>
          <w:ilvl w:val="0"/>
          <w:numId w:val="1063"/>
        </w:numPr>
      </w:pPr>
      <w:r>
        <w:t xml:space="preserve">AMQP message broker configuration.</w:t>
      </w:r>
    </w:p>
    <w:p>
      <w:pPr>
        <w:numPr>
          <w:ilvl w:val="0"/>
          <w:numId w:val="1063"/>
        </w:numPr>
      </w:pPr>
      <w:r>
        <w:t xml:space="preserve">Operation, logging and monitoring.</w:t>
      </w:r>
    </w:p>
    <w:p>
      <w:pPr>
        <w:numPr>
          <w:ilvl w:val="0"/>
          <w:numId w:val="106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2" w:name="X14ff1e968629101d51c4e96198c1e3ef5ed75df"/>
      <w:r>
        <w:t xml:space="preserve">WIS2 to SWIM Gateway</w:t>
      </w:r>
      <w:bookmarkEnd w:id="172"/>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an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3"/>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can operate as an "adapter" between WIS2 and SWIM by pulling</w:t>
      </w:r>
      <w:r>
        <w:t xml:space="preserve"> </w:t>
      </w:r>
      <w:r>
        <w:t xml:space="preserve">the requisite meteorological data from WIS2 and re-publishing it</w:t>
      </w:r>
      <w:r>
        <w:t xml:space="preserve"> </w:t>
      </w:r>
      <w:r>
        <w:t xml:space="preserve">to SWIM.</w:t>
      </w:r>
    </w:p>
    <w:p>
      <w:pPr>
        <w:pStyle w:val="Heading5"/>
      </w:pPr>
      <w:bookmarkStart w:id="174" w:name="X32503eef144b6f9e5340fc09f6b6729dde1508a"/>
      <w:r>
        <w:t xml:space="preserve">Data types and format</w:t>
      </w:r>
      <w:bookmarkEnd w:id="174"/>
    </w:p>
    <w:p>
      <w:pPr>
        <w:pStyle w:val="FirstParagraph"/>
      </w:pPr>
      <w:r>
        <w:t xml:space="preserve">Specifications for aeronautical meteorological information are provided in ICAO</w:t>
      </w:r>
      <w:r>
        <w:t xml:space="preserve"> </w:t>
      </w:r>
      <w:r>
        <w:t xml:space="preserve">Annex 3 and other relevant guidance materials. IWXXM format (FM 205)</w:t>
      </w:r>
      <w:r>
        <w:rPr>
          <w:rStyle w:val="FootnoteReference"/>
        </w:rPr>
        <w:footnoteReference w:id="175"/>
      </w:r>
      <w:r>
        <w:t xml:space="preserve"> </w:t>
      </w:r>
      <w:r>
        <w:t xml:space="preserve">is to be used for encoding aeronautical meteorological information in SWIM.</w:t>
      </w:r>
    </w:p>
    <w:p>
      <w:pPr>
        <w:pStyle w:val="Heading5"/>
      </w:pPr>
      <w:bookmarkStart w:id="176" w:name="X4e8addac518048f267b87b8f17249bc74446b43"/>
      <w:r>
        <w:t xml:space="preserve">Publishing meteorological data via WIS2</w:t>
      </w:r>
      <w:bookmarkEnd w:id="176"/>
    </w:p>
    <w:p>
      <w:pPr>
        <w:pStyle w:val="FirstParagraph"/>
      </w:pPr>
      <w:r>
        <w:t xml:space="preserve">For meteorological data to be published from WIS2 to SWIM,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w:t>
      </w:r>
      <w:r>
        <w:t xml:space="preserve">(WMO-No. 1060),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organisation must</w:t>
      </w:r>
      <w:r>
        <w:t xml:space="preserve"> </w:t>
      </w:r>
      <w:r>
        <w:t xml:space="preserve">establish a new WIS2 Node and register it with WMO Secretariat. For more information, see</w:t>
      </w:r>
      <w:r>
        <w:t xml:space="preserve"> </w:t>
      </w:r>
      <w:hyperlink w:anchor="Xff31a5d1aa87fc988a72aaf109f7c8e748ad4b1">
        <w:r>
          <w:rPr>
            <w:rStyle w:val="Hyperlink"/>
          </w:rPr>
          <w:t xml:space="preserve">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shall be packaged into</w:t>
      </w:r>
      <w:r>
        <w:t xml:space="preserve"> </w:t>
      </w:r>
      <w:r>
        <w:t xml:space="preserve">“datasets”. The data should be grouped at the country / territory</w:t>
      </w:r>
      <w:r>
        <w:t xml:space="preserve"> </w:t>
      </w:r>
      <w:r>
        <w:t xml:space="preserve">level; i.e., datasets should be published for a given country /</w:t>
      </w:r>
      <w:r>
        <w:t xml:space="preserve"> </w:t>
      </w:r>
      <w:r>
        <w:t xml:space="preserve">territory,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4"/>
        </w:numPr>
      </w:pPr>
      <w:r>
        <w:t xml:space="preserve">May be subject to conditions on use and re-use.</w:t>
      </w:r>
    </w:p>
    <w:p>
      <w:pPr>
        <w:numPr>
          <w:ilvl w:val="0"/>
          <w:numId w:val="1064"/>
        </w:numPr>
      </w:pPr>
      <w:r>
        <w:t xml:space="preserve">May have access controls</w:t>
      </w:r>
      <w:r>
        <w:rPr>
          <w:rStyle w:val="FootnoteReference"/>
        </w:rPr>
        <w:footnoteReference w:id="177"/>
      </w:r>
      <w:r>
        <w:rPr>
          <w:rStyle w:val="FootnoteReference"/>
        </w:rPr>
        <w:footnoteReference w:id="178"/>
      </w:r>
      <w:r>
        <w:t xml:space="preserve"> </w:t>
      </w:r>
      <w:r>
        <w:t xml:space="preserve">applied at the WIS2 Node.</w:t>
      </w:r>
    </w:p>
    <w:p>
      <w:pPr>
        <w:numPr>
          <w:ilvl w:val="0"/>
          <w:numId w:val="1064"/>
        </w:numPr>
      </w:pPr>
      <w:r>
        <w:t xml:space="preserve">Are</w:t>
      </w:r>
      <w:r>
        <w:t xml:space="preserve"> </w:t>
      </w:r>
      <w:r>
        <w:rPr>
          <w:b/>
        </w:rPr>
        <w:t xml:space="preserve">not</w:t>
      </w:r>
      <w:r>
        <w:t xml:space="preserve"> </w:t>
      </w:r>
      <w:r>
        <w:t xml:space="preserve">cached within WIS2 by the Global Caches</w:t>
      </w:r>
      <w:r>
        <w:rPr>
          <w:rStyle w:val="FootnoteReference"/>
        </w:rPr>
        <w:footnoteReference w:id="179"/>
      </w:r>
      <w:r>
        <w:t xml:space="preserve">.</w:t>
      </w:r>
    </w:p>
    <w:p>
      <w:pPr>
        <w:pStyle w:val="FirstParagraph"/>
      </w:pPr>
      <w:r>
        <w:t xml:space="preserve">The WMO Unified Data Policy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 below.</w:t>
      </w:r>
    </w:p>
    <w:p>
      <w:pPr>
        <w:numPr>
          <w:ilvl w:val="0"/>
          <w:numId w:val="1065"/>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5"/>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relation</w:t>
      </w:r>
      <w:r>
        <w:t xml:space="preserve"> </w:t>
      </w:r>
      <w:r>
        <w:rPr>
          <w:rStyle w:val="VerbatimChar"/>
        </w:rPr>
        <w:t xml:space="preserve">license</w:t>
      </w:r>
      <w:r>
        <w:t xml:space="preserve">.</w:t>
      </w:r>
    </w:p>
    <w:p>
      <w:pPr>
        <w:numPr>
          <w:ilvl w:val="0"/>
          <w:numId w:val="1065"/>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w:t>
      </w:r>
      <w:r>
        <w:t xml:space="preserve">(WMO-No. 1060), Volume II, Appendix F.</w:t>
      </w:r>
    </w:p>
    <w:p>
      <w:pPr>
        <w:pStyle w:val="BodyText"/>
      </w:pPr>
      <w:r>
        <w:t xml:space="preserve">On receipt of new data, the WIS2 Node will:</w:t>
      </w:r>
    </w:p>
    <w:p>
      <w:pPr>
        <w:numPr>
          <w:ilvl w:val="0"/>
          <w:numId w:val="1066"/>
        </w:numPr>
      </w:pPr>
      <w:r>
        <w:t xml:space="preserve">Publish the data as a resource via a Web server (or Web service).</w:t>
      </w:r>
    </w:p>
    <w:p>
      <w:pPr>
        <w:numPr>
          <w:ilvl w:val="0"/>
          <w:numId w:val="1066"/>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0"/>
      </w:r>
      <w:r>
        <w:t xml:space="preserve">.</w:t>
      </w:r>
    </w:p>
    <w:p>
      <w:pPr>
        <w:pStyle w:val="BodyText"/>
      </w:pPr>
      <w:r>
        <w:t xml:space="preserve">For more details on the WIS2 Notification Message, see the</w:t>
      </w:r>
      <w:r>
        <w:t xml:space="preserve"> </w:t>
      </w:r>
      <w:r>
        <w:rPr>
          <w:i/>
        </w:rPr>
        <w:t xml:space="preserve">Manual on WIS</w:t>
      </w:r>
      <w:r>
        <w:t xml:space="preserve"> </w:t>
      </w:r>
      <w:r>
        <w:t xml:space="preserve">(WMO-No. 1060),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w:t>
      </w:r>
      <w:r>
        <w:t xml:space="preserve">(WMO-No.</w:t>
      </w:r>
      <w:r>
        <w:t xml:space="preserve"> </w:t>
      </w:r>
      <w:r>
        <w:t xml:space="preserve">1060),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81" w:name="Xac9fa0d706a584b25e8ed536b901df2da5c4019"/>
      <w:r>
        <w:t xml:space="preserve">Gateway implementation</w:t>
      </w:r>
      <w:bookmarkEnd w:id="181"/>
    </w:p>
    <w:p>
      <w:pPr>
        <w:pStyle w:val="FirstParagraph"/>
      </w:pPr>
      <w:r>
        <w:t xml:space="preserve">The potential interactions between the Gateway component, WIS2 and SWIM are</w:t>
      </w:r>
      <w:r>
        <w:t xml:space="preserve"> </w:t>
      </w:r>
      <w:r>
        <w:t xml:space="preserve">illustrated in the figure below</w:t>
      </w:r>
      <w:r>
        <w:rPr>
          <w:rStyle w:val="FootnoteReference"/>
        </w:rPr>
        <w:footnoteReference w:id="182"/>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3"/>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7"/>
        </w:numPr>
      </w:pPr>
      <w:r>
        <w:t xml:space="preserve">Subscribe to the pertinent topic(s) for notifications about new</w:t>
      </w:r>
      <w:r>
        <w:t xml:space="preserve"> </w:t>
      </w:r>
      <w:r>
        <w:t xml:space="preserve">aeronautical meteorological information</w:t>
      </w:r>
      <w:r>
        <w:rPr>
          <w:rStyle w:val="FootnoteReference"/>
        </w:rPr>
        <w:footnoteReference w:id="184"/>
      </w:r>
      <w:r>
        <w:t xml:space="preserve">.</w:t>
      </w:r>
    </w:p>
    <w:p>
      <w:pPr>
        <w:numPr>
          <w:ilvl w:val="0"/>
          <w:numId w:val="1067"/>
        </w:numPr>
      </w:pPr>
      <w:r>
        <w:t xml:space="preserve">On receipt of notification messages about newly available data:</w:t>
      </w:r>
    </w:p>
    <w:p>
      <w:pPr>
        <w:numPr>
          <w:ilvl w:val="1"/>
          <w:numId w:val="1068"/>
        </w:numPr>
      </w:pPr>
      <w:r>
        <w:t xml:space="preserve">parse the notification message, discarding duplicate messages already</w:t>
      </w:r>
      <w:r>
        <w:t xml:space="preserve"> </w:t>
      </w:r>
      <w:r>
        <w:t xml:space="preserve">processed previously;</w:t>
      </w:r>
    </w:p>
    <w:p>
      <w:pPr>
        <w:numPr>
          <w:ilvl w:val="1"/>
          <w:numId w:val="1068"/>
        </w:numPr>
      </w:pPr>
      <w:r>
        <w:t xml:space="preserve">download the data resource from the WIS2</w:t>
      </w:r>
      <w:r>
        <w:t xml:space="preserve"> </w:t>
      </w:r>
      <w:r>
        <w:t xml:space="preserve">Node</w:t>
      </w:r>
      <w:r>
        <w:rPr>
          <w:rStyle w:val="FootnoteReference"/>
        </w:rPr>
        <w:footnoteReference w:id="185"/>
      </w:r>
      <w:r>
        <w:t xml:space="preserve"> </w:t>
      </w:r>
      <w:r>
        <w:t xml:space="preserve">using the URL in the message - the</w:t>
      </w:r>
      <w:r>
        <w:t xml:space="preserve"> </w:t>
      </w:r>
      <w:r>
        <w:t xml:space="preserve">resource should be in IWXXM format;</w:t>
      </w:r>
    </w:p>
    <w:p>
      <w:pPr>
        <w:numPr>
          <w:ilvl w:val="1"/>
          <w:numId w:val="1068"/>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86"/>
      </w:r>
      <w:r>
        <w:t xml:space="preserve">, and embedding the aviation weather data resource</w:t>
      </w:r>
      <w:r>
        <w:t xml:space="preserve"> </w:t>
      </w:r>
      <w:r>
        <w:t xml:space="preserve">within the data message;</w:t>
      </w:r>
    </w:p>
    <w:p>
      <w:pPr>
        <w:numPr>
          <w:ilvl w:val="1"/>
          <w:numId w:val="1068"/>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87"/>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88" w:name="X8ab0215de29d7e2030f4813a9a0181844a790ad"/>
      <w:r>
        <w:t xml:space="preserve">SWIM service</w:t>
      </w:r>
      <w:bookmarkEnd w:id="188"/>
    </w:p>
    <w:p>
      <w:pPr>
        <w:pStyle w:val="FirstParagraph"/>
      </w:pPr>
      <w:r>
        <w:t xml:space="preserve">The SWIM aviation weather information service may comprise of a Message Broker</w:t>
      </w:r>
      <w:r>
        <w:t xml:space="preserve"> </w:t>
      </w:r>
      <w:r>
        <w:t xml:space="preserve">component which implements the AMQP 1.0 messaging standard</w:t>
      </w:r>
      <w:r>
        <w:rPr>
          <w:rStyle w:val="FootnoteReference"/>
        </w:rPr>
        <w:footnoteReference w:id="189"/>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91" w:name="X727e67723c58a063171b532754bb63b85d88703"/>
      <w:r>
        <w:t xml:space="preserve">The Ocean Data and Information System (ODIS)</w:t>
      </w:r>
      <w:bookmarkEnd w:id="191"/>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organisations.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serialised in JSON-LD using schema.org</w:t>
      </w:r>
      <w:r>
        <w:rPr>
          <w:rStyle w:val="FootnoteReference"/>
        </w:rPr>
        <w:footnoteReference w:id="192"/>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datascape. IODE harvests all metadata shared by ODIS partners, combines</w:t>
      </w:r>
      <w:r>
        <w:t xml:space="preserve"> </w:t>
      </w:r>
      <w:r>
        <w:t xml:space="preserve">it as a knowledge graph, and processes this to export derivative</w:t>
      </w:r>
      <w:r>
        <w:t xml:space="preserve"> </w:t>
      </w:r>
      <w:r>
        <w:t xml:space="preserve">products (e.g. diagnostic reports and cloud-optimised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 Source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ETL functions, to ensure that the bilateral exchange is mutually beneficial.</w:t>
      </w:r>
    </w:p>
    <w:p>
      <w:pPr>
        <w:pStyle w:val="Heading5"/>
      </w:pPr>
      <w:bookmarkStart w:id="194" w:name="X2479ff89485b9dffb160639adddd97c6338406f"/>
      <w:r>
        <w:t xml:space="preserve">Cross system interoperability</w:t>
      </w:r>
      <w:bookmarkEnd w:id="194"/>
    </w:p>
    <w:p>
      <w:pPr>
        <w:pStyle w:val="FirstParagraph"/>
      </w:pPr>
      <w:r>
        <w:t xml:space="preserve">Given the strong support for standards and inteoperability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WMO</w:t>
      </w:r>
      <w:r>
        <w:t xml:space="preserve"> </w:t>
      </w:r>
      <w:r>
        <w:t xml:space="preserve">Data Policy.</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5"/>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196" w:name="X50d015487b8112b45846fafc9cb4c294f9c1543"/>
      <w:r>
        <w:t xml:space="preserve">PART III</w:t>
      </w:r>
      <w:bookmarkEnd w:id="196"/>
    </w:p>
    <w:p>
      <w:pPr>
        <w:pStyle w:val="Heading2"/>
      </w:pPr>
      <w:bookmarkStart w:id="197" w:name="Xf663b84f8b08bef805756b15e1319003d76fa52"/>
      <w:r>
        <w:t xml:space="preserve">Information management</w:t>
      </w:r>
      <w:bookmarkEnd w:id="197"/>
    </w:p>
    <w:p>
      <w:pPr>
        <w:pStyle w:val="Heading3"/>
      </w:pPr>
      <w:bookmarkStart w:id="198" w:name="Xe91cf87d25b98be0b83690164d6c9c93cd8e334"/>
      <w:r>
        <w:t xml:space="preserve">Introduction</w:t>
      </w:r>
      <w:bookmarkEnd w:id="198"/>
    </w:p>
    <w:p>
      <w:pPr>
        <w:pStyle w:val="Heading4"/>
      </w:pPr>
      <w:bookmarkStart w:id="199" w:name="Xca774f64942a7f7563fb94bb05ba7dab3a26d69"/>
      <w:r>
        <w:t xml:space="preserve">Background</w:t>
      </w:r>
      <w:bookmarkEnd w:id="199"/>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200" w:name="Xc8210088bf4711be4456d26326179eb58b8f5b4"/>
      <w:r>
        <w:t xml:space="preserve">Scope</w:t>
      </w:r>
      <w:bookmarkEnd w:id="200"/>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w:t>
      </w:r>
      <w:r>
        <w:t xml:space="preserve"> </w:t>
      </w:r>
      <w:hyperlink w:anchor="Xc94de5166ce838056d764e2813060631f45545e">
        <w:r>
          <w:rPr>
            <w:rStyle w:val="Hyperlink"/>
          </w:rPr>
          <w:t xml:space="preserve">Principles of information management</w:t>
        </w:r>
      </w:hyperlink>
      <w:r>
        <w:t xml:space="preserve"> </w:t>
      </w:r>
      <w:r>
        <w:t xml:space="preserve">are described below. Five focus areas are described in</w:t>
      </w:r>
      <w:r>
        <w:t xml:space="preserve"> </w:t>
      </w:r>
      <w:hyperlink w:anchor="X78a249a2cf11ac86cd7d6d498271963ba9dd080">
        <w:r>
          <w:rPr>
            <w:rStyle w:val="Hyperlink"/>
          </w:rPr>
          <w:t xml:space="preserve">The information management lifecycle</w:t>
        </w:r>
      </w:hyperlink>
      <w:r>
        <w:t xml:space="preserve">. These are:</w:t>
      </w:r>
    </w:p>
    <w:p>
      <w:pPr>
        <w:numPr>
          <w:ilvl w:val="0"/>
          <w:numId w:val="1069"/>
        </w:numPr>
      </w:pPr>
      <w:r>
        <w:t xml:space="preserve">Planning, information creation and acquisition. Creation of information using internal and external data sources and the acquisition of information from various sources.</w:t>
      </w:r>
    </w:p>
    <w:p>
      <w:pPr>
        <w:numPr>
          <w:ilvl w:val="0"/>
          <w:numId w:val="1069"/>
        </w:numPr>
      </w:pPr>
      <w:r>
        <w:t xml:space="preserve">Representation and metadata. Standards to represent metadata, data and information are of primary importance to enable interoperability and long-term usability of the information.</w:t>
      </w:r>
    </w:p>
    <w:p>
      <w:pPr>
        <w:numPr>
          <w:ilvl w:val="0"/>
          <w:numId w:val="1069"/>
        </w:numPr>
      </w:pPr>
      <w:r>
        <w:t xml:space="preserve">Publication and exchange of information. The creation and publication of discovery metadata in a standardized format enabling users to discover, access and retrieve the information.</w:t>
      </w:r>
    </w:p>
    <w:p>
      <w:pPr>
        <w:numPr>
          <w:ilvl w:val="0"/>
          <w:numId w:val="1069"/>
        </w:numPr>
      </w:pPr>
      <w:r>
        <w:t xml:space="preserve">Usage and communication. Publication of guidance material on the use of published information, including on the limitations and suitability of the information and any licensing terms.</w:t>
      </w:r>
    </w:p>
    <w:p>
      <w:pPr>
        <w:numPr>
          <w:ilvl w:val="0"/>
          <w:numId w:val="1069"/>
        </w:numPr>
      </w:pPr>
      <w:r>
        <w:t xml:space="preserve">Storage, archival and disposal. Policies and procedures for business continuity and disaster recovery, as well as retention and disposal.</w:t>
      </w:r>
    </w:p>
    <w:p>
      <w:pPr>
        <w:pStyle w:val="Heading4"/>
      </w:pPr>
      <w:bookmarkStart w:id="201" w:name="Xc4a1ede03be40f12a45db53a22503ecdd576f28"/>
      <w:r>
        <w:t xml:space="preserve">Intended audience</w:t>
      </w:r>
      <w:bookmarkEnd w:id="201"/>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70"/>
        </w:numPr>
      </w:pPr>
      <w:r>
        <w:t xml:space="preserve">Information producers or creators (those who produce or acquire the information - they need to ensure the scientific quality of the underpinning information).</w:t>
      </w:r>
    </w:p>
    <w:p>
      <w:pPr>
        <w:numPr>
          <w:ilvl w:val="0"/>
          <w:numId w:val="1070"/>
        </w:numPr>
      </w:pPr>
      <w:r>
        <w:t xml:space="preserve">Information managers (those who manage information).</w:t>
      </w:r>
    </w:p>
    <w:p>
      <w:pPr>
        <w:numPr>
          <w:ilvl w:val="0"/>
          <w:numId w:val="1070"/>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70"/>
        </w:numPr>
      </w:pPr>
      <w:r>
        <w:t xml:space="preserve">Service providers (those who disseminate the information - they are responsible for ensuring information availability and maintaining capability for easy and secure access to the information).</w:t>
      </w:r>
    </w:p>
    <w:p>
      <w:pPr>
        <w:numPr>
          <w:ilvl w:val="0"/>
          <w:numId w:val="1070"/>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202" w:name="Xc94de5166ce838056d764e2813060631f45545e"/>
      <w:r>
        <w:t xml:space="preserve">Principles of information management</w:t>
      </w:r>
      <w:bookmarkEnd w:id="202"/>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203" w:name="Xced3bf5985e11d5bf9ea318c067f81c51dd90bb"/>
      <w:r>
        <w:t xml:space="preserve">Principle 1: Information is a valued asset</w:t>
      </w:r>
      <w:bookmarkEnd w:id="203"/>
    </w:p>
    <w:p>
      <w:pPr>
        <w:numPr>
          <w:ilvl w:val="0"/>
          <w:numId w:val="1071"/>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71"/>
        </w:numPr>
      </w:pPr>
      <w:r>
        <w:t xml:space="preserve">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204" w:name="X2b4305e580dff0ab586fbedd336c10ae1a05bc9"/>
      <w:r>
        <w:t xml:space="preserve">Principle 2: Information must be managed</w:t>
      </w:r>
      <w:bookmarkEnd w:id="204"/>
    </w:p>
    <w:p>
      <w:pPr>
        <w:numPr>
          <w:ilvl w:val="0"/>
          <w:numId w:val="1072"/>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72"/>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72"/>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5" w:name="X24cab0a09ccdca3e752f0ecd6d0ff5456c284f3"/>
      <w:r>
        <w:t xml:space="preserve">Principle 3: Information must be fit for purpose</w:t>
      </w:r>
      <w:bookmarkEnd w:id="205"/>
    </w:p>
    <w:p>
      <w:pPr>
        <w:numPr>
          <w:ilvl w:val="0"/>
          <w:numId w:val="1073"/>
        </w:numPr>
      </w:pPr>
      <w:r>
        <w:t xml:space="preserve">Information should be developed and managed in accordance with its function and use for internal and external users.</w:t>
      </w:r>
    </w:p>
    <w:p>
      <w:pPr>
        <w:numPr>
          <w:ilvl w:val="0"/>
          <w:numId w:val="1073"/>
        </w:numPr>
      </w:pPr>
      <w:r>
        <w:t xml:space="preserve">WMO Centres should regularly assess information to ensure that it is fit for its purpose and that processes, procedures, and documentation are adequate.</w:t>
      </w:r>
    </w:p>
    <w:p>
      <w:pPr>
        <w:numPr>
          <w:ilvl w:val="0"/>
          <w:numId w:val="1073"/>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06" w:name="X6a00b6457f0c1f3361b337f694a28b174d7bdda"/>
      <w:r>
        <w:t xml:space="preserve">Principle 4: Information must be standardized and interoperable</w:t>
      </w:r>
      <w:bookmarkEnd w:id="206"/>
    </w:p>
    <w:p>
      <w:pPr>
        <w:numPr>
          <w:ilvl w:val="0"/>
          <w:numId w:val="1074"/>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74"/>
        </w:numPr>
      </w:pPr>
      <w:r>
        <w:t xml:space="preserve">Standardization is essential for structured information such as dataset definitions and metadata to support interoperability.</w:t>
      </w:r>
    </w:p>
    <w:p>
      <w:pPr>
        <w:numPr>
          <w:ilvl w:val="0"/>
          <w:numId w:val="1074"/>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74"/>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4"/>
        </w:numPr>
      </w:pPr>
      <w:r>
        <w:t xml:space="preserve">The use of closed and proprietary standards is strongly discouraged.</w:t>
      </w:r>
    </w:p>
    <w:p>
      <w:pPr>
        <w:pStyle w:val="Heading4"/>
      </w:pPr>
      <w:bookmarkStart w:id="207" w:name="X7a72b7a348aceb0a6c3eeef09fd9dc18fc224a0"/>
      <w:r>
        <w:t xml:space="preserve">Principle 5: Information must be well documented</w:t>
      </w:r>
      <w:bookmarkEnd w:id="207"/>
    </w:p>
    <w:p>
      <w:pPr>
        <w:numPr>
          <w:ilvl w:val="0"/>
          <w:numId w:val="1075"/>
        </w:numPr>
      </w:pPr>
      <w:r>
        <w:t xml:space="preserve">WMO centres should comprehensively document information processes, policies, and procedures to facilitate broad and long-term use.</w:t>
      </w:r>
    </w:p>
    <w:p>
      <w:pPr>
        <w:numPr>
          <w:ilvl w:val="0"/>
          <w:numId w:val="1075"/>
        </w:numPr>
      </w:pPr>
      <w:r>
        <w:t xml:space="preserve">WMO centres should keep documentation up to date to ensure full traceability of processes along the information lifecycle, particularly for its creation.</w:t>
      </w:r>
    </w:p>
    <w:p>
      <w:pPr>
        <w:numPr>
          <w:ilvl w:val="0"/>
          <w:numId w:val="1075"/>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08" w:name="Xf201bbec5eea25bb7367115a98b8129aa22d6b9"/>
      <w:r>
        <w:t xml:space="preserve">Principle 6: Information must be discoverable, accessible and retrievable</w:t>
      </w:r>
      <w:bookmarkEnd w:id="208"/>
    </w:p>
    <w:p>
      <w:pPr>
        <w:numPr>
          <w:ilvl w:val="0"/>
          <w:numId w:val="1076"/>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6"/>
        </w:numPr>
      </w:pPr>
      <w:r>
        <w:t xml:space="preserve">For information to be easily retrievable once discovered, it should be accessible using standard data exchange protocols.</w:t>
      </w:r>
    </w:p>
    <w:p>
      <w:pPr>
        <w:pStyle w:val="Heading4"/>
      </w:pPr>
      <w:bookmarkStart w:id="209" w:name="Xad9a69e02a46804a1cafca89aee5aabe4560385"/>
      <w:r>
        <w:t xml:space="preserve">Principle 7: Information should be reusable</w:t>
      </w:r>
      <w:bookmarkEnd w:id="209"/>
    </w:p>
    <w:p>
      <w:pPr>
        <w:numPr>
          <w:ilvl w:val="0"/>
          <w:numId w:val="1077"/>
        </w:numPr>
      </w:pPr>
      <w:r>
        <w:t xml:space="preserve">In order to maximize the economic benefits of an information asset it should be made as widely available and as accessible as possible.</w:t>
      </w:r>
    </w:p>
    <w:p>
      <w:pPr>
        <w:numPr>
          <w:ilvl w:val="0"/>
          <w:numId w:val="1077"/>
        </w:numPr>
      </w:pPr>
      <w:r>
        <w:t xml:space="preserve">The WMO Unified Data Policy encourages the reuse of data and information through the open and unrestricted exchange of core WMO data. The WMO encourages the free and unrestricted exchange of information in all circumstances.</w:t>
      </w:r>
    </w:p>
    <w:p>
      <w:pPr>
        <w:numPr>
          <w:ilvl w:val="0"/>
          <w:numId w:val="1077"/>
        </w:numPr>
      </w:pPr>
      <w:r>
        <w:t xml:space="preserve">The publisher should provide an explicit and well-defined license for each information item or dataset as part of the associated metadata.</w:t>
      </w:r>
    </w:p>
    <w:p>
      <w:pPr>
        <w:numPr>
          <w:ilvl w:val="0"/>
          <w:numId w:val="1077"/>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210"/>
      </w:r>
    </w:p>
    <w:p>
      <w:pPr>
        <w:pStyle w:val="Heading4"/>
      </w:pPr>
      <w:bookmarkStart w:id="212" w:name="X985b53b52432ebd6bb65899337d26b4ccfeefb9"/>
      <w:r>
        <w:t xml:space="preserve">Principle 8: Information management is subject to accountability and governance.</w:t>
      </w:r>
      <w:bookmarkEnd w:id="212"/>
    </w:p>
    <w:p>
      <w:pPr>
        <w:numPr>
          <w:ilvl w:val="0"/>
          <w:numId w:val="1078"/>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8"/>
        </w:numPr>
      </w:pPr>
      <w:r>
        <w:t xml:space="preserve">information management practices, procedures and protocols, including well-defined roles, responsibilities and restrictions on managing the information;</w:t>
      </w:r>
    </w:p>
    <w:p>
      <w:pPr>
        <w:numPr>
          <w:ilvl w:val="0"/>
          <w:numId w:val="1078"/>
        </w:numPr>
      </w:pPr>
      <w:r>
        <w:t xml:space="preserve">definition and enforcement of appropriate retention policy, taking into account stakeholder needs and variations in value over the information lifecycle;</w:t>
      </w:r>
    </w:p>
    <w:p>
      <w:pPr>
        <w:numPr>
          <w:ilvl w:val="0"/>
          <w:numId w:val="1078"/>
        </w:numPr>
      </w:pPr>
      <w:r>
        <w:t xml:space="preserve">licensing and defining and enforcing any access restrictions.</w:t>
      </w:r>
    </w:p>
    <w:p>
      <w:pPr>
        <w:numPr>
          <w:ilvl w:val="0"/>
          <w:numId w:val="1078"/>
        </w:numPr>
      </w:pPr>
      <w:r>
        <w:t xml:space="preserve">The designated owner should have budget and decision-making authority about preservation and data usage, including passing ownership to another authority.</w:t>
      </w:r>
    </w:p>
    <w:p>
      <w:pPr>
        <w:pStyle w:val="Heading3"/>
      </w:pPr>
      <w:bookmarkStart w:id="213" w:name="X78a249a2cf11ac86cd7d6d498271963ba9dd080"/>
      <w:r>
        <w:t xml:space="preserve">The information management lifecycle</w:t>
      </w:r>
      <w:bookmarkEnd w:id="213"/>
    </w:p>
    <w:p>
      <w:pPr>
        <w:pStyle w:val="Heading4"/>
      </w:pPr>
      <w:bookmarkStart w:id="214" w:name="X43f9398da9c2eb974194c1e60a2fdc80e1bfc87"/>
      <w:r>
        <w:t xml:space="preserve">Overview</w:t>
      </w:r>
      <w:bookmarkEnd w:id="214"/>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215" w:name="Xb3f0671d8925fa193cc843a6c5ac3eb64409810"/>
      <w:r>
        <w:t xml:space="preserve">Overarching requirements</w:t>
      </w:r>
      <w:bookmarkEnd w:id="215"/>
    </w:p>
    <w:p>
      <w:pPr>
        <w:pStyle w:val="Heading5"/>
      </w:pPr>
      <w:bookmarkStart w:id="216" w:name="X46bef04a53b25a1a07899f714aadd7ab888e2c5"/>
      <w:r>
        <w:t xml:space="preserve">Governance</w:t>
      </w:r>
      <w:bookmarkEnd w:id="216"/>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p>
      <w:pPr>
        <w:pStyle w:val="Heading5"/>
      </w:pPr>
      <w:bookmarkStart w:id="217" w:name="X983d5959bc8486b1ce731c329c055fcbbc55a03"/>
      <w:r>
        <w:t xml:space="preserve">Documentation</w:t>
      </w:r>
      <w:bookmarkEnd w:id="217"/>
    </w:p>
    <w:p>
      <w:pPr>
        <w:numPr>
          <w:ilvl w:val="0"/>
          <w:numId w:val="1081"/>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218" w:name="Xc1748e8f7038b0e2d79f80c2501fb09e121bdc5"/>
      <w:r>
        <w:t xml:space="preserve">Aspects of the information management lifecycle</w:t>
      </w:r>
      <w:bookmarkEnd w:id="218"/>
    </w:p>
    <w:p>
      <w:pPr>
        <w:pStyle w:val="Heading5"/>
      </w:pPr>
      <w:bookmarkStart w:id="219" w:name="Xb3fb7be77fcbfe5935f83c52aa59c7c4f68f9ed"/>
      <w:r>
        <w:t xml:space="preserve">Planning, information creation and acquisition</w:t>
      </w:r>
      <w:bookmarkEnd w:id="219"/>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 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20" w:name="X0fb41f5d69e3c0e08742406b46184bce7272db1"/>
      <w:r>
        <w:t xml:space="preserve">Representation and metadata</w:t>
      </w:r>
      <w:bookmarkEnd w:id="220"/>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w:t>
      </w:r>
      <w:r>
        <w:t xml:space="preserve">(WMO-No. 1060), Volume II.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w:t>
      </w:r>
      <w:r>
        <w:t xml:space="preserve"> </w:t>
      </w:r>
      <w:r>
        <w:rPr>
          <w:i/>
        </w:rPr>
        <w:t xml:space="preserve">Manual on Codes</w:t>
      </w:r>
      <w:r>
        <w:t xml:space="preserve"> </w:t>
      </w:r>
      <w:r>
        <w:t xml:space="preserve">(WMO-No.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21" w:name="X9141f665603210a069fd950d3a70a10fce81a4b"/>
      <w:r>
        <w:t xml:space="preserve">Publication and exchange of information</w:t>
      </w:r>
      <w:bookmarkEnd w:id="221"/>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w:t>
      </w:r>
      <w:r>
        <w:t xml:space="preserve"> </w:t>
      </w:r>
      <w:hyperlink w:anchor="X0fb41f5d69e3c0e08742406b46184bce7272db1">
        <w:r>
          <w:rPr>
            <w:rStyle w:val="Hyperlink"/>
          </w:rPr>
          <w:t xml:space="preserve">Representation and metadata</w:t>
        </w:r>
      </w:hyperlink>
      <w:r>
        <w:t xml:space="preserve">) and how to subscribe to receive updates and new data.</w:t>
      </w:r>
    </w:p>
    <w:p>
      <w:pPr>
        <w:pStyle w:val="BodyText"/>
      </w:pPr>
      <w:r>
        <w:t xml:space="preserve">Guidance on the creation of these discovery metadata records is included in Part V of this Guide. Technical regulations are provided in the</w:t>
      </w:r>
      <w:r>
        <w:t xml:space="preserve"> </w:t>
      </w:r>
      <w:r>
        <w:rPr>
          <w:i/>
        </w:rPr>
        <w:t xml:space="preserve">Manual on WIS</w:t>
      </w:r>
      <w:r>
        <w:t xml:space="preserve"> </w:t>
      </w:r>
      <w:r>
        <w:t xml:space="preserve">(WMO-No. 1060), Volume II.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222">
        <w:r>
          <w:rPr>
            <w:rStyle w:val="Hyperlink"/>
          </w:rPr>
          <w:t xml:space="preserve">https://community.wmo.int/news/operational-newsletter</w:t>
        </w:r>
      </w:hyperlink>
    </w:p>
    <w:p>
      <w:pPr>
        <w:pStyle w:val="Heading5"/>
      </w:pPr>
      <w:bookmarkStart w:id="223" w:name="X3943a915dab0acd14a551cc23fe1ab4fc5b6d08"/>
      <w:r>
        <w:t xml:space="preserve">Usage and communication</w:t>
      </w:r>
      <w:bookmarkEnd w:id="223"/>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83"/>
        </w:numPr>
      </w:pPr>
      <w:r>
        <w:t xml:space="preserve">Provision of suitable information within the discovery metadata, enabling users to discover and access the information and to assess whether it meets their requirements. This should include licensing information.</w:t>
      </w:r>
    </w:p>
    <w:p>
      <w:pPr>
        <w:numPr>
          <w:ilvl w:val="0"/>
          <w:numId w:val="1083"/>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w:t>
      </w:r>
      <w:r>
        <w:t xml:space="preserve"> </w:t>
      </w:r>
      <w:r>
        <w:rPr>
          <w:i/>
        </w:rPr>
        <w:t xml:space="preserve">Manual on the WMO Integrated Global Observing System</w:t>
      </w:r>
      <w:r>
        <w:t xml:space="preserve"> </w:t>
      </w:r>
      <w:r>
        <w:t xml:space="preserve">(WMO-No. 1160) and the</w:t>
      </w:r>
      <w:r>
        <w:t xml:space="preserve"> </w:t>
      </w:r>
      <w:r>
        <w:rPr>
          <w:i/>
        </w:rPr>
        <w:t xml:space="preserve">Guide to the WMO Integrated Global Observing system</w:t>
      </w:r>
      <w:r>
        <w:t xml:space="preserve"> </w:t>
      </w:r>
      <w:r>
        <w:t xml:space="preserve">(WMO-No. 1165) respectively. This includes information on the expected uses and quality of the data, either directly or through links within. Similarly, information on the data and products available through the Global Data Processing and Forecasting System is provided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w:t>
      </w:r>
      <w:r>
        <w:t xml:space="preserve"> </w:t>
      </w:r>
      <w:hyperlink w:anchor="Xa8d17c4fadafbb23e20e1fece39d0f455164136">
        <w:r>
          <w:rPr>
            <w:rStyle w:val="Hyperlink"/>
          </w:rPr>
          <w:t xml:space="preserve">_information_creation_and_acquisition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9141f665603210a069fd950d3a70a10fce81a4b">
        <w:r>
          <w:rPr>
            <w:rStyle w:val="Hyperlink"/>
          </w:rPr>
          <w:t xml:space="preserve">Publication and exchange of information</w:t>
        </w:r>
      </w:hyperlink>
      <w:r>
        <w:t xml:space="preserve">).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24" w:name="Xc49f3d2ac2c1a4985f413e4e33375d67ca4edae"/>
      <w:r>
        <w:t xml:space="preserve">Storage, archival and disposal</w:t>
      </w:r>
      <w:bookmarkEnd w:id="224"/>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WI2S Technical Specifications listed in the</w:t>
      </w:r>
      <w:r>
        <w:t xml:space="preserve"> </w:t>
      </w:r>
      <w:r>
        <w:rPr>
          <w:i/>
        </w:rPr>
        <w:t xml:space="preserve">Manual on WIS</w:t>
      </w:r>
      <w:r>
        <w:t xml:space="preserve"> </w:t>
      </w:r>
      <w:r>
        <w:t xml:space="preserve">(WMO-No. 1060), Volume II.</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w:t>
      </w:r>
      <w:r>
        <w:t xml:space="preserve"> </w:t>
      </w:r>
      <w:r>
        <w:rPr>
          <w:i/>
        </w:rPr>
        <w:t xml:space="preserve">Manual on Marine Meteorological Services</w:t>
      </w:r>
      <w:r>
        <w:t xml:space="preserve"> </w:t>
      </w:r>
      <w:r>
        <w:t xml:space="preserve">(WMO-No. 558), Volume II, as well as the WMO World Data Centres and those defined in the</w:t>
      </w:r>
      <w:r>
        <w:t xml:space="preserve"> </w:t>
      </w:r>
      <w:r>
        <w:rPr>
          <w:i/>
        </w:rPr>
        <w:t xml:space="preserve">Manual on WIS</w:t>
      </w:r>
      <w:r>
        <w:t xml:space="preserve"> </w:t>
      </w:r>
      <w:r>
        <w:t xml:space="preserve">(WMO-No. 1060), Volume II and those defined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225" w:name="Xcde52b855ebe88b41febf339572171c6eff9f00"/>
      <w:r>
        <w:t xml:space="preserve">Other considerations</w:t>
      </w:r>
      <w:bookmarkEnd w:id="225"/>
    </w:p>
    <w:p>
      <w:pPr>
        <w:pStyle w:val="Heading4"/>
      </w:pPr>
      <w:bookmarkStart w:id="226" w:name="Xaaae0965b9c1bfef7ff2e90d054b0b5d3ba2f74"/>
      <w:r>
        <w:t xml:space="preserve">Technology and technology migration</w:t>
      </w:r>
      <w:bookmarkEnd w:id="226"/>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r>
        <w:rPr>
          <w:i/>
        </w:rPr>
        <w:t xml:space="preserve">WMO Guidelines on Emerging Data Issues</w:t>
      </w:r>
      <w:r>
        <w:t xml:space="preserve"> </w:t>
      </w:r>
      <w:r>
        <w:t xml:space="preserve">(WMO-No. 1239).</w:t>
      </w:r>
    </w:p>
    <w:p>
      <w:pPr>
        <w:pStyle w:val="Heading4"/>
      </w:pPr>
      <w:bookmarkStart w:id="227" w:name="X4be09f68f287a055be5a28deacf8bb1b4bf1904"/>
      <w:r>
        <w:t xml:space="preserve">Information security</w:t>
      </w:r>
      <w:bookmarkEnd w:id="227"/>
    </w:p>
    <w:p>
      <w:pPr>
        <w:pStyle w:val="FirstParagraph"/>
      </w:pPr>
      <w:r>
        <w:t xml:space="preserve">Further information on information security and best practices can be found in the</w:t>
      </w:r>
      <w:r>
        <w:t xml:space="preserve"> </w:t>
      </w:r>
      <w:r>
        <w:rPr>
          <w:i/>
        </w:rPr>
        <w:t xml:space="preserve">Guide to Information Technology Security</w:t>
      </w:r>
      <w:r>
        <w:t xml:space="preserve"> </w:t>
      </w:r>
      <w:r>
        <w:t xml:space="preserve">(WMO-No. 1115).</w:t>
      </w:r>
    </w:p>
    <w:p>
      <w:pPr>
        <w:pStyle w:val="Heading1"/>
      </w:pPr>
      <w:bookmarkStart w:id="228" w:name="X21cd127bd20f258a1e62ea9ca51972219f0b892"/>
      <w:r>
        <w:t xml:space="preserve">PART IV</w:t>
      </w:r>
      <w:bookmarkEnd w:id="228"/>
    </w:p>
    <w:p>
      <w:pPr>
        <w:pStyle w:val="Heading2"/>
      </w:pPr>
      <w:bookmarkStart w:id="229" w:name="X450d2800ceddee769150bb96f748c14ec1a5fef"/>
      <w:r>
        <w:t xml:space="preserve">Security</w:t>
      </w:r>
      <w:bookmarkEnd w:id="229"/>
    </w:p>
    <w:p>
      <w:pPr>
        <w:pStyle w:val="FirstParagraph"/>
      </w:pPr>
      <w:r>
        <w:t xml:space="preserve">For this initial version of the Guide to WIS2, existing guidance on information technology security (aka.</w:t>
      </w:r>
      <w:r>
        <w:t xml:space="preserve"> </w:t>
      </w:r>
      <w:r>
        <w:rPr>
          <w:i/>
        </w:rPr>
        <w:t xml:space="preserve">cybersecurity</w:t>
      </w:r>
      <w:r>
        <w:t xml:space="preserve">) remains largely applicable. Please refer to:</w:t>
      </w:r>
    </w:p>
    <w:p>
      <w:pPr>
        <w:numPr>
          <w:ilvl w:val="0"/>
          <w:numId w:val="1084"/>
        </w:numPr>
      </w:pPr>
      <w:r>
        <w:rPr>
          <w:i/>
        </w:rPr>
        <w:t xml:space="preserve">Guide to Information Technology Security</w:t>
      </w:r>
      <w:r>
        <w:t xml:space="preserve"> </w:t>
      </w:r>
      <w:r>
        <w:t xml:space="preserve">(WMO-No. 1115)</w:t>
      </w:r>
      <w:r>
        <w:rPr>
          <w:rStyle w:val="FootnoteReference"/>
        </w:rPr>
        <w:footnoteReference w:id="230"/>
      </w:r>
    </w:p>
    <w:p>
      <w:pPr>
        <w:numPr>
          <w:ilvl w:val="0"/>
          <w:numId w:val="1084"/>
        </w:numPr>
      </w:pPr>
      <w:r>
        <w:rPr>
          <w:i/>
        </w:rPr>
        <w:t xml:space="preserve">Guide to the WMO Information System</w:t>
      </w:r>
      <w:r>
        <w:t xml:space="preserve"> </w:t>
      </w:r>
      <w:r>
        <w:t xml:space="preserve">(WMO-No. 1061), Vol I</w:t>
      </w:r>
      <w:r>
        <w:rPr>
          <w:rStyle w:val="FootnoteReference"/>
        </w:rPr>
        <w:footnoteReference w:id="232"/>
      </w:r>
      <w:r>
        <w:t xml:space="preserve">, Appendix E - Annex To Paragraph 7.8 (ICT Service Incident Management), and Appendix F - WIS IT Security Incident Response Process</w:t>
      </w:r>
    </w:p>
    <w:p>
      <w:pPr>
        <w:pStyle w:val="Heading1"/>
      </w:pPr>
      <w:bookmarkStart w:id="234" w:name="X3305ea5abe6b1fb2cabf7a817df7b030491936b"/>
      <w:r>
        <w:t xml:space="preserve">PART V</w:t>
      </w:r>
      <w:bookmarkEnd w:id="234"/>
    </w:p>
    <w:p>
      <w:pPr>
        <w:pStyle w:val="Heading2"/>
      </w:pPr>
      <w:bookmarkStart w:id="235" w:name="Xb01b72941e106f40026e8313cebe8325cd24f8c"/>
      <w:r>
        <w:t xml:space="preserve">Competencies</w:t>
      </w:r>
      <w:bookmarkEnd w:id="235"/>
    </w:p>
    <w:p>
      <w:pPr>
        <w:pStyle w:val="FirstParagraph"/>
      </w:pPr>
      <w:r>
        <w:t xml:space="preserve">For this initial version of the Guide to WIS2, existing guidance on competencies remains largely applicable.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236"/>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r>
        <w:t xml:space="preserve">Data Catalog Vocabulary (DCAT) - Version 2, W3C Recommendation 04 February 2020</w:t>
      </w:r>
      <w:r>
        <w:t xml:space="preserve"> </w:t>
      </w:r>
      <w:hyperlink r:id="rId34">
        <w:r>
          <w:rPr>
            <w:rStyle w:val="Hyperlink"/>
          </w:rPr>
          <w:t xml:space="preserve">https://www.w3.org/TR/vocab-dcat-2/#Class:Dataset</w:t>
        </w:r>
      </w:hyperlink>
    </w:p>
  </w:footnote>
  <w:footnote w:id="35">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39">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40">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3">
    <w:p>
      <w:pPr>
        <w:pStyle w:val="FootnoteText"/>
      </w:pPr>
      <w:r>
        <w:rPr>
          <w:rStyle w:val="FootnoteReference"/>
        </w:rPr>
        <w:footnoteRef/>
      </w:r>
      <w:r>
        <w:t xml:space="preserve"> </w:t>
      </w:r>
      <w:r>
        <w:t xml:space="preserve">IANA Link Relations</w:t>
      </w:r>
      <w:r>
        <w:t xml:space="preserve"> </w:t>
      </w:r>
      <w:hyperlink r:id="rId44">
        <w:r>
          <w:rPr>
            <w:rStyle w:val="Hyperlink"/>
          </w:rPr>
          <w:t xml:space="preserve">https://www.iana.org/assignments/link-relations/link-relations.xhtml</w:t>
        </w:r>
      </w:hyperlink>
    </w:p>
  </w:footnote>
  <w:footnote w:id="50">
    <w:p>
      <w:pPr>
        <w:pStyle w:val="FootnoteText"/>
      </w:pPr>
      <w:r>
        <w:rPr>
          <w:rStyle w:val="FootnoteReference"/>
        </w:rPr>
        <w:footnoteRef/>
      </w:r>
      <w:r>
        <w:t xml:space="preserve"> </w:t>
      </w:r>
      <w:r>
        <w:t xml:space="preserve">RFC 7946 - The GeoJSON Format:</w:t>
      </w:r>
      <w:r>
        <w:t xml:space="preserve"> </w:t>
      </w:r>
      <w:hyperlink r:id="rId51">
        <w:r>
          <w:rPr>
            <w:rStyle w:val="Hyperlink"/>
          </w:rPr>
          <w:t xml:space="preserve">https://datatracker.ietf.org/doc/html/rfc7946</w:t>
        </w:r>
      </w:hyperlink>
    </w:p>
  </w:footnote>
  <w:footnote w:id="52">
    <w:p>
      <w:pPr>
        <w:pStyle w:val="FootnoteText"/>
      </w:pPr>
      <w:r>
        <w:rPr>
          <w:rStyle w:val="FootnoteReference"/>
        </w:rPr>
        <w:footnoteRef/>
      </w:r>
      <w:r>
        <w:t xml:space="preserve"> </w:t>
      </w:r>
      <w:r>
        <w:t xml:space="preserve">In future, WIS2 may provide metadata publication services (e.g., through a WIS2 metadata management portal) to assist with this task. However, such a service is not available at this time.</w:t>
      </w:r>
    </w:p>
  </w:footnote>
  <w:footnote w:id="53">
    <w:p>
      <w:pPr>
        <w:pStyle w:val="FootnoteText"/>
      </w:pPr>
      <w:r>
        <w:rPr>
          <w:rStyle w:val="FootnoteReference"/>
        </w:rPr>
        <w:footnoteRef/>
      </w:r>
      <w:r>
        <w:t xml:space="preserve"> </w:t>
      </w:r>
      <w:r>
        <w:t xml:space="preserve">OGC API - Records - Part 1: Core</w:t>
      </w:r>
      <w:r>
        <w:t xml:space="preserve"> </w:t>
      </w:r>
      <w:hyperlink r:id="rId54">
        <w:r>
          <w:rPr>
            <w:rStyle w:val="Hyperlink"/>
          </w:rPr>
          <w:t xml:space="preserve">https://docs.ogc.org/DRAFTS/20-004.html</w:t>
        </w:r>
      </w:hyperlink>
    </w:p>
  </w:footnote>
  <w:footnote w:id="55">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7">
    <w:p>
      <w:pPr>
        <w:pStyle w:val="FootnoteText"/>
      </w:pPr>
      <w:r>
        <w:rPr>
          <w:rStyle w:val="FootnoteReference"/>
        </w:rPr>
        <w:footnoteRef/>
      </w:r>
      <w:r>
        <w:t xml:space="preserve"> </w:t>
      </w:r>
      <w:r>
        <w:t xml:space="preserve">Architecture of the World Wide Web</w:t>
      </w:r>
      <w:r>
        <w:t xml:space="preserve"> </w:t>
      </w:r>
      <w:hyperlink r:id="rId58">
        <w:r>
          <w:rPr>
            <w:rStyle w:val="Hyperlink"/>
          </w:rPr>
          <w:t xml:space="preserve">https://www.w3.org/TR/webarch/</w:t>
        </w:r>
      </w:hyperlink>
    </w:p>
  </w:footnote>
  <w:footnote w:id="59">
    <w:p>
      <w:pPr>
        <w:pStyle w:val="FootnoteText"/>
      </w:pPr>
      <w:r>
        <w:rPr>
          <w:rStyle w:val="FootnoteReference"/>
        </w:rPr>
        <w:footnoteRef/>
      </w:r>
      <w:r>
        <w:t xml:space="preserve"> </w:t>
      </w:r>
      <w:r>
        <w:t xml:space="preserve">RFC 3986 - Uniform Resource Identifier (URI) - Generic Syntax:</w:t>
      </w:r>
      <w:r>
        <w:t xml:space="preserve"> </w:t>
      </w:r>
      <w:hyperlink r:id="rId60">
        <w:r>
          <w:rPr>
            <w:rStyle w:val="Hyperlink"/>
          </w:rPr>
          <w:t xml:space="preserve">https://datatracker.ietf.org/doc/html/rfc3986</w:t>
        </w:r>
      </w:hyperlink>
    </w:p>
  </w:footnote>
  <w:footnote w:id="61">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(e.g., its network "location"). RFC 3986</w:t>
      </w:r>
    </w:p>
  </w:footnote>
  <w:footnote w:id="62">
    <w:p>
      <w:pPr>
        <w:pStyle w:val="FootnoteText"/>
      </w:pPr>
      <w:r>
        <w:rPr>
          <w:rStyle w:val="FootnoteReference"/>
        </w:rPr>
        <w:footnoteRef/>
      </w:r>
      <w:r>
        <w:t xml:space="preserve"> </w:t>
      </w:r>
      <w:r>
        <w:t xml:space="preserve">WIS2 strongly prefers secure versions of protocols (e.g., HTTPS) wherein the communication protocol is encrypted using Transport Layer Security (TLS)</w:t>
      </w:r>
    </w:p>
  </w:footnote>
  <w:footnote w:id="65">
    <w:p>
      <w:pPr>
        <w:pStyle w:val="FootnoteText"/>
      </w:pPr>
      <w:r>
        <w:rPr>
          <w:rStyle w:val="FootnoteReference"/>
        </w:rPr>
        <w:footnoteRef/>
      </w:r>
      <w:r>
        <w:t xml:space="preserve"> </w:t>
      </w:r>
      <w:r>
        <w:t xml:space="preserve">Spatio Temporal Asset Catalogue (STAC)</w:t>
      </w:r>
      <w:r>
        <w:t xml:space="preserve"> </w:t>
      </w:r>
      <w:hyperlink r:id="rId66">
        <w:r>
          <w:rPr>
            <w:rStyle w:val="Hyperlink"/>
          </w:rPr>
          <w:t xml:space="preserve">https://stacspec.org/en</w:t>
        </w:r>
      </w:hyperlink>
    </w:p>
  </w:footnote>
  <w:footnote w:id="67">
    <w:p>
      <w:pPr>
        <w:pStyle w:val="FootnoteText"/>
      </w:pPr>
      <w:r>
        <w:rPr>
          <w:rStyle w:val="FootnoteReference"/>
        </w:rPr>
        <w:footnoteRef/>
      </w:r>
      <w:r>
        <w:t xml:space="preserve"> </w:t>
      </w:r>
      <w:r>
        <w:t xml:space="preserve">See</w:t>
      </w:r>
      <w:r>
        <w:t xml:space="preserve"> </w:t>
      </w:r>
      <w:hyperlink r:id="rId68">
        <w:r>
          <w:rPr>
            <w:rStyle w:val="Hyperlink"/>
          </w:rPr>
          <w:t xml:space="preserve">https://www.iasa-web.org/tc04/submission-information-package-sip</w:t>
        </w:r>
      </w:hyperlink>
      <w:r>
        <w:t xml:space="preserve"> </w:t>
      </w:r>
      <w:r>
        <w:t xml:space="preserve">or end of</w:t>
      </w:r>
      <w:r>
        <w:t xml:space="preserve"> </w:t>
      </w:r>
      <w:hyperlink r:id="rId69">
        <w:r>
          <w:rPr>
            <w:rStyle w:val="Hyperlink"/>
          </w:rPr>
          <w:t xml:space="preserve">https://www.eumetsat.int/formats</w:t>
        </w:r>
      </w:hyperlink>
    </w:p>
  </w:footnote>
  <w:footnote w:id="71">
    <w:p>
      <w:pPr>
        <w:pStyle w:val="FootnoteText"/>
      </w:pPr>
      <w:r>
        <w:rPr>
          <w:rStyle w:val="FootnoteReference"/>
        </w:rPr>
        <w:footnoteRef/>
      </w:r>
      <w:r>
        <w:t xml:space="preserve"> </w:t>
      </w:r>
      <w:r>
        <w:t xml:space="preserve">OpenAPI Specification</w:t>
      </w:r>
      <w:r>
        <w:t xml:space="preserve"> </w:t>
      </w:r>
      <w:hyperlink r:id="rId72">
        <w:r>
          <w:rPr>
            <w:rStyle w:val="Hyperlink"/>
          </w:rPr>
          <w:t xml:space="preserve">https://spec.openapis.org/oas/v3.1.0</w:t>
        </w:r>
      </w:hyperlink>
    </w:p>
  </w:footnote>
  <w:footnote w:id="73">
    <w:p>
      <w:pPr>
        <w:pStyle w:val="FootnoteText"/>
      </w:pPr>
      <w:r>
        <w:rPr>
          <w:rStyle w:val="FootnoteReference"/>
        </w:rPr>
        <w:footnoteRef/>
      </w:r>
      <w:r>
        <w:t xml:space="preserve"> </w:t>
      </w:r>
      <w:r>
        <w:t xml:space="preserve">Open Geospatial Consortium OGC API</w:t>
      </w:r>
      <w:r>
        <w:t xml:space="preserve"> </w:t>
      </w:r>
      <w:hyperlink r:id="rId74">
        <w:r>
          <w:rPr>
            <w:rStyle w:val="Hyperlink"/>
          </w:rPr>
          <w:t xml:space="preserve">https://ogcapi.ogc.org/</w:t>
        </w:r>
      </w:hyperlink>
    </w:p>
  </w:footnote>
  <w:footnote w:id="75">
    <w:p>
      <w:pPr>
        <w:pStyle w:val="FootnoteText"/>
      </w:pPr>
      <w:r>
        <w:rPr>
          <w:rStyle w:val="FootnoteReference"/>
        </w:rPr>
        <w:footnoteRef/>
      </w:r>
      <w:r>
        <w:t xml:space="preserve"> </w:t>
      </w:r>
      <w:r>
        <w:t xml:space="preserve">OGC API - Environmental Data Retrieval (EDR)</w:t>
      </w:r>
      <w:r>
        <w:t xml:space="preserve"> </w:t>
      </w:r>
      <w:hyperlink r:id="rId76">
        <w:r>
          <w:rPr>
            <w:rStyle w:val="Hyperlink"/>
          </w:rPr>
          <w:t xml:space="preserve">https://ogcapi.ogc.org/edr</w:t>
        </w:r>
      </w:hyperlink>
    </w:p>
  </w:footnote>
  <w:footnote w:id="77">
    <w:p>
      <w:pPr>
        <w:pStyle w:val="FootnoteText"/>
      </w:pPr>
      <w:r>
        <w:rPr>
          <w:rStyle w:val="FootnoteReference"/>
        </w:rPr>
        <w:footnoteRef/>
      </w:r>
      <w:r>
        <w:t xml:space="preserve"> </w:t>
      </w:r>
      <w:r>
        <w:t xml:space="preserve">OGC API - Features</w:t>
      </w:r>
      <w:r>
        <w:t xml:space="preserve"> </w:t>
      </w:r>
      <w:hyperlink r:id="rId78">
        <w:r>
          <w:rPr>
            <w:rStyle w:val="Hyperlink"/>
          </w:rPr>
          <w:t xml:space="preserve">https://ogcapi.ogc.org/features</w:t>
        </w:r>
      </w:hyperlink>
    </w:p>
  </w:footnote>
  <w:footnote w:id="79">
    <w:p>
      <w:pPr>
        <w:pStyle w:val="FootnoteText"/>
      </w:pPr>
      <w:r>
        <w:rPr>
          <w:rStyle w:val="FootnoteReference"/>
        </w:rPr>
        <w:footnoteRef/>
      </w:r>
      <w:r>
        <w:t xml:space="preserve"> </w:t>
      </w:r>
      <w:r>
        <w:t xml:space="preserve">OGC API - Coverages</w:t>
      </w:r>
      <w:r>
        <w:t xml:space="preserve"> </w:t>
      </w:r>
      <w:hyperlink r:id="rId80">
        <w:r>
          <w:rPr>
            <w:rStyle w:val="Hyperlink"/>
          </w:rPr>
          <w:t xml:space="preserve">https://ogcapi.ogc.org/coverages</w:t>
        </w:r>
      </w:hyperlink>
    </w:p>
  </w:footnote>
  <w:footnote w:id="82">
    <w:p>
      <w:pPr>
        <w:pStyle w:val="FootnoteText"/>
      </w:pPr>
      <w:r>
        <w:rPr>
          <w:rStyle w:val="FootnoteReference"/>
        </w:rPr>
        <w:footnoteRef/>
      </w:r>
      <w:r>
        <w:t xml:space="preserve"> </w:t>
      </w:r>
      <w:r>
        <w:t xml:space="preserve">WMO World Weather Watch</w:t>
      </w:r>
      <w:r>
        <w:t xml:space="preserve"> </w:t>
      </w:r>
      <w:hyperlink r:id="rId83">
        <w:r>
          <w:rPr>
            <w:rStyle w:val="Hyperlink"/>
          </w:rPr>
          <w:t xml:space="preserve">https://wmo.int/world-weather-watch</w:t>
        </w:r>
      </w:hyperlink>
    </w:p>
  </w:footnote>
  <w:footnote w:id="84">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5">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457e87df81e20dd60341813f33917c04b732591">
        <w:r>
          <w:rPr>
            <w:rStyle w:val="Hyperlink"/>
          </w:rPr>
          <w:t xml:space="preserve">Global Broker</w:t>
        </w:r>
      </w:hyperlink>
      <w:r>
        <w:t xml:space="preserve">).</w:t>
      </w:r>
    </w:p>
  </w:footnote>
  <w:footnote w:id="86">
    <w:p>
      <w:pPr>
        <w:pStyle w:val="FootnoteText"/>
      </w:pPr>
      <w:r>
        <w:rPr>
          <w:rStyle w:val="FootnoteReference"/>
        </w:rPr>
        <w:footnoteRef/>
      </w:r>
      <w:r>
        <w:t xml:space="preserve"> </w:t>
      </w:r>
      <w:r>
        <w:t xml:space="preserve">IANA Link Relations</w:t>
      </w:r>
      <w:r>
        <w:t xml:space="preserve"> </w:t>
      </w:r>
      <w:hyperlink r:id="rId44">
        <w:r>
          <w:rPr>
            <w:rStyle w:val="Hyperlink"/>
          </w:rPr>
          <w:t xml:space="preserve">https://www.iana.org/assignments/link-relations/link-relations.xhtml</w:t>
        </w:r>
      </w:hyperlink>
    </w:p>
  </w:footnote>
  <w:footnote w:id="87">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88">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90">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91">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2">
    <w:p>
      <w:pPr>
        <w:pStyle w:val="FootnoteText"/>
      </w:pPr>
      <w:r>
        <w:rPr>
          <w:rStyle w:val="FootnoteReference"/>
        </w:rPr>
        <w:footnoteRef/>
      </w:r>
      <w:r>
        <w:t xml:space="preserve"> </w:t>
      </w:r>
      <w:r>
        <w:t xml:space="preserve">Excessive data volume isn’t the only reason they may refuse to cache content. Other reasons include: too many small files, unreliable download from a WIS2 Node, etc.</w:t>
      </w:r>
    </w:p>
  </w:footnote>
  <w:footnote w:id="94">
    <w:p>
      <w:pPr>
        <w:pStyle w:val="FootnoteText"/>
      </w:pPr>
      <w:r>
        <w:rPr>
          <w:rStyle w:val="FootnoteReference"/>
        </w:rPr>
        <w:footnoteRef/>
      </w:r>
      <w:r>
        <w:t xml:space="preserve"> </w:t>
      </w:r>
      <w:r>
        <w:t xml:space="preserve">OpenAPI Security Scheme Object:</w:t>
      </w:r>
      <w:r>
        <w:t xml:space="preserve"> </w:t>
      </w:r>
      <w:hyperlink r:id="rId95">
        <w:r>
          <w:rPr>
            <w:rStyle w:val="Hyperlink"/>
          </w:rPr>
          <w:t xml:space="preserve">https://spec.openapis.org/oas/v3.1.0#security-scheme-object</w:t>
        </w:r>
      </w:hyperlink>
    </w:p>
  </w:footnote>
  <w:footnote w:id="96">
    <w:p>
      <w:pPr>
        <w:pStyle w:val="FootnoteText"/>
      </w:pPr>
      <w:r>
        <w:rPr>
          <w:rStyle w:val="FootnoteReference"/>
        </w:rPr>
        <w:footnoteRef/>
      </w:r>
      <w:r>
        <w:t xml:space="preserve"> </w:t>
      </w:r>
      <w:r>
        <w:t xml:space="preserve">A specific API key should be used for data publication via WIS2 so that usage can be tracked.</w:t>
      </w:r>
    </w:p>
  </w:footnote>
  <w:footnote w:id="97">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(i.e., further data access is blocked) then this should encourage users to download via the Global Cache as mandated in the</w:t>
      </w:r>
      <w:r>
        <w:t xml:space="preserve"> </w:t>
      </w:r>
      <w:r>
        <w:rPr>
          <w:i/>
        </w:rPr>
        <w:t xml:space="preserve">Manual on WIS</w:t>
      </w:r>
      <w:r>
        <w:t xml:space="preserve"> </w:t>
      </w:r>
      <w:r>
        <w:t xml:space="preserve">(WMO-No. 1060), Volume II.</w:t>
      </w:r>
    </w:p>
  </w:footnote>
  <w:footnote w:id="98">
    <w:p>
      <w:pPr>
        <w:pStyle w:val="FootnoteText"/>
      </w:pPr>
      <w:r>
        <w:rPr>
          <w:rStyle w:val="FootnoteReference"/>
        </w:rPr>
        <w:footnoteRef/>
      </w:r>
      <w:r>
        <w:t xml:space="preserve"> </w:t>
      </w:r>
      <w:r>
        <w:t xml:space="preserve">Working with presigned URLs on Amazon S3</w:t>
      </w:r>
      <w:r>
        <w:t xml:space="preserve"> </w:t>
      </w:r>
      <w:hyperlink r:id="rId99">
        <w:r>
          <w:rPr>
            <w:rStyle w:val="Hyperlink"/>
          </w:rPr>
          <w:t xml:space="preserve">https://docs.aws.amazon.com/AmazonS3/latest/userguide/using-presigned-url.html</w:t>
        </w:r>
      </w:hyperlink>
    </w:p>
  </w:footnote>
  <w:footnote w:id="101">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19">
    <w:p>
      <w:pPr>
        <w:pStyle w:val="FootnoteText"/>
      </w:pPr>
      <w:r>
        <w:rPr>
          <w:rStyle w:val="FootnoteReference"/>
        </w:rPr>
        <w:footnoteRef/>
      </w:r>
      <w:r>
        <w:t xml:space="preserve"> </w:t>
      </w:r>
      <w:r>
        <w:t xml:space="preserve">MQTT Specifications:</w:t>
      </w:r>
      <w:r>
        <w:t xml:space="preserve"> </w:t>
      </w:r>
      <w:hyperlink r:id="rId120">
        <w:r>
          <w:rPr>
            <w:rStyle w:val="Hyperlink"/>
          </w:rPr>
          <w:t xml:space="preserve">https://mqtt.org/mqtt-specification/</w:t>
        </w:r>
      </w:hyperlink>
    </w:p>
  </w:footnote>
  <w:footnote w:id="122">
    <w:p>
      <w:pPr>
        <w:pStyle w:val="FootnoteText"/>
      </w:pPr>
      <w:r>
        <w:rPr>
          <w:rStyle w:val="FootnoteReference"/>
        </w:rPr>
        <w:footnoteRef/>
      </w:r>
      <w:r>
        <w:t xml:space="preserve"> </w:t>
      </w:r>
      <w:r>
        <w:t xml:space="preserve">TFC 7231 - Hypertext Transfer Protocol (HTTP/1.1):</w:t>
      </w:r>
      <w:r>
        <w:t xml:space="preserve"> </w:t>
      </w:r>
      <w:hyperlink r:id="rId123">
        <w:r>
          <w:rPr>
            <w:rStyle w:val="Hyperlink"/>
          </w:rPr>
          <w:t xml:space="preserve">https://datatracker.ietf.org/doc/html/rfc7231</w:t>
        </w:r>
      </w:hyperlink>
    </w:p>
  </w:footnote>
  <w:footnote w:id="129">
    <w:p>
      <w:pPr>
        <w:pStyle w:val="FootnoteText"/>
      </w:pPr>
      <w:r>
        <w:rPr>
          <w:rStyle w:val="FootnoteReference"/>
        </w:rPr>
        <w:footnoteRef/>
      </w:r>
      <w:r>
        <w:t xml:space="preserve"> </w:t>
      </w:r>
      <w:r>
        <w:t xml:space="preserve">IANA Top Level Domains</w:t>
      </w:r>
      <w:r>
        <w:t xml:space="preserve"> </w:t>
      </w:r>
      <w:hyperlink r:id="rId130">
        <w:r>
          <w:rPr>
            <w:rStyle w:val="Hyperlink"/>
          </w:rPr>
          <w:t xml:space="preserve">https://data.iana.org/TLD</w:t>
        </w:r>
      </w:hyperlink>
    </w:p>
  </w:footnote>
  <w:footnote w:id="132">
    <w:p>
      <w:pPr>
        <w:pStyle w:val="FootnoteText"/>
      </w:pPr>
      <w:r>
        <w:rPr>
          <w:rStyle w:val="FootnoteReference"/>
        </w:rPr>
        <w:footnoteRef/>
      </w:r>
      <w:r>
        <w:t xml:space="preserve"> </w:t>
      </w:r>
      <w:r>
        <w:t xml:space="preserve">The “.gov” part of the domain name is superfluous for the purposes of WIS2. There is nothing preventing its use, but it doesn’t add any value.</w:t>
      </w:r>
    </w:p>
  </w:footnote>
  <w:footnote w:id="134">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(e.g., password complexity).</w:t>
      </w:r>
    </w:p>
  </w:footnote>
  <w:footnote w:id="135">
    <w:p>
      <w:pPr>
        <w:pStyle w:val="FootnoteText"/>
      </w:pPr>
      <w:r>
        <w:rPr>
          <w:rStyle w:val="FootnoteReference"/>
        </w:rPr>
        <w:footnoteRef/>
      </w:r>
      <w:r>
        <w:t xml:space="preserve"> </w:t>
      </w:r>
      <w:r>
        <w:t xml:space="preserve">In WIS2 we use IP addresses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6">
    <w:p>
      <w:pPr>
        <w:pStyle w:val="FootnoteText"/>
      </w:pPr>
      <w:r>
        <w:rPr>
          <w:rStyle w:val="FootnoteReference"/>
        </w:rPr>
        <w:footnoteRef/>
      </w:r>
      <w:r>
        <w:t xml:space="preserve"> </w:t>
      </w:r>
      <w:r>
        <w:t xml:space="preserve">In some cases, WIS2 Nodes will need to serve Core data directly (see</w:t>
      </w:r>
      <w:r>
        <w:t xml:space="preserve"> </w:t>
      </w:r>
      <w:hyperlink w:anchor="Xc870f25786e5740db4e2f991f5983704ebfcba0">
        <w:r>
          <w:rPr>
            <w:rStyle w:val="Hyperlink"/>
          </w:rPr>
          <w:t xml:space="preserve">Considerations when providing Core data in WIS2</w:t>
        </w:r>
      </w:hyperlink>
      <w:r>
        <w:t xml:space="preserve">). In these situations, the WIS2 Node data server must remain publicly accessible.</w:t>
      </w:r>
    </w:p>
  </w:footnote>
  <w:footnote w:id="137">
    <w:p>
      <w:pPr>
        <w:pStyle w:val="FootnoteText"/>
      </w:pPr>
      <w:r>
        <w:rPr>
          <w:rStyle w:val="FootnoteReference"/>
        </w:rPr>
        <w:footnoteRef/>
      </w:r>
      <w:r>
        <w:t xml:space="preserve"> </w:t>
      </w:r>
      <w:r>
        <w:t xml:space="preserve">OpenAPI Security Scheme Object:</w:t>
      </w:r>
      <w:r>
        <w:t xml:space="preserve"> </w:t>
      </w:r>
      <w:hyperlink r:id="rId95">
        <w:r>
          <w:rPr>
            <w:rStyle w:val="Hyperlink"/>
          </w:rPr>
          <w:t xml:space="preserve">https://spec.openapis.org/oas/v3.1.0#security-scheme-object</w:t>
        </w:r>
      </w:hyperlink>
    </w:p>
  </w:footnote>
  <w:footnote w:id="147">
    <w:p>
      <w:pPr>
        <w:pStyle w:val="FootnoteText"/>
      </w:pPr>
      <w:r>
        <w:rPr>
          <w:rStyle w:val="FootnoteReference"/>
        </w:rPr>
        <w:footnoteRef/>
      </w:r>
      <w:r>
        <w:t xml:space="preserve"> </w:t>
      </w:r>
      <w:r>
        <w:t xml:space="preserve">OpenMetrics is proposed as a draft standard within IETF.</w:t>
      </w:r>
    </w:p>
  </w:footnote>
  <w:footnote w:id="148">
    <w:p>
      <w:pPr>
        <w:pStyle w:val="FootnoteText"/>
      </w:pPr>
      <w:r>
        <w:rPr>
          <w:rStyle w:val="FootnoteReference"/>
        </w:rPr>
        <w:footnoteRef/>
      </w:r>
      <w:r>
        <w:t xml:space="preserve"> </w:t>
      </w:r>
      <w:hyperlink r:id="rId149">
        <w:r>
          <w:rPr>
            <w:rStyle w:val="Hyperlink"/>
          </w:rPr>
          <w:t xml:space="preserve">https://openmetrics.io</w:t>
        </w:r>
      </w:hyperlink>
    </w:p>
  </w:footnote>
  <w:footnote w:id="150">
    <w:p>
      <w:pPr>
        <w:pStyle w:val="FootnoteText"/>
      </w:pPr>
      <w:r>
        <w:rPr>
          <w:rStyle w:val="FootnoteReference"/>
        </w:rPr>
        <w:footnoteRef/>
      </w:r>
      <w:r>
        <w:t xml:space="preserve"> </w:t>
      </w:r>
      <w:hyperlink r:id="rId151">
        <w:r>
          <w:rPr>
            <w:rStyle w:val="Hyperlink"/>
          </w:rPr>
          <w:t xml:space="preserve">https://github.com/wmo-im/wis2-metric-hierarchy</w:t>
        </w:r>
      </w:hyperlink>
    </w:p>
  </w:footnote>
  <w:footnote w:id="159">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2">
    <w:p>
      <w:pPr>
        <w:pStyle w:val="FootnoteText"/>
      </w:pPr>
      <w:r>
        <w:rPr>
          <w:rStyle w:val="FootnoteReference"/>
        </w:rPr>
        <w:footnoteRef/>
      </w:r>
      <w:r>
        <w:t xml:space="preserve"> </w:t>
      </w:r>
      <w:r>
        <w:t xml:space="preserve">OGC-API Records - Part 1</w:t>
      </w:r>
      <w:r>
        <w:t xml:space="preserve"> </w:t>
      </w:r>
      <w:hyperlink r:id="rId54">
        <w:r>
          <w:rPr>
            <w:rStyle w:val="Hyperlink"/>
          </w:rPr>
          <w:t xml:space="preserve">https://docs.ogc.org/DRAFTS/20-004.html</w:t>
        </w:r>
      </w:hyperlink>
    </w:p>
  </w:footnote>
  <w:footnote w:id="170">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71">
    <w:p>
      <w:pPr>
        <w:pStyle w:val="FootnoteText"/>
      </w:pPr>
      <w:r>
        <w:rPr>
          <w:rStyle w:val="FootnoteReference"/>
        </w:rPr>
        <w:footnoteRef/>
      </w:r>
      <w:r>
        <w:t xml:space="preserve"> </w:t>
      </w:r>
      <w:r>
        <w:t xml:space="preserve">AMQP 1.0 is one of the protocols proposed in the draft PANS-IM</w:t>
      </w:r>
    </w:p>
  </w:footnote>
  <w:footnote w:id="175">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77">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5">
        <w:r>
          <w:rPr>
            <w:rStyle w:val="Hyperlink"/>
          </w:rPr>
          <w:t xml:space="preserve">https://spec.openapis.org/oas/v3.1.0#security-scheme-object</w:t>
        </w:r>
      </w:hyperlink>
    </w:p>
  </w:footnote>
  <w:footnote w:id="178">
    <w:p>
      <w:pPr>
        <w:pStyle w:val="FootnoteText"/>
      </w:pPr>
      <w:r>
        <w:rPr>
          <w:rStyle w:val="FootnoteReference"/>
        </w:rPr>
        <w:footnoteRef/>
      </w:r>
      <w:r>
        <w:t xml:space="preserve"> </w:t>
      </w:r>
      <w:r>
        <w:t xml:space="preserve">WIS2 does not provide any guidance on use of Public Key Infrastructure (PKI).</w:t>
      </w:r>
    </w:p>
  </w:footnote>
  <w:footnote w:id="179">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80">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82">
    <w:p>
      <w:pPr>
        <w:pStyle w:val="FootnoteText"/>
      </w:pPr>
      <w:r>
        <w:rPr>
          <w:rStyle w:val="FootnoteReference"/>
        </w:rPr>
        <w:footnoteRef/>
      </w:r>
      <w:r>
        <w:t xml:space="preserve"> </w:t>
      </w:r>
      <w:r>
        <w:t xml:space="preserve">Note that the figure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4">
    <w:p>
      <w:pPr>
        <w:pStyle w:val="FootnoteText"/>
      </w:pPr>
      <w:r>
        <w:rPr>
          <w:rStyle w:val="FootnoteReference"/>
        </w:rPr>
        <w:footnoteRef/>
      </w:r>
      <w:r>
        <w:t xml:space="preserve"> </w:t>
      </w:r>
      <w:r>
        <w:t xml:space="preserve">WIS2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85">
    <w:p>
      <w:pPr>
        <w:pStyle w:val="FootnoteText"/>
      </w:pPr>
      <w:r>
        <w:rPr>
          <w:rStyle w:val="FootnoteReference"/>
        </w:rPr>
        <w:footnoteRef/>
      </w:r>
      <w:r>
        <w:t xml:space="preserve"> </w:t>
      </w:r>
      <w:r>
        <w:t xml:space="preserve">The WIS2 Node may control access to data - the Gateway will need to be implemented accordingly.</w:t>
      </w:r>
    </w:p>
  </w:footnote>
  <w:footnote w:id="186">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87">
    <w:p>
      <w:pPr>
        <w:pStyle w:val="FootnoteText"/>
      </w:pPr>
      <w:r>
        <w:rPr>
          <w:rStyle w:val="FootnoteReference"/>
        </w:rPr>
        <w:footnoteRef/>
      </w:r>
      <w:r>
        <w:t xml:space="preserve"> </w:t>
      </w:r>
      <w:r>
        <w:t xml:space="preserve">OpenMetrics:</w:t>
      </w:r>
      <w:r>
        <w:t xml:space="preserve"> </w:t>
      </w:r>
      <w:hyperlink r:id="rId149">
        <w:r>
          <w:rPr>
            <w:rStyle w:val="Hyperlink"/>
          </w:rPr>
          <w:t xml:space="preserve">https://openmetrics.io</w:t>
        </w:r>
      </w:hyperlink>
    </w:p>
  </w:footnote>
  <w:footnote w:id="189">
    <w:p>
      <w:pPr>
        <w:pStyle w:val="FootnoteText"/>
      </w:pPr>
      <w:r>
        <w:rPr>
          <w:rStyle w:val="FootnoteReference"/>
        </w:rPr>
        <w:footnoteRef/>
      </w:r>
      <w:r>
        <w:t xml:space="preserve"> </w:t>
      </w:r>
      <w:r>
        <w:t xml:space="preserve">AMQP 1.0:</w:t>
      </w:r>
      <w:r>
        <w:t xml:space="preserve"> </w:t>
      </w:r>
      <w:hyperlink r:id="rId190">
        <w:r>
          <w:rPr>
            <w:rStyle w:val="Hyperlink"/>
          </w:rPr>
          <w:t xml:space="preserve">https://www.amqp.org/resources/specifications</w:t>
        </w:r>
      </w:hyperlink>
    </w:p>
  </w:footnote>
  <w:footnote w:id="192">
    <w:p>
      <w:pPr>
        <w:pStyle w:val="FootnoteText"/>
      </w:pPr>
      <w:r>
        <w:rPr>
          <w:rStyle w:val="FootnoteReference"/>
        </w:rPr>
        <w:footnoteRef/>
      </w:r>
      <w:r>
        <w:t xml:space="preserve"> </w:t>
      </w:r>
      <w:hyperlink r:id="rId193">
        <w:r>
          <w:rPr>
            <w:rStyle w:val="Hyperlink"/>
          </w:rPr>
          <w:t xml:space="preserve">https://schema.org</w:t>
        </w:r>
      </w:hyperlink>
    </w:p>
  </w:footnote>
  <w:footnote w:id="210">
    <w:p>
      <w:pPr>
        <w:pStyle w:val="FootnoteText"/>
      </w:pPr>
      <w:r>
        <w:rPr>
          <w:rStyle w:val="FootnoteReference"/>
        </w:rPr>
        <w:footnoteRef/>
      </w:r>
      <w:r>
        <w:t xml:space="preserve"> </w:t>
      </w:r>
      <w:hyperlink r:id="rId211">
        <w:r>
          <w:rPr>
            <w:rStyle w:val="Hyperlink"/>
          </w:rPr>
          <w:t xml:space="preserve">https://go-fair.org</w:t>
        </w:r>
      </w:hyperlink>
    </w:p>
  </w:footnote>
  <w:footnote w:id="230">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231">
        <w:r>
          <w:rPr>
            <w:rStyle w:val="Hyperlink"/>
          </w:rPr>
          <w:t xml:space="preserve">https://library.wmo.int/records/item/51145-guide-to-information-technology-security</w:t>
        </w:r>
      </w:hyperlink>
    </w:p>
  </w:footnote>
  <w:footnote w:id="232">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3">
        <w:r>
          <w:rPr>
            <w:rStyle w:val="Hyperlink"/>
          </w:rPr>
          <w:t xml:space="preserve">https://library.wmo.int/records/item/28988-guide-to-the-wmo-information-system</w:t>
        </w:r>
      </w:hyperlink>
    </w:p>
  </w:footnote>
  <w:footnote w:id="236">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3">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7" Target="media/rId127.png" /><Relationship Type="http://schemas.openxmlformats.org/officeDocument/2006/relationships/image" Id="rId195" Target="media/rId195.png" /><Relationship Type="http://schemas.openxmlformats.org/officeDocument/2006/relationships/image" Id="rId183" Target="media/rId183.png" /><Relationship Type="http://schemas.openxmlformats.org/officeDocument/2006/relationships/image" Id="rId173" Target="media/rId173.png" /><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0"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3"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99"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2" Target="https://docs.wis2box.wis.wmo.int" TargetMode="External" /><Relationship Type="http://schemas.openxmlformats.org/officeDocument/2006/relationships/hyperlink" Id="rId164" Target="https://github.com/wmo-im/wis2-gdc" TargetMode="External" /><Relationship Type="http://schemas.openxmlformats.org/officeDocument/2006/relationships/hyperlink" Id="rId151" Target="https://github.com/wmo-im/wis2-metric-hierarchy" TargetMode="External" /><Relationship Type="http://schemas.openxmlformats.org/officeDocument/2006/relationships/hyperlink" Id="rId211" Target="https://go-fair.org" TargetMode="External" /><Relationship Type="http://schemas.openxmlformats.org/officeDocument/2006/relationships/hyperlink" Id="rId233" Target="https://library.wmo.int/records/item/28988-guide-to-the-wmo-information-system" TargetMode="External" /><Relationship Type="http://schemas.openxmlformats.org/officeDocument/2006/relationships/hyperlink" Id="rId231" Target="https://library.wmo.int/records/item/51145-guide-to-information-technology-security" TargetMode="External" /><Relationship Type="http://schemas.openxmlformats.org/officeDocument/2006/relationships/hyperlink" Id="rId120" Target="https://mqtt.org/mqtt-specification/" TargetMode="External" /><Relationship Type="http://schemas.openxmlformats.org/officeDocument/2006/relationships/hyperlink" Id="rId74" Target="https://ogcapi.ogc.org/" TargetMode="External" /><Relationship Type="http://schemas.openxmlformats.org/officeDocument/2006/relationships/hyperlink" Id="rId80" Target="https://ogcapi.ogc.org/coverages" TargetMode="External" /><Relationship Type="http://schemas.openxmlformats.org/officeDocument/2006/relationships/hyperlink" Id="rId76" Target="https://ogcapi.ogc.org/edr" TargetMode="External" /><Relationship Type="http://schemas.openxmlformats.org/officeDocument/2006/relationships/hyperlink" Id="rId78"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3" Target="https://schema.org" TargetMode="External" /><Relationship Type="http://schemas.openxmlformats.org/officeDocument/2006/relationships/hyperlink" Id="rId72" Target="https://spec.openapis.org/oas/v3.1.0" TargetMode="External" /><Relationship Type="http://schemas.openxmlformats.org/officeDocument/2006/relationships/hyperlink" Id="rId95" Target="https://spec.openapis.org/oas/v3.1.0#security-scheme-object" TargetMode="External" /><Relationship Type="http://schemas.openxmlformats.org/officeDocument/2006/relationships/hyperlink" Id="rId66" Target="https://stacspec.org/en" TargetMode="External" /><Relationship Type="http://schemas.openxmlformats.org/officeDocument/2006/relationships/hyperlink" Id="rId83" Target="https://wmo.int/world-weather-watch" TargetMode="External" /><Relationship Type="http://schemas.openxmlformats.org/officeDocument/2006/relationships/hyperlink" Id="rId190" Target="https://www.amqp.org/resources/specifications" TargetMode="External" /><Relationship Type="http://schemas.openxmlformats.org/officeDocument/2006/relationships/hyperlink" Id="rId69" Target="https://www.eumetsat.int/format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8" Target="https://www.iasa-web.org/tc04/submission-information-package-sip" TargetMode="External" /><Relationship Type="http://schemas.openxmlformats.org/officeDocument/2006/relationships/hyperlink" Id="rId34" Target="https://www.w3.org/TR/vocab-dcat-2/#Class:Dataset" TargetMode="External" /><Relationship Type="http://schemas.openxmlformats.org/officeDocument/2006/relationships/hyperlink" Id="rId58"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0"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3"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99"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2" Target="https://docs.wis2box.wis.wmo.int" TargetMode="External" /><Relationship Type="http://schemas.openxmlformats.org/officeDocument/2006/relationships/hyperlink" Id="rId164" Target="https://github.com/wmo-im/wis2-gdc" TargetMode="External" /><Relationship Type="http://schemas.openxmlformats.org/officeDocument/2006/relationships/hyperlink" Id="rId151" Target="https://github.com/wmo-im/wis2-metric-hierarchy" TargetMode="External" /><Relationship Type="http://schemas.openxmlformats.org/officeDocument/2006/relationships/hyperlink" Id="rId211" Target="https://go-fair.org" TargetMode="External" /><Relationship Type="http://schemas.openxmlformats.org/officeDocument/2006/relationships/hyperlink" Id="rId233" Target="https://library.wmo.int/records/item/28988-guide-to-the-wmo-information-system" TargetMode="External" /><Relationship Type="http://schemas.openxmlformats.org/officeDocument/2006/relationships/hyperlink" Id="rId231" Target="https://library.wmo.int/records/item/51145-guide-to-information-technology-security" TargetMode="External" /><Relationship Type="http://schemas.openxmlformats.org/officeDocument/2006/relationships/hyperlink" Id="rId120" Target="https://mqtt.org/mqtt-specification/" TargetMode="External" /><Relationship Type="http://schemas.openxmlformats.org/officeDocument/2006/relationships/hyperlink" Id="rId74" Target="https://ogcapi.ogc.org/" TargetMode="External" /><Relationship Type="http://schemas.openxmlformats.org/officeDocument/2006/relationships/hyperlink" Id="rId80" Target="https://ogcapi.ogc.org/coverages" TargetMode="External" /><Relationship Type="http://schemas.openxmlformats.org/officeDocument/2006/relationships/hyperlink" Id="rId76" Target="https://ogcapi.ogc.org/edr" TargetMode="External" /><Relationship Type="http://schemas.openxmlformats.org/officeDocument/2006/relationships/hyperlink" Id="rId78"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3" Target="https://schema.org" TargetMode="External" /><Relationship Type="http://schemas.openxmlformats.org/officeDocument/2006/relationships/hyperlink" Id="rId72" Target="https://spec.openapis.org/oas/v3.1.0" TargetMode="External" /><Relationship Type="http://schemas.openxmlformats.org/officeDocument/2006/relationships/hyperlink" Id="rId95" Target="https://spec.openapis.org/oas/v3.1.0#security-scheme-object" TargetMode="External" /><Relationship Type="http://schemas.openxmlformats.org/officeDocument/2006/relationships/hyperlink" Id="rId66" Target="https://stacspec.org/en" TargetMode="External" /><Relationship Type="http://schemas.openxmlformats.org/officeDocument/2006/relationships/hyperlink" Id="rId83" Target="https://wmo.int/world-weather-watch" TargetMode="External" /><Relationship Type="http://schemas.openxmlformats.org/officeDocument/2006/relationships/hyperlink" Id="rId190" Target="https://www.amqp.org/resources/specifications" TargetMode="External" /><Relationship Type="http://schemas.openxmlformats.org/officeDocument/2006/relationships/hyperlink" Id="rId69" Target="https://www.eumetsat.int/format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8" Target="https://www.iasa-web.org/tc04/submission-information-package-sip" TargetMode="External" /><Relationship Type="http://schemas.openxmlformats.org/officeDocument/2006/relationships/hyperlink" Id="rId34" Target="https://www.w3.org/TR/vocab-dcat-2/#Class:Dataset" TargetMode="External" /><Relationship Type="http://schemas.openxmlformats.org/officeDocument/2006/relationships/hyperlink" Id="rId58"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2024-06-03T00:33:07Z</dcterms:created>
  <dcterms:modified xsi:type="dcterms:W3CDTF">2024-06-03T00:33:07Z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2024-06-03</vt:lpwstr>
  </property>
</Properties>
</file>