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93.png" ContentType="image/png"/>
  <Override PartName="/word/media/rId181.png" ContentType="image/png"/>
  <Override PartName="/word/media/rId1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2024-02-07</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1"/>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3"/>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4" w:name="X36a36d20ed8b57daac55eb3f88e6dde10183c57"/>
      <w:r>
        <w:t xml:space="preserve">Data consumer</w:t>
      </w:r>
      <w:bookmarkEnd w:id="34"/>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5" w:name="X88563ffdd7356ee45e6c49c64c2245633db4908"/>
      <w:r>
        <w:t xml:space="preserve">How to search the Global Discovery Catalogue to find Datasets</w:t>
      </w:r>
      <w:bookmarkEnd w:id="35"/>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6" w:name="X2bf408fdf972204c7fe8c8bfcecd849f33d2c04"/>
      <w:r>
        <w:t xml:space="preserve">How to subscribe to notifications about availability of new data</w:t>
      </w:r>
      <w:bookmarkEnd w:id="36"/>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7"/>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3"/>
        </w:numPr>
      </w:pPr>
      <w:r>
        <w:t xml:space="preserve">The MQTT protocol</w:t>
      </w:r>
      <w:r>
        <w:rPr>
          <w:rStyle w:val="FootnoteReference"/>
        </w:rPr>
        <w:footnoteReference w:id="117"/>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19" w:name="X5c2c63cbe773be7ffd5fb93b0614b441ffbec41"/>
      <w:r>
        <w:t xml:space="preserve">Download protocol (HTTP)</w:t>
      </w:r>
      <w:bookmarkEnd w:id="119"/>
    </w:p>
    <w:p>
      <w:pPr>
        <w:numPr>
          <w:ilvl w:val="0"/>
          <w:numId w:val="1036"/>
        </w:numPr>
      </w:pPr>
      <w:r>
        <w:t xml:space="preserve">The HTTP protocol (RFC 7231</w:t>
      </w:r>
      <w:r>
        <w:rPr>
          <w:rStyle w:val="FootnoteReference"/>
        </w:rPr>
        <w:footnoteReference w:id="120"/>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2" w:name="Xff31a5d1aa87fc988a72aaf109f7c8e748ad4b1"/>
      <w:r>
        <w:t xml:space="preserve">Implementation and operation of a WIS2 Node</w:t>
      </w:r>
      <w:bookmarkEnd w:id="122"/>
    </w:p>
    <w:p>
      <w:pPr>
        <w:pStyle w:val="Heading3"/>
      </w:pPr>
      <w:bookmarkStart w:id="123" w:name="X2dc45f7e3308f894d44a9e549266f7a5068a5e5"/>
      <w:r>
        <w:t xml:space="preserve">Practices and procedures</w:t>
      </w:r>
      <w:bookmarkEnd w:id="123"/>
    </w:p>
    <w:p>
      <w:pPr>
        <w:pStyle w:val="Heading4"/>
      </w:pPr>
      <w:bookmarkStart w:id="124" w:name="X8e028573dd812516e98f10b49ed38e5e61384e5"/>
      <w:r>
        <w:t xml:space="preserve">Registration and decommissioning of a WIS2 Node</w:t>
      </w:r>
      <w:bookmarkEnd w:id="124"/>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6" w:name="Xb8e0be8b6c37b07d112a8a99be8be37f3f9c9b4"/>
      <w:r>
        <w:t xml:space="preserve">Guidance on assigning a Centre Identifier for a WIS2 Node</w:t>
      </w:r>
      <w:bookmarkEnd w:id="126"/>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7"/>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29">
        <w:r>
          <w:rPr>
            <w:rStyle w:val="Hyperlink"/>
          </w:rPr>
          <w:t xml:space="preserve">http://www.metoffice.gov.uk</w:t>
        </w:r>
      </w:hyperlink>
      <w:r>
        <w:t xml:space="preserve">), so “metoffice” is better than “ukmo”</w:t>
      </w:r>
      <w:r>
        <w:rPr>
          <w:rStyle w:val="FootnoteReference"/>
        </w:rPr>
        <w:footnoteReference w:id="130"/>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1" w:name="X2efa4b3c7f11b5869994d3f39fb42c00bf9526c"/>
      <w:r>
        <w:t xml:space="preserve">Authentication, authorization, and access control for a WIS2 Node</w:t>
      </w:r>
      <w:bookmarkEnd w:id="131"/>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2"/>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3"/>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4"/>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5"/>
      </w:r>
      <w:r>
        <w:t xml:space="preserve">.</w:t>
      </w:r>
    </w:p>
    <w:p>
      <w:pPr>
        <w:pStyle w:val="Heading3"/>
      </w:pPr>
      <w:bookmarkStart w:id="136" w:name="X88471e81d2325170fe741992b384283916f363b"/>
      <w:r>
        <w:t xml:space="preserve">Performance management</w:t>
      </w:r>
      <w:bookmarkEnd w:id="136"/>
    </w:p>
    <w:p>
      <w:pPr>
        <w:pStyle w:val="Heading4"/>
      </w:pPr>
      <w:bookmarkStart w:id="137" w:name="Xe6d7c72f985dadd42293bc857d52add7d42ea2b"/>
      <w:r>
        <w:t xml:space="preserve">Service levels and performance indicators</w:t>
      </w:r>
      <w:bookmarkEnd w:id="137"/>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38" w:name="X8bf05b2e0d10427f62345612d639c55cc744267"/>
      <w:r>
        <w:t xml:space="preserve">Provision of system performance metrics</w:t>
      </w:r>
      <w:bookmarkEnd w:id="138"/>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9" w:name="X0fb30a4311a2f4b49b867218c927e6ebb4ef16d"/>
      <w:r>
        <w:t xml:space="preserve">WIS2 Node reference implementation: wis2box</w:t>
      </w:r>
      <w:bookmarkEnd w:id="139"/>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0">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0">
        <w:r>
          <w:rPr>
            <w:rStyle w:val="Hyperlink"/>
          </w:rPr>
          <w:t xml:space="preserve">https://docs.wis2box.wis.wmo.int</w:t>
        </w:r>
      </w:hyperlink>
      <w:r>
        <w:t xml:space="preserve">.</w:t>
      </w:r>
    </w:p>
    <w:p>
      <w:pPr>
        <w:pStyle w:val="Heading2"/>
      </w:pPr>
      <w:bookmarkStart w:id="141" w:name="X9e72a2ecfcdde13f98188c11fb151050efd6b8e"/>
      <w:r>
        <w:t xml:space="preserve">Implementation and operation of a Global Service</w:t>
      </w:r>
      <w:bookmarkEnd w:id="141"/>
    </w:p>
    <w:p>
      <w:pPr>
        <w:pStyle w:val="Heading3"/>
      </w:pPr>
      <w:bookmarkStart w:id="142" w:name="X2413b2167533c41decb1d7ad264ee77ac10f5b8"/>
      <w:r>
        <w:t xml:space="preserve">Procedure for registration of a new Global Service</w:t>
      </w:r>
      <w:bookmarkEnd w:id="142"/>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3" w:name="X92a574e92bd468929fa857fcf361addb0e19130"/>
      <w:r>
        <w:t xml:space="preserve">Performance management and monitoring of a Global Service</w:t>
      </w:r>
      <w:bookmarkEnd w:id="143"/>
    </w:p>
    <w:p>
      <w:pPr>
        <w:pStyle w:val="Heading4"/>
      </w:pPr>
      <w:bookmarkStart w:id="144" w:name="X5e314926e6c38d8253e74ca9c7c0b4c5d26b707"/>
      <w:r>
        <w:t xml:space="preserve">Monitoring and metrics for WIS2 operations</w:t>
      </w:r>
      <w:bookmarkEnd w:id="144"/>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6"/>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8"/>
      </w:r>
    </w:p>
    <w:p>
      <w:pPr>
        <w:pStyle w:val="Heading4"/>
      </w:pPr>
      <w:bookmarkStart w:id="150" w:name="X61b468b8bf7d4308bcaac71a7f66d738b5d312d"/>
      <w:r>
        <w:t xml:space="preserve">Service levels, performance indicators, and fair-usage policies</w:t>
      </w:r>
      <w:bookmarkEnd w:id="150"/>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1" w:name="X9f81c9ccadcb1a687a8114ac1ba77ad17867978"/>
      <w:r>
        <w:t xml:space="preserve">Metrics for Global Services</w:t>
      </w:r>
      <w:bookmarkEnd w:id="151"/>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2" w:name="Xe0eab1aae4f0a18f4dcba102bbc5cb0f1021ecf"/>
      <w:r>
        <w:t xml:space="preserve">Global Broker</w:t>
      </w:r>
      <w:bookmarkEnd w:id="152"/>
    </w:p>
    <w:p>
      <w:pPr>
        <w:pStyle w:val="Heading4"/>
      </w:pPr>
      <w:bookmarkStart w:id="153" w:name="Xffd6385210ddd18d3a42c4b75583b265bf38983"/>
      <w:r>
        <w:t xml:space="preserve">Technical considerations</w:t>
      </w:r>
      <w:bookmarkEnd w:id="153"/>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4" w:name="X743200c472f9d0375e2986f5890dff3da599269"/>
      <w:r>
        <w:t xml:space="preserve">Global Cache</w:t>
      </w:r>
      <w:bookmarkEnd w:id="15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5" w:name="X786d3f3a1e3b20eb2f4f60f868fc4d4fcbe1071"/>
      <w:r>
        <w:t xml:space="preserve">Technical considerations</w:t>
      </w:r>
      <w:bookmarkEnd w:id="155"/>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6" w:name="Xc6a761dae7c2ab8ca53d55e2bb6a1eee7d9f700"/>
      <w:r>
        <w:t xml:space="preserve">Practices and procedures</w:t>
      </w:r>
      <w:bookmarkEnd w:id="156"/>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7"/>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8" w:name="X98dc1b7aeea0d58f8b8d679247b663e1f86c3af"/>
      <w:r>
        <w:t xml:space="preserve">Global Discovery Catalogue</w:t>
      </w:r>
      <w:bookmarkEnd w:id="158"/>
    </w:p>
    <w:p>
      <w:pPr>
        <w:pStyle w:val="Heading4"/>
      </w:pPr>
      <w:bookmarkStart w:id="159" w:name="Xfb2e666548741befe53fbe311ab83706f224432"/>
      <w:r>
        <w:t xml:space="preserve">Technical considerations</w:t>
      </w:r>
      <w:bookmarkEnd w:id="159"/>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0"/>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1" w:name="X6065a0bce40360a3246dd1925c599c3bfa3e21a"/>
      <w:r>
        <w:t xml:space="preserve">Global Discovery Catalogue reference implementation: wis2-gdc</w:t>
      </w:r>
      <w:bookmarkEnd w:id="16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2">
        <w:r>
          <w:rPr>
            <w:rStyle w:val="Hyperlink"/>
          </w:rPr>
          <w:t xml:space="preserve">https://github.com/wmo-im/wis2-gdc</w:t>
        </w:r>
      </w:hyperlink>
      <w:r>
        <w:t xml:space="preserve">.</w:t>
      </w:r>
    </w:p>
    <w:p>
      <w:pPr>
        <w:pStyle w:val="Heading3"/>
      </w:pPr>
      <w:bookmarkStart w:id="163" w:name="Xcc01d2686e89c463d7923a65ea7a9e03e587af8"/>
      <w:r>
        <w:t xml:space="preserve">Global Monitor</w:t>
      </w:r>
      <w:bookmarkEnd w:id="163"/>
    </w:p>
    <w:p>
      <w:pPr>
        <w:pStyle w:val="Heading4"/>
      </w:pPr>
      <w:bookmarkStart w:id="164" w:name="Xd139f35e1c8e20bb300c6e70a06e779eeaccbe8"/>
      <w:r>
        <w:t xml:space="preserve">Technical Considerations</w:t>
      </w:r>
      <w:bookmarkEnd w:id="164"/>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5" w:name="Xeeabc229dc8912ba5f974878e5a5a11961b3b62"/>
      <w:r>
        <w:t xml:space="preserve">Operations</w:t>
      </w:r>
      <w:bookmarkEnd w:id="165"/>
    </w:p>
    <w:p>
      <w:pPr>
        <w:pStyle w:val="Heading3"/>
      </w:pPr>
      <w:bookmarkStart w:id="166" w:name="X5c617aa2ee6751c4b95283e47cb4b5ee7ac3c61"/>
      <w:r>
        <w:t xml:space="preserve">Interoperability with external systems</w:t>
      </w:r>
      <w:bookmarkEnd w:id="16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7" w:name="X9a4ce0d19d67477e2e98a434de760aa481811e6"/>
      <w:r>
        <w:t xml:space="preserve">Publishing meteorological data through WIS2 into ICAO SWIM</w:t>
      </w:r>
      <w:bookmarkEnd w:id="167"/>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8"/>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9"/>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0" w:name="X14ff1e968629101d51c4e96198c1e3ef5ed75df"/>
      <w:r>
        <w:t xml:space="preserve">WIS2 to SWIM Gateway</w:t>
      </w:r>
      <w:bookmarkEnd w:id="170"/>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1"/>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2" w:name="X32503eef144b6f9e5340fc09f6b6729dde1508a"/>
      <w:r>
        <w:t xml:space="preserve">Data types and format</w:t>
      </w:r>
      <w:bookmarkEnd w:id="172"/>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3"/>
      </w:r>
      <w:r>
        <w:t xml:space="preserve"> </w:t>
      </w:r>
      <w:r>
        <w:t xml:space="preserve">is to be used for encoding aeronautical meteorological information in SWIM.</w:t>
      </w:r>
    </w:p>
    <w:p>
      <w:pPr>
        <w:pStyle w:val="Heading5"/>
      </w:pPr>
      <w:bookmarkStart w:id="174" w:name="X4e8addac518048f267b87b8f17249bc74446b43"/>
      <w:r>
        <w:t xml:space="preserve">Publishing meteorological data via WIS2</w:t>
      </w:r>
      <w:bookmarkEnd w:id="174"/>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5"/>
      </w:r>
      <w:r>
        <w:rPr>
          <w:rStyle w:val="FootnoteReference"/>
        </w:rPr>
        <w:footnoteReference w:id="176"/>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7"/>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8"/>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9" w:name="Xac9fa0d706a584b25e8ed536b901df2da5c4019"/>
      <w:r>
        <w:t xml:space="preserve">Gateway implementation</w:t>
      </w:r>
      <w:bookmarkEnd w:id="179"/>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0"/>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1"/>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2"/>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3"/>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4"/>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5"/>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6" w:name="X8ab0215de29d7e2030f4813a9a0181844a790ad"/>
      <w:r>
        <w:t xml:space="preserve">SWIM service</w:t>
      </w:r>
      <w:bookmarkEnd w:id="186"/>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7"/>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9" w:name="X727e67723c58a063171b532754bb63b85d88703"/>
      <w:r>
        <w:t xml:space="preserve">The Ocean Data and Information System (ODIS)</w:t>
      </w:r>
      <w:bookmarkEnd w:id="189"/>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0"/>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2" w:name="X2479ff89485b9dffb160639adddd97c6338406f"/>
      <w:r>
        <w:t xml:space="preserve">Cross system interoperability</w:t>
      </w:r>
      <w:bookmarkEnd w:id="192"/>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3"/>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4" w:name="X50d015487b8112b45846fafc9cb4c294f9c1543"/>
      <w:r>
        <w:t xml:space="preserve">PART III</w:t>
      </w:r>
      <w:bookmarkEnd w:id="194"/>
    </w:p>
    <w:p>
      <w:pPr>
        <w:pStyle w:val="Heading2"/>
      </w:pPr>
      <w:bookmarkStart w:id="195" w:name="Xf663b84f8b08bef805756b15e1319003d76fa52"/>
      <w:r>
        <w:t xml:space="preserve">Information management</w:t>
      </w:r>
      <w:bookmarkEnd w:id="195"/>
    </w:p>
    <w:p>
      <w:pPr>
        <w:pStyle w:val="Heading3"/>
      </w:pPr>
      <w:bookmarkStart w:id="196" w:name="X1ea7cbd003469405f98a7976943980a7b23bcee"/>
      <w:r>
        <w:t xml:space="preserve">Introduction</w:t>
      </w:r>
      <w:bookmarkEnd w:id="196"/>
    </w:p>
    <w:p>
      <w:pPr>
        <w:pStyle w:val="Heading4"/>
      </w:pPr>
      <w:bookmarkStart w:id="197" w:name="Xca774f64942a7f7563fb94bb05ba7dab3a26d69"/>
      <w:r>
        <w:t xml:space="preserve">Background</w:t>
      </w:r>
      <w:bookmarkEnd w:id="1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8" w:name="Xc8210088bf4711be4456d26326179eb58b8f5b4"/>
      <w:r>
        <w:t xml:space="preserve">Scope</w:t>
      </w:r>
      <w:bookmarkEnd w:id="1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199" w:name="Xc4a1ede03be40f12a45db53a22503ecdd576f28"/>
      <w:r>
        <w:t xml:space="preserve">Intended audience</w:t>
      </w:r>
      <w:bookmarkEnd w:id="1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0" w:name="Xc94de5166ce838056d764e2813060631f45545e"/>
      <w:r>
        <w:t xml:space="preserve">Principles of information management</w:t>
      </w:r>
      <w:bookmarkEnd w:id="2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1" w:name="Xced3bf5985e11d5bf9ea318c067f81c51dd90bb"/>
      <w:r>
        <w:t xml:space="preserve">Principle 1: Information is a valued asset</w:t>
      </w:r>
      <w:bookmarkEnd w:id="201"/>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2" w:name="X2b4305e580dff0ab586fbedd336c10ae1a05bc9"/>
      <w:r>
        <w:t xml:space="preserve">Principle 2: Information must be managed</w:t>
      </w:r>
      <w:bookmarkEnd w:id="202"/>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3" w:name="X24cab0a09ccdca3e752f0ecd6d0ff5456c284f3"/>
      <w:r>
        <w:t xml:space="preserve">Principle 3: Information must be fit for purpose</w:t>
      </w:r>
      <w:bookmarkEnd w:id="203"/>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4" w:name="X6a00b6457f0c1f3361b337f694a28b174d7bdda"/>
      <w:r>
        <w:t xml:space="preserve">Principle 4: Information must be standardized and interoperable</w:t>
      </w:r>
      <w:bookmarkEnd w:id="204"/>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5" w:name="X7a72b7a348aceb0a6c3eeef09fd9dc18fc224a0"/>
      <w:r>
        <w:t xml:space="preserve">Principle 5: Information must be well documented</w:t>
      </w:r>
      <w:bookmarkEnd w:id="205"/>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6" w:name="Xf201bbec5eea25bb7367115a98b8129aa22d6b9"/>
      <w:r>
        <w:t xml:space="preserve">Principle 6: Information must be discoverable, accessible and retrievable</w:t>
      </w:r>
      <w:bookmarkEnd w:id="206"/>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7" w:name="Xad9a69e02a46804a1cafca89aee5aabe4560385"/>
      <w:r>
        <w:t xml:space="preserve">Principle 7: Information should be reusable</w:t>
      </w:r>
      <w:bookmarkEnd w:id="207"/>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8"/>
      </w:r>
    </w:p>
    <w:p>
      <w:pPr>
        <w:pStyle w:val="Heading4"/>
      </w:pPr>
      <w:bookmarkStart w:id="210" w:name="X985b53b52432ebd6bb65899337d26b4ccfeefb9"/>
      <w:r>
        <w:t xml:space="preserve">Principle 8: Information management is subject to accountability and governance.</w:t>
      </w:r>
      <w:bookmarkEnd w:id="210"/>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1" w:name="X78a249a2cf11ac86cd7d6d498271963ba9dd080"/>
      <w:r>
        <w:t xml:space="preserve">The information management lifecycle</w:t>
      </w:r>
      <w:bookmarkEnd w:id="211"/>
    </w:p>
    <w:p>
      <w:pPr>
        <w:pStyle w:val="Heading4"/>
      </w:pPr>
      <w:bookmarkStart w:id="212" w:name="X43f9398da9c2eb974194c1e60a2fdc80e1bfc87"/>
      <w:r>
        <w:t xml:space="preserve">Overview</w:t>
      </w:r>
      <w:bookmarkEnd w:id="2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3" w:name="Xb3f0671d8925fa193cc843a6c5ac3eb64409810"/>
      <w:r>
        <w:t xml:space="preserve">Overarching requirements</w:t>
      </w:r>
      <w:bookmarkEnd w:id="213"/>
    </w:p>
    <w:p>
      <w:pPr>
        <w:pStyle w:val="Heading5"/>
      </w:pPr>
      <w:bookmarkStart w:id="214" w:name="X46bef04a53b25a1a07899f714aadd7ab888e2c5"/>
      <w:r>
        <w:t xml:space="preserve">Governance</w:t>
      </w:r>
      <w:bookmarkEnd w:id="214"/>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5" w:name="X983d5959bc8486b1ce731c329c055fcbbc55a03"/>
      <w:r>
        <w:t xml:space="preserve">Documentation</w:t>
      </w:r>
      <w:bookmarkEnd w:id="215"/>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6" w:name="Xc1748e8f7038b0e2d79f80c2501fb09e121bdc5"/>
      <w:r>
        <w:t xml:space="preserve">Aspects of the information management lifecycle</w:t>
      </w:r>
      <w:bookmarkEnd w:id="216"/>
    </w:p>
    <w:p>
      <w:pPr>
        <w:pStyle w:val="Heading5"/>
      </w:pPr>
      <w:bookmarkStart w:id="217" w:name="Xb3fb7be77fcbfe5935f83c52aa59c7c4f68f9ed"/>
      <w:r>
        <w:t xml:space="preserve">Planning, information creation and acquisition</w:t>
      </w:r>
      <w:bookmarkEnd w:id="2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8" w:name="X0fb41f5d69e3c0e08742406b46184bce7272db1"/>
      <w:r>
        <w:t xml:space="preserve">Representation and metadata</w:t>
      </w:r>
      <w:bookmarkEnd w:id="2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9" w:name="X9141f665603210a069fd950d3a70a10fce81a4b"/>
      <w:r>
        <w:t xml:space="preserve">Publication and exchange of information</w:t>
      </w:r>
      <w:bookmarkEnd w:id="2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0">
        <w:r>
          <w:rPr>
            <w:rStyle w:val="Hyperlink"/>
          </w:rPr>
          <w:t xml:space="preserve">https://community.wmo.int/news/operational-newsletter</w:t>
        </w:r>
      </w:hyperlink>
    </w:p>
    <w:p>
      <w:pPr>
        <w:pStyle w:val="Heading5"/>
      </w:pPr>
      <w:bookmarkStart w:id="221" w:name="X3943a915dab0acd14a551cc23fe1ab4fc5b6d08"/>
      <w:r>
        <w:t xml:space="preserve">Usage and communication</w:t>
      </w:r>
      <w:bookmarkEnd w:id="22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2" w:name="Xc49f3d2ac2c1a4985f413e4e33375d67ca4edae"/>
      <w:r>
        <w:t xml:space="preserve">Storage, archival and disposal</w:t>
      </w:r>
      <w:bookmarkEnd w:id="22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3" w:name="Xcde52b855ebe88b41febf339572171c6eff9f00"/>
      <w:r>
        <w:t xml:space="preserve">Other considerations</w:t>
      </w:r>
      <w:bookmarkEnd w:id="223"/>
    </w:p>
    <w:p>
      <w:pPr>
        <w:pStyle w:val="Heading4"/>
      </w:pPr>
      <w:bookmarkStart w:id="224" w:name="Xaaae0965b9c1bfef7ff2e90d054b0b5d3ba2f74"/>
      <w:r>
        <w:t xml:space="preserve">Technology and technology migration</w:t>
      </w:r>
      <w:bookmarkEnd w:id="224"/>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5" w:name="X4be09f68f287a055be5a28deacf8bb1b4bf1904"/>
      <w:r>
        <w:t xml:space="preserve">Information security</w:t>
      </w:r>
      <w:bookmarkEnd w:id="225"/>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6" w:name="X21cd127bd20f258a1e62ea9ca51972219f0b892"/>
      <w:r>
        <w:t xml:space="preserve">PART IV</w:t>
      </w:r>
      <w:bookmarkEnd w:id="226"/>
    </w:p>
    <w:p>
      <w:pPr>
        <w:pStyle w:val="Heading2"/>
      </w:pPr>
      <w:bookmarkStart w:id="227" w:name="X450d2800ceddee769150bb96f748c14ec1a5fef"/>
      <w:r>
        <w:t xml:space="preserve">Security</w:t>
      </w:r>
      <w:bookmarkEnd w:id="227"/>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28"/>
      </w:r>
    </w:p>
    <w:p>
      <w:pPr>
        <w:numPr>
          <w:ilvl w:val="0"/>
          <w:numId w:val="1084"/>
        </w:numPr>
      </w:pPr>
      <w:r>
        <w:rPr>
          <w:i/>
        </w:rPr>
        <w:t xml:space="preserve">Guide to the WMO Information System</w:t>
      </w:r>
      <w:r>
        <w:t xml:space="preserve"> </w:t>
      </w:r>
      <w:r>
        <w:t xml:space="preserve">(WMO-No. 1061), Vol I</w:t>
      </w:r>
      <w:r>
        <w:rPr>
          <w:rStyle w:val="FootnoteReference"/>
        </w:rPr>
        <w:footnoteReference w:id="230"/>
      </w:r>
      <w:r>
        <w:t xml:space="preserve">, Appendix E - Annex To Paragraph 7.8 (ICT Service Incident Management), and Appendix F - WIS IT Security Incident Response Process</w:t>
      </w:r>
    </w:p>
    <w:p>
      <w:pPr>
        <w:pStyle w:val="Heading1"/>
      </w:pPr>
      <w:bookmarkStart w:id="232" w:name="X3305ea5abe6b1fb2cabf7a817df7b030491936b"/>
      <w:r>
        <w:t xml:space="preserve">PART V</w:t>
      </w:r>
      <w:bookmarkEnd w:id="232"/>
    </w:p>
    <w:p>
      <w:pPr>
        <w:pStyle w:val="Heading2"/>
      </w:pPr>
      <w:bookmarkStart w:id="233" w:name="Xb01b72941e106f40026e8313cebe8325cd24f8c"/>
      <w:r>
        <w:t xml:space="preserve">Competencies</w:t>
      </w:r>
      <w:bookmarkEnd w:id="233"/>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4"/>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Data Catalog Vocabulary (DCAT) - Version 2, W3C Recommendation 04 February 2020</w:t>
      </w:r>
      <w:r>
        <w:t xml:space="preserve"> </w:t>
      </w:r>
      <w:hyperlink r:id="rId32">
        <w:r>
          <w:rPr>
            <w:rStyle w:val="Hyperlink"/>
          </w:rPr>
          <w:t xml:space="preserve">https://www.w3.org/TR/vocab-dcat-2/#Class:Dataset</w:t>
        </w:r>
      </w:hyperlink>
    </w:p>
  </w:footnote>
  <w:footnote w:id="33">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7">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https://datatracker.ietf.org/doc/html/rfc7946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 3986 - Uniform Resource Identifier (URI) - Generic Syntax:</w:t>
      </w:r>
      <w:r>
        <w:t xml:space="preserve"> </w:t>
      </w:r>
      <w:hyperlink r:id="rId58">
        <w:r>
          <w:rPr>
            <w:rStyle w:val="Hyperlink"/>
          </w:rPr>
          <w:t xml:space="preserve">https://datatracker.ietf.org/doc/html/rfc3986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7">
    <w:p>
      <w:pPr>
        <w:pStyle w:val="FootnoteText"/>
      </w:pPr>
      <w:r>
        <w:rPr>
          <w:rStyle w:val="FootnoteReference"/>
        </w:rPr>
        <w:footnoteRef/>
      </w:r>
      <w:r>
        <w:t xml:space="preserve"> </w:t>
      </w:r>
      <w:r>
        <w:t xml:space="preserve">MQTT Specifications:</w:t>
      </w:r>
      <w:r>
        <w:t xml:space="preserve"> </w:t>
      </w:r>
      <w:hyperlink r:id="rId118">
        <w:r>
          <w:rPr>
            <w:rStyle w:val="Hyperlink"/>
          </w:rPr>
          <w:t xml:space="preserve">https://mqtt.org/mqtt-specification/</w:t>
        </w:r>
      </w:hyperlink>
    </w:p>
  </w:footnote>
  <w:footnote w:id="120">
    <w:p>
      <w:pPr>
        <w:pStyle w:val="FootnoteText"/>
      </w:pPr>
      <w:r>
        <w:rPr>
          <w:rStyle w:val="FootnoteReference"/>
        </w:rPr>
        <w:footnoteRef/>
      </w:r>
      <w:r>
        <w:t xml:space="preserve"> </w:t>
      </w:r>
      <w:r>
        <w:t xml:space="preserve">TFC 7231 - Hypertext Transfer Protocol (HTTP/1.1):</w:t>
      </w:r>
      <w:r>
        <w:t xml:space="preserve"> </w:t>
      </w:r>
      <w:hyperlink r:id="rId121">
        <w:r>
          <w:rPr>
            <w:rStyle w:val="Hyperlink"/>
          </w:rPr>
          <w:t xml:space="preserve">https://datatracker.ietf.org/doc/html/rfc7231</w:t>
        </w:r>
      </w:hyperlink>
    </w:p>
  </w:footnote>
  <w:footnote w:id="127">
    <w:p>
      <w:pPr>
        <w:pStyle w:val="FootnoteText"/>
      </w:pPr>
      <w:r>
        <w:rPr>
          <w:rStyle w:val="FootnoteReference"/>
        </w:rPr>
        <w:footnoteRef/>
      </w:r>
      <w:r>
        <w:t xml:space="preserve"> </w:t>
      </w:r>
      <w:r>
        <w:t xml:space="preserve">IANA Top Level Domains</w:t>
      </w:r>
      <w:r>
        <w:t xml:space="preserve"> </w:t>
      </w:r>
      <w:hyperlink r:id="rId128">
        <w:r>
          <w:rPr>
            <w:rStyle w:val="Hyperlink"/>
          </w:rPr>
          <w:t xml:space="preserve">https://data.iana.org/TLD</w:t>
        </w:r>
      </w:hyperlink>
    </w:p>
  </w:footnote>
  <w:footnote w:id="130">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2">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3">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4">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5">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5">
    <w:p>
      <w:pPr>
        <w:pStyle w:val="FootnoteText"/>
      </w:pPr>
      <w:r>
        <w:rPr>
          <w:rStyle w:val="FootnoteReference"/>
        </w:rPr>
        <w:footnoteRef/>
      </w:r>
      <w:r>
        <w:t xml:space="preserve"> </w:t>
      </w:r>
      <w:r>
        <w:t xml:space="preserve">OpenMetrics is proposed as a draft standard within IETF.</w:t>
      </w:r>
    </w:p>
  </w:footnote>
  <w:footnote w:id="146">
    <w:p>
      <w:pPr>
        <w:pStyle w:val="FootnoteText"/>
      </w:pPr>
      <w:r>
        <w:rPr>
          <w:rStyle w:val="FootnoteReference"/>
        </w:rPr>
        <w:footnoteRef/>
      </w:r>
      <w:r>
        <w:t xml:space="preserve"> </w:t>
      </w:r>
      <w:hyperlink r:id="rId147">
        <w:r>
          <w:rPr>
            <w:rStyle w:val="Hyperlink"/>
          </w:rPr>
          <w:t xml:space="preserve">https://openmetrics.io</w:t>
        </w:r>
      </w:hyperlink>
    </w:p>
  </w:footnote>
  <w:footnote w:id="148">
    <w:p>
      <w:pPr>
        <w:pStyle w:val="FootnoteText"/>
      </w:pPr>
      <w:r>
        <w:rPr>
          <w:rStyle w:val="FootnoteReference"/>
        </w:rPr>
        <w:footnoteRef/>
      </w:r>
      <w:r>
        <w:t xml:space="preserve"> </w:t>
      </w:r>
      <w:hyperlink r:id="rId149">
        <w:r>
          <w:rPr>
            <w:rStyle w:val="Hyperlink"/>
          </w:rPr>
          <w:t xml:space="preserve">https://github.com/wmo-im/wis2-metric-hierarchy</w:t>
        </w:r>
      </w:hyperlink>
    </w:p>
  </w:footnote>
  <w:footnote w:id="15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0">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8">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9">
    <w:p>
      <w:pPr>
        <w:pStyle w:val="FootnoteText"/>
      </w:pPr>
      <w:r>
        <w:rPr>
          <w:rStyle w:val="FootnoteReference"/>
        </w:rPr>
        <w:footnoteRef/>
      </w:r>
      <w:r>
        <w:t xml:space="preserve"> </w:t>
      </w:r>
      <w:r>
        <w:t xml:space="preserve">AMQP 1.0 is one of the protocols proposed in the draft PANS-IM</w:t>
      </w:r>
    </w:p>
  </w:footnote>
  <w:footnote w:id="173">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6">
    <w:p>
      <w:pPr>
        <w:pStyle w:val="FootnoteText"/>
      </w:pPr>
      <w:r>
        <w:rPr>
          <w:rStyle w:val="FootnoteReference"/>
        </w:rPr>
        <w:footnoteRef/>
      </w:r>
      <w:r>
        <w:t xml:space="preserve"> </w:t>
      </w:r>
      <w:r>
        <w:t xml:space="preserve">WIS2 does not provide any guidance on use of Public Key Infrastructure (PKI).</w:t>
      </w:r>
    </w:p>
  </w:footnote>
  <w:footnote w:id="17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0">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2">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3">
    <w:p>
      <w:pPr>
        <w:pStyle w:val="FootnoteText"/>
      </w:pPr>
      <w:r>
        <w:rPr>
          <w:rStyle w:val="FootnoteReference"/>
        </w:rPr>
        <w:footnoteRef/>
      </w:r>
      <w:r>
        <w:t xml:space="preserve"> </w:t>
      </w:r>
      <w:r>
        <w:t xml:space="preserve">The WIS2 Node may control access to data - the Gateway will need to be implemented accordingly.</w:t>
      </w:r>
    </w:p>
  </w:footnote>
  <w:footnote w:id="184">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5">
    <w:p>
      <w:pPr>
        <w:pStyle w:val="FootnoteText"/>
      </w:pPr>
      <w:r>
        <w:rPr>
          <w:rStyle w:val="FootnoteReference"/>
        </w:rPr>
        <w:footnoteRef/>
      </w:r>
      <w:r>
        <w:t xml:space="preserve"> </w:t>
      </w:r>
      <w:r>
        <w:t xml:space="preserve">OpenMetrics:</w:t>
      </w:r>
      <w:r>
        <w:t xml:space="preserve"> </w:t>
      </w:r>
      <w:hyperlink r:id="rId147">
        <w:r>
          <w:rPr>
            <w:rStyle w:val="Hyperlink"/>
          </w:rPr>
          <w:t xml:space="preserve">https://openmetrics.io</w:t>
        </w:r>
      </w:hyperlink>
    </w:p>
  </w:footnote>
  <w:footnote w:id="187">
    <w:p>
      <w:pPr>
        <w:pStyle w:val="FootnoteText"/>
      </w:pPr>
      <w:r>
        <w:rPr>
          <w:rStyle w:val="FootnoteReference"/>
        </w:rPr>
        <w:footnoteRef/>
      </w:r>
      <w:r>
        <w:t xml:space="preserve"> </w:t>
      </w:r>
      <w:r>
        <w:t xml:space="preserve">AMQP 1.0:</w:t>
      </w:r>
      <w:r>
        <w:t xml:space="preserve"> </w:t>
      </w:r>
      <w:hyperlink r:id="rId188">
        <w:r>
          <w:rPr>
            <w:rStyle w:val="Hyperlink"/>
          </w:rPr>
          <w:t xml:space="preserve">https://www.amqp.org/resources/specifications</w:t>
        </w:r>
      </w:hyperlink>
    </w:p>
  </w:footnote>
  <w:footnote w:id="190">
    <w:p>
      <w:pPr>
        <w:pStyle w:val="FootnoteText"/>
      </w:pPr>
      <w:r>
        <w:rPr>
          <w:rStyle w:val="FootnoteReference"/>
        </w:rPr>
        <w:footnoteRef/>
      </w:r>
      <w:r>
        <w:t xml:space="preserve"> </w:t>
      </w:r>
      <w:hyperlink r:id="rId191">
        <w:r>
          <w:rPr>
            <w:rStyle w:val="Hyperlink"/>
          </w:rPr>
          <w:t xml:space="preserve">https://schema.org</w:t>
        </w:r>
      </w:hyperlink>
    </w:p>
  </w:footnote>
  <w:footnote w:id="208">
    <w:p>
      <w:pPr>
        <w:pStyle w:val="FootnoteText"/>
      </w:pPr>
      <w:r>
        <w:rPr>
          <w:rStyle w:val="FootnoteReference"/>
        </w:rPr>
        <w:footnoteRef/>
      </w:r>
      <w:r>
        <w:t xml:space="preserve"> </w:t>
      </w:r>
      <w:hyperlink r:id="rId209">
        <w:r>
          <w:rPr>
            <w:rStyle w:val="Hyperlink"/>
          </w:rPr>
          <w:t xml:space="preserve">https://go-fair.org</w:t>
        </w:r>
      </w:hyperlink>
    </w:p>
  </w:footnote>
  <w:footnote w:id="228">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29">
        <w:r>
          <w:rPr>
            <w:rStyle w:val="Hyperlink"/>
          </w:rPr>
          <w:t xml:space="preserve">https://library.wmo.int/records/item/51145-guide-to-information-technology-security</w:t>
        </w:r>
      </w:hyperlink>
    </w:p>
  </w:footnote>
  <w:footnote w:id="230">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 w:id="234">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93" Target="media/rId193.png" /><Relationship Type="http://schemas.openxmlformats.org/officeDocument/2006/relationships/image" Id="rId181" Target="media/rId181.png" /><Relationship Type="http://schemas.openxmlformats.org/officeDocument/2006/relationships/image" Id="rId171" Target="media/rId171.png" /><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2024-02-15T02:02:04Z</dcterms:created>
  <dcterms:modified xsi:type="dcterms:W3CDTF">2024-02-15T02:02:04Z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