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9.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621fe386e8e4d9c170b119f3536dfa3ad2d770"/>
      <w:r>
        <w:t xml:space="preserve">Publish-Subscribe protocol configuration (MQTT)</w:t>
      </w:r>
      <w:bookmarkEnd w:id="49"/>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MQTT and 443 for Secure Web Socket (WSS).</w:t>
      </w:r>
    </w:p>
    <w:p>
      <w:pPr>
        <w:pStyle w:val="Heading2"/>
      </w:pPr>
      <w:bookmarkStart w:id="50" w:name="Xff31a5d1aa87fc988a72aaf109f7c8e748ad4b1"/>
      <w:r>
        <w:t xml:space="preserve">Implementation and operation of a WIS2 Node</w:t>
      </w:r>
      <w:bookmarkEnd w:id="50"/>
    </w:p>
    <w:p>
      <w:pPr>
        <w:pStyle w:val="Heading3"/>
      </w:pPr>
      <w:bookmarkStart w:id="51" w:name="X2dc45f7e3308f894d44a9e549266f7a5068a5e5"/>
      <w:r>
        <w:t xml:space="preserve">Practices and procedures</w:t>
      </w:r>
      <w:bookmarkEnd w:id="51"/>
    </w:p>
    <w:p>
      <w:pPr>
        <w:pStyle w:val="Heading4"/>
      </w:pPr>
      <w:bookmarkStart w:id="52" w:name="X8e028573dd812516e98f10b49ed38e5e61384e5"/>
      <w:r>
        <w:t xml:space="preserve">Registration and decommissioning of a WIS2 Node</w:t>
      </w:r>
      <w:bookmarkEnd w:id="52"/>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3"/>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4" w:name="Xf767dc45d10fda218afde6b3036463a48df52ca"/>
      <w:r>
        <w:t xml:space="preserve">Registration and removal of a dataset</w:t>
      </w:r>
      <w:bookmarkEnd w:id="54"/>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5" w:name="X3289680ea2f7d4109aa6428f322d340e91d0957"/>
      <w:r>
        <w:t xml:space="preserve">Connecting with Global Services</w:t>
      </w:r>
      <w:bookmarkEnd w:id="55"/>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6" w:name="Xf27b1f0223a14cb62d964158e83b2aa83f010f8"/>
      <w:r>
        <w:t xml:space="preserve">Publishing data, discovery metadata, and notification messages</w:t>
      </w:r>
      <w:bookmarkEnd w:id="56"/>
    </w:p>
    <w:p>
      <w:pPr>
        <w:pStyle w:val="Heading4"/>
      </w:pPr>
      <w:bookmarkStart w:id="57" w:name="X62d67b478702f8c797216a8f6868a0b35e7d516"/>
      <w:r>
        <w:t xml:space="preserve">Discovery metadata</w:t>
      </w:r>
      <w:bookmarkEnd w:id="57"/>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8" w:name="X1570affaafae1bfedcbec5b9543c51eae060db5"/>
      <w:r>
        <w:t xml:space="preserve">Notification messages</w:t>
      </w:r>
      <w:bookmarkEnd w:id="58"/>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9" w:name="X05ad229d6065a3fb9e9fa952b4fa2f12120cd4a"/>
      <w:r>
        <w:t xml:space="preserve">Data</w:t>
      </w:r>
      <w:bookmarkEnd w:id="59"/>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0" w:name="X4c61f413c1bd3d905b4c8f2b481e7faf4997b39"/>
      <w:r>
        <w:t xml:space="preserve">Publication and topic selection</w:t>
      </w:r>
      <w:bookmarkEnd w:id="60"/>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1" w:name="X469a4c6764d277c49a5097b725d2a1e4deb0cd3"/>
      <w:r>
        <w:t xml:space="preserve">Use of the "experimental" topic</w:t>
      </w:r>
      <w:bookmarkEnd w:id="61"/>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2" w:name="X88471e81d2325170fe741992b384283916f363b"/>
      <w:r>
        <w:t xml:space="preserve">Performance management</w:t>
      </w:r>
      <w:bookmarkEnd w:id="62"/>
    </w:p>
    <w:p>
      <w:pPr>
        <w:pStyle w:val="Heading4"/>
      </w:pPr>
      <w:bookmarkStart w:id="63" w:name="Xe6d7c72f985dadd42293bc857d52add7d42ea2b"/>
      <w:r>
        <w:t xml:space="preserve">Service levels and performance indicators</w:t>
      </w:r>
      <w:bookmarkEnd w:id="63"/>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64" w:name="X8bf05b2e0d10427f62345612d639c55cc744267"/>
      <w:r>
        <w:t xml:space="preserve">Provision of system performance metrics</w:t>
      </w:r>
      <w:bookmarkEnd w:id="64"/>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5" w:name="X0fb30a4311a2f4b49b867218c927e6ebb4ef16d"/>
      <w:r>
        <w:t xml:space="preserve">WIS2 Node reference implementation: wis2box</w:t>
      </w:r>
      <w:bookmarkEnd w:id="65"/>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6">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6">
        <w:r>
          <w:rPr>
            <w:rStyle w:val="Hyperlink"/>
          </w:rPr>
          <w:t xml:space="preserve">https://docs.wis2box.wis.wmo.int</w:t>
        </w:r>
      </w:hyperlink>
      <w:r>
        <w:t xml:space="preserve">.</w:t>
      </w:r>
    </w:p>
    <w:p>
      <w:pPr>
        <w:pStyle w:val="Heading2"/>
      </w:pPr>
      <w:bookmarkStart w:id="67" w:name="X9e72a2ecfcdde13f98188c11fb151050efd6b8e"/>
      <w:r>
        <w:t xml:space="preserve">Implementation and operation of a Global Service</w:t>
      </w:r>
      <w:bookmarkEnd w:id="67"/>
    </w:p>
    <w:p>
      <w:pPr>
        <w:pStyle w:val="Heading3"/>
      </w:pPr>
      <w:bookmarkStart w:id="68" w:name="X2413b2167533c41decb1d7ad264ee77ac10f5b8"/>
      <w:r>
        <w:t xml:space="preserve">Procedure for registration of a new Global Service</w:t>
      </w:r>
      <w:bookmarkEnd w:id="68"/>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2"/>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4"/>
        </w:numPr>
      </w:pPr>
      <w:r>
        <w:t xml:space="preserve">There will be multiple Global Broker instances to ensure highly available, low latency global provision of messages within WIS.</w:t>
      </w:r>
    </w:p>
    <w:p>
      <w:pPr>
        <w:numPr>
          <w:ilvl w:val="0"/>
          <w:numId w:val="1034"/>
        </w:numPr>
      </w:pPr>
      <w:r>
        <w:t xml:space="preserve">A Global Broker instance subscribes to messages from NC/DCPCs and other Global Brokers</w:t>
      </w:r>
    </w:p>
    <w:p>
      <w:pPr>
        <w:numPr>
          <w:ilvl w:val="0"/>
          <w:numId w:val="1034"/>
        </w:numPr>
      </w:pPr>
      <w:r>
        <w:t xml:space="preserve">A Global Broker instance will subscribe to messages from a subset of NC/DCPCs and republish them.</w:t>
      </w:r>
    </w:p>
    <w:p>
      <w:pPr>
        <w:numPr>
          <w:ilvl w:val="0"/>
          <w:numId w:val="1034"/>
        </w:numPr>
      </w:pPr>
      <w:r>
        <w:t xml:space="preserve">At least one Global Broker will subscribe to messages from every NC/DCPC.</w:t>
      </w:r>
    </w:p>
    <w:p>
      <w:pPr>
        <w:numPr>
          <w:ilvl w:val="0"/>
          <w:numId w:val="1034"/>
        </w:numPr>
      </w:pPr>
      <w:r>
        <w:t xml:space="preserve">For full global coverage, a Global Broker instance will subscribe to messages from other Global Broker instances and republish them.</w:t>
      </w:r>
    </w:p>
    <w:p>
      <w:pPr>
        <w:numPr>
          <w:ilvl w:val="0"/>
          <w:numId w:val="103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4"/>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4"/>
        </w:numPr>
      </w:pPr>
      <w:r>
        <w:t xml:space="preserve">WIS2 Topic Hierarchy</w:t>
      </w:r>
    </w:p>
    <w:p>
      <w:pPr>
        <w:numPr>
          <w:ilvl w:val="1"/>
          <w:numId w:val="1035"/>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5"/>
        </w:numPr>
      </w:pPr>
      <w:r>
        <w:t xml:space="preserve">A Global Broker is built around two software components:</w:t>
      </w:r>
    </w:p>
    <w:p>
      <w:pPr>
        <w:numPr>
          <w:ilvl w:val="2"/>
          <w:numId w:val="1036"/>
        </w:numPr>
      </w:pPr>
      <w:r>
        <w:t xml:space="preserve">An off the shelf broker implementing both MQTT 3.1.1 and MQTT 5.0 in a highly-available setup (cluster). Tools such as EMQX, HiveMQ, VerneMQ are compliant with these requirements.</w:t>
      </w:r>
    </w:p>
    <w:p>
      <w:pPr>
        <w:numPr>
          <w:ilvl w:val="2"/>
          <w:numId w:val="1036"/>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4" w:name="X92a574e92bd468929fa857fcf361addb0e19130"/>
      <w:r>
        <w:t xml:space="preserve">Performance management and monitoring of a Global Service</w:t>
      </w:r>
      <w:bookmarkEnd w:id="74"/>
    </w:p>
    <w:p>
      <w:pPr>
        <w:pStyle w:val="Heading4"/>
      </w:pPr>
      <w:bookmarkStart w:id="75" w:name="X61b468b8bf7d4308bcaac71a7f66d738b5d312d"/>
      <w:r>
        <w:t xml:space="preserve">Service levels, performance indicators, and fair-usage policies</w:t>
      </w:r>
      <w:bookmarkEnd w:id="75"/>
    </w:p>
    <w:p>
      <w:pPr>
        <w:numPr>
          <w:ilvl w:val="0"/>
          <w:numId w:val="1037"/>
        </w:numPr>
      </w:pPr>
      <w:r>
        <w:t xml:space="preserve">Each WIS Centre operating a WIS2 Node will be responsible in achieving the highest possible level of service based on their resources and capabilities.</w:t>
      </w:r>
    </w:p>
    <w:p>
      <w:pPr>
        <w:numPr>
          <w:ilvl w:val="0"/>
          <w:numId w:val="1037"/>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7"/>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7"/>
        </w:numPr>
      </w:pPr>
      <w:r>
        <w:t xml:space="preserve">A Global Broker:</w:t>
      </w:r>
    </w:p>
    <w:p>
      <w:pPr>
        <w:numPr>
          <w:ilvl w:val="1"/>
          <w:numId w:val="1038"/>
        </w:numPr>
      </w:pPr>
      <w:r>
        <w:t xml:space="preserve">should support a minimum of 200 WIS2 Nodes or Global Services</w:t>
      </w:r>
    </w:p>
    <w:p>
      <w:pPr>
        <w:numPr>
          <w:ilvl w:val="1"/>
          <w:numId w:val="1038"/>
        </w:numPr>
      </w:pPr>
      <w:r>
        <w:t xml:space="preserve">should support a minimum of 1000 subscribers.</w:t>
      </w:r>
    </w:p>
    <w:p>
      <w:pPr>
        <w:numPr>
          <w:ilvl w:val="1"/>
          <w:numId w:val="1038"/>
        </w:numPr>
      </w:pPr>
      <w:r>
        <w:t xml:space="preserve">should support processing of a minimum of 10000 messages per second</w:t>
      </w:r>
    </w:p>
    <w:p>
      <w:pPr>
        <w:numPr>
          <w:ilvl w:val="0"/>
          <w:numId w:val="1037"/>
        </w:numPr>
      </w:pPr>
      <w:r>
        <w:t xml:space="preserve">A Global Cache:</w:t>
      </w:r>
    </w:p>
    <w:p>
      <w:pPr>
        <w:numPr>
          <w:ilvl w:val="1"/>
          <w:numId w:val="1039"/>
        </w:numPr>
      </w:pPr>
      <w:r>
        <w:t xml:space="preserve">should support a mimimum of 100 GB of data in the cache</w:t>
      </w:r>
    </w:p>
    <w:p>
      <w:pPr>
        <w:numPr>
          <w:ilvl w:val="1"/>
          <w:numId w:val="1039"/>
        </w:numPr>
      </w:pPr>
      <w:r>
        <w:t xml:space="preserve">should support a minimum of 1000 simultaneous downloads</w:t>
      </w:r>
    </w:p>
    <w:p>
      <w:pPr>
        <w:numPr>
          <w:ilvl w:val="1"/>
          <w:numId w:val="1039"/>
        </w:numPr>
      </w:pPr>
      <w:r>
        <w:t xml:space="preserve">could limit the number of simultaneous connections from a user (known by its originating source IP) to 5</w:t>
      </w:r>
    </w:p>
    <w:p>
      <w:pPr>
        <w:numPr>
          <w:ilvl w:val="1"/>
          <w:numId w:val="1039"/>
        </w:numPr>
      </w:pPr>
      <w:r>
        <w:t xml:space="preserve">could limit the bandwidth usage of the service to 1Gb/s</w:t>
      </w:r>
    </w:p>
    <w:p>
      <w:pPr>
        <w:numPr>
          <w:ilvl w:val="0"/>
          <w:numId w:val="1037"/>
        </w:numPr>
      </w:pPr>
      <w:r>
        <w:t xml:space="preserve">A Global Monitor:</w:t>
      </w:r>
    </w:p>
    <w:p>
      <w:pPr>
        <w:numPr>
          <w:ilvl w:val="1"/>
          <w:numId w:val="1040"/>
        </w:numPr>
      </w:pPr>
      <w:r>
        <w:t xml:space="preserve">should support a minimum of 50 metrics providers</w:t>
      </w:r>
    </w:p>
    <w:p>
      <w:pPr>
        <w:numPr>
          <w:ilvl w:val="1"/>
          <w:numId w:val="1040"/>
        </w:numPr>
      </w:pPr>
      <w:r>
        <w:t xml:space="preserve">should support 200 simultaneous access to the dashboard</w:t>
      </w:r>
    </w:p>
    <w:p>
      <w:pPr>
        <w:numPr>
          <w:ilvl w:val="1"/>
          <w:numId w:val="1040"/>
        </w:numPr>
      </w:pPr>
      <w:r>
        <w:t xml:space="preserve">could limit the bandwidth usage of the service to 100Mb/s</w:t>
      </w:r>
    </w:p>
    <w:p>
      <w:pPr>
        <w:numPr>
          <w:ilvl w:val="0"/>
          <w:numId w:val="1037"/>
        </w:numPr>
      </w:pPr>
      <w:r>
        <w:t xml:space="preserve">A Global Discovery Catalogue:</w:t>
      </w:r>
    </w:p>
    <w:p>
      <w:pPr>
        <w:numPr>
          <w:ilvl w:val="1"/>
          <w:numId w:val="1041"/>
        </w:numPr>
      </w:pPr>
      <w:r>
        <w:t xml:space="preserve">should support a minimum of 20000 metadata records</w:t>
      </w:r>
    </w:p>
    <w:p>
      <w:pPr>
        <w:numPr>
          <w:ilvl w:val="1"/>
          <w:numId w:val="1041"/>
        </w:numPr>
      </w:pPr>
      <w:r>
        <w:t xml:space="preserve">should support a minimum of 50 requests per second to the API endpoint</w:t>
      </w:r>
    </w:p>
    <w:p>
      <w:pPr>
        <w:pStyle w:val="Heading4"/>
      </w:pPr>
      <w:bookmarkStart w:id="76" w:name="Xa72ae8cff5a9c823711277b9353d6156c00ce2c"/>
      <w:r>
        <w:t xml:space="preserve">Provision of metrics</w:t>
      </w:r>
      <w:bookmarkEnd w:id="7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7" w:name="X457e87df81e20dd60341813f33917c04b732591"/>
      <w:r>
        <w:t xml:space="preserve">Global Broker</w:t>
      </w:r>
      <w:bookmarkEnd w:id="77"/>
    </w:p>
    <w:p>
      <w:pPr>
        <w:pStyle w:val="Heading4"/>
      </w:pPr>
      <w:bookmarkStart w:id="78" w:name="Xffd6385210ddd18d3a42c4b75583b265bf38983"/>
      <w:r>
        <w:t xml:space="preserve">Technical considerations</w:t>
      </w:r>
      <w:bookmarkEnd w:id="78"/>
    </w:p>
    <w:p>
      <w:pPr>
        <w:numPr>
          <w:ilvl w:val="0"/>
          <w:numId w:val="1042"/>
        </w:numPr>
      </w:pPr>
      <w:r>
        <w:t xml:space="preserve">As detailed above, there will be at least three (3) instances of Global Broker to ensure highly available, low latency global provision of messages within WIS.</w:t>
      </w:r>
    </w:p>
    <w:p>
      <w:pPr>
        <w:numPr>
          <w:ilvl w:val="0"/>
          <w:numId w:val="1042"/>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2"/>
        </w:numPr>
      </w:pPr>
      <w:r>
        <w:t xml:space="preserve">Every WIS Centre or Global Service must have subscriptions from at least two Global Brokers.</w:t>
      </w:r>
    </w:p>
    <w:p>
      <w:pPr>
        <w:numPr>
          <w:ilvl w:val="0"/>
          <w:numId w:val="1042"/>
        </w:numPr>
      </w:pPr>
      <w:r>
        <w:t xml:space="preserve">For full global coverage, a Global Broker instance will subscribe to messages from at least two (2) other Global Brokers.</w:t>
      </w:r>
    </w:p>
    <w:p>
      <w:pPr>
        <w:numPr>
          <w:ilvl w:val="0"/>
          <w:numId w:val="1042"/>
        </w:numPr>
      </w:pPr>
      <w:r>
        <w:t xml:space="preserve">A Global Broker is built around two software components:</w:t>
      </w:r>
    </w:p>
    <w:p>
      <w:pPr>
        <w:numPr>
          <w:ilvl w:val="1"/>
          <w:numId w:val="1043"/>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3"/>
        </w:numPr>
      </w:pPr>
      <w:r>
        <w:t xml:space="preserve">Additional features including anti-loop detection, notification message format compliance, validation of the published topic, and provision of metrics are required.</w:t>
      </w:r>
    </w:p>
    <w:p>
      <w:pPr>
        <w:numPr>
          <w:ilvl w:val="0"/>
          <w:numId w:val="1042"/>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2"/>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2"/>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2"/>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2"/>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2"/>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2"/>
        </w:numPr>
      </w:pPr>
      <w:r>
        <w:t xml:space="preserve">All aboved defined metrics will be made avalaible on HTTPS endpoints that the Global Monitor will ingest from regularly.</w:t>
      </w:r>
    </w:p>
    <w:p>
      <w:pPr>
        <w:numPr>
          <w:ilvl w:val="0"/>
          <w:numId w:val="1042"/>
        </w:numPr>
      </w:pPr>
      <w:r>
        <w:t xml:space="preserve">As a convention Global Broker centre-id will be</w:t>
      </w:r>
      <w:r>
        <w:t xml:space="preserve"> </w:t>
      </w:r>
      <w:r>
        <w:rPr>
          <w:rStyle w:val="VerbatimChar"/>
        </w:rPr>
        <w:t xml:space="preserve">tld-{centre-name}-global-broker</w:t>
      </w:r>
      <w:r>
        <w:t xml:space="preserve">.</w:t>
      </w:r>
    </w:p>
    <w:p>
      <w:pPr>
        <w:numPr>
          <w:ilvl w:val="0"/>
          <w:numId w:val="1042"/>
        </w:numPr>
      </w:pPr>
      <w:r>
        <w:t xml:space="preserve">The figure xxx provides an illustration of the workflow followed by a Global Broker when getting a message.</w:t>
      </w:r>
    </w:p>
    <w:p>
      <w:pPr>
        <w:pStyle w:val="Heading4"/>
      </w:pPr>
      <w:bookmarkStart w:id="79" w:name="X45511a952066ae99dc17434299c676845d2fbdb"/>
      <w:r>
        <w:t xml:space="preserve">Metrics for Global Brokers</w:t>
      </w:r>
      <w:bookmarkEnd w:id="79"/>
    </w:p>
    <w:p>
      <w:pPr>
        <w:pStyle w:val="FirstParagraph"/>
      </w:pPr>
      <w:r>
        <w:t xml:space="preserve">The defined metrics for Global Brokers can be found here</w:t>
      </w:r>
      <w:r>
        <w:t xml:space="preserve"> </w:t>
      </w:r>
      <w:hyperlink r:id="rId80">
        <w:r>
          <w:rPr>
            <w:rStyle w:val="Hyperlink"/>
          </w:rPr>
          <w:t xml:space="preserve">https://raw.githubusercontent.com/wmo-im/wis2-metric-hierarchy/main/metric-hierarchy/gb.csv</w:t>
        </w:r>
      </w:hyperlink>
    </w:p>
    <w:p>
      <w:pPr>
        <w:pStyle w:val="Heading3"/>
      </w:pPr>
      <w:bookmarkStart w:id="81" w:name="X3757fd838d3368c80e2243a833cf028c5b7f1b3"/>
      <w:r>
        <w:t xml:space="preserve">Global Cache</w:t>
      </w:r>
      <w:bookmarkEnd w:id="81"/>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2" w:name="X786d3f3a1e3b20eb2f4f60f868fc4d4fcbe1071"/>
      <w:r>
        <w:t xml:space="preserve">Technical considerations</w:t>
      </w:r>
      <w:bookmarkEnd w:id="82"/>
    </w:p>
    <w:p>
      <w:pPr>
        <w:numPr>
          <w:ilvl w:val="0"/>
          <w:numId w:val="1044"/>
        </w:numPr>
      </w:pPr>
      <w:r>
        <w:t xml:space="preserve">A Global Cache is built around three software components:</w:t>
      </w:r>
    </w:p>
    <w:p>
      <w:pPr>
        <w:numPr>
          <w:ilvl w:val="1"/>
          <w:numId w:val="1045"/>
        </w:numPr>
      </w:pPr>
      <w:r>
        <w:t xml:space="preserve">A highly available data server allowing data consumers to download cache resources with high bandwidth and low latency.</w:t>
      </w:r>
    </w:p>
    <w:p>
      <w:pPr>
        <w:numPr>
          <w:ilvl w:val="1"/>
          <w:numId w:val="1045"/>
        </w:numPr>
      </w:pPr>
      <w:r>
        <w:t xml:space="preserve">A message broker implementing both MQTTv3.1.1 and MQTTv5 for publishing notification messages about resources that are available from the Global Cache</w:t>
      </w:r>
    </w:p>
    <w:p>
      <w:pPr>
        <w:numPr>
          <w:ilvl w:val="1"/>
          <w:numId w:val="1045"/>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4"/>
        </w:numPr>
      </w:pPr>
      <w:r>
        <w:t xml:space="preserve">The Global Cache will aim at containing copies of real-time and near real-time data designated as "core" within the WMO Unified Data Policy, Resolution 1 (Cg-Ext(2021)).</w:t>
      </w:r>
    </w:p>
    <w:p>
      <w:pPr>
        <w:numPr>
          <w:ilvl w:val="0"/>
          <w:numId w:val="1044"/>
        </w:numPr>
      </w:pPr>
      <w:r>
        <w:t xml:space="preserve">A Global Cache instance will host data objects copied from NC/DCPCs.</w:t>
      </w:r>
    </w:p>
    <w:p>
      <w:pPr>
        <w:numPr>
          <w:ilvl w:val="0"/>
          <w:numId w:val="1044"/>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4"/>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4"/>
        </w:numPr>
      </w:pPr>
      <w:r>
        <w:t xml:space="preserve">A Global Cache instance will publish on topic</w:t>
      </w:r>
      <w:r>
        <w:t xml:space="preserve"> </w:t>
      </w:r>
      <w:r>
        <w:rPr>
          <w:rStyle w:val="VerbatimChar"/>
        </w:rPr>
        <w:t xml:space="preserve">cache/a/wis2/…​</w:t>
      </w:r>
      <w:r>
        <w:t xml:space="preserve">.</w:t>
      </w:r>
    </w:p>
    <w:p>
      <w:pPr>
        <w:numPr>
          <w:ilvl w:val="0"/>
          <w:numId w:val="1044"/>
        </w:numPr>
      </w:pPr>
      <w:r>
        <w:t xml:space="preserve">There will be multiple Global Cache instances to ensure highly available, low latency global provision of real-time and near real-time "core" data within WIS2.</w:t>
      </w:r>
    </w:p>
    <w:p>
      <w:pPr>
        <w:numPr>
          <w:ilvl w:val="0"/>
          <w:numId w:val="1044"/>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4"/>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4"/>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4"/>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4"/>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4"/>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4"/>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4"/>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4"/>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4"/>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4"/>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3" w:name="Xc6a761dae7c2ab8ca53d55e2bb6a1eee7d9f700"/>
      <w:r>
        <w:t xml:space="preserve">Practices and procedures</w:t>
      </w:r>
      <w:bookmarkEnd w:id="83"/>
    </w:p>
    <w:p>
      <w:pPr>
        <w:numPr>
          <w:ilvl w:val="0"/>
          <w:numId w:val="1046"/>
        </w:numPr>
      </w:pPr>
      <w:r>
        <w:t xml:space="preserve">A Global Cache shall subscribe to at least two different Global Brokers.</w:t>
      </w:r>
    </w:p>
    <w:p>
      <w:pPr>
        <w:numPr>
          <w:ilvl w:val="0"/>
          <w:numId w:val="1046"/>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6"/>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4"/>
      </w:r>
    </w:p>
    <w:p>
      <w:pPr>
        <w:numPr>
          <w:ilvl w:val="0"/>
          <w:numId w:val="1046"/>
        </w:numPr>
      </w:pPr>
      <w:r>
        <w:t xml:space="preserve">A Global Cache shall retain the data and metadata they receive for a minimum period of 24 hours. Requirements relating varying retention times for different types of data may be added later.</w:t>
      </w:r>
    </w:p>
    <w:p>
      <w:pPr>
        <w:numPr>
          <w:ilvl w:val="0"/>
          <w:numId w:val="1046"/>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7"/>
        </w:numPr>
      </w:pPr>
      <w:r>
        <w:t xml:space="preserve">If the message contains the property</w:t>
      </w:r>
      <w:r>
        <w:t xml:space="preserve"> </w:t>
      </w:r>
      <w:r>
        <w:rPr>
          <w:rStyle w:val="VerbatimChar"/>
        </w:rPr>
        <w:t xml:space="preserve">"properties.cache": false</w:t>
      </w:r>
    </w:p>
    <w:p>
      <w:pPr>
        <w:numPr>
          <w:ilvl w:val="2"/>
          <w:numId w:val="1048"/>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7"/>
        </w:numPr>
      </w:pPr>
      <w:r>
        <w:t xml:space="preserve">else</w:t>
      </w:r>
    </w:p>
    <w:p>
      <w:pPr>
        <w:numPr>
          <w:ilvl w:val="2"/>
          <w:numId w:val="1049"/>
        </w:numPr>
      </w:pPr>
      <w:r>
        <w:t xml:space="preserve">Maintain a list of data_ids already downloaded.</w:t>
      </w:r>
    </w:p>
    <w:p>
      <w:pPr>
        <w:numPr>
          <w:ilvl w:val="2"/>
          <w:numId w:val="1049"/>
        </w:numPr>
      </w:pPr>
      <w:r>
        <w:t xml:space="preserve">Verify if the message points to new or updated data by comparing the pubtime value of the notification message with the list of data_ids.</w:t>
      </w:r>
    </w:p>
    <w:p>
      <w:pPr>
        <w:numPr>
          <w:ilvl w:val="2"/>
          <w:numId w:val="1049"/>
        </w:numPr>
      </w:pPr>
      <w:r>
        <w:t xml:space="preserve">If the message is new or updated</w:t>
      </w:r>
    </w:p>
    <w:p>
      <w:pPr>
        <w:numPr>
          <w:ilvl w:val="3"/>
          <w:numId w:val="1050"/>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0"/>
        </w:numPr>
      </w:pPr>
      <w:r>
        <w:t xml:space="preserve">If the message contains an integrity value for the data, verify the integrity of the data.</w:t>
      </w:r>
    </w:p>
    <w:p>
      <w:pPr>
        <w:numPr>
          <w:ilvl w:val="3"/>
          <w:numId w:val="1050"/>
        </w:numPr>
      </w:pPr>
      <w:r>
        <w:t xml:space="preserve">If data is downloaded successfully, move the data to the HTTP endpoint of the Global Cache.</w:t>
      </w:r>
    </w:p>
    <w:p>
      <w:pPr>
        <w:numPr>
          <w:ilvl w:val="3"/>
          <w:numId w:val="1050"/>
        </w:numPr>
      </w:pPr>
      <w:r>
        <w:t xml:space="preserve">Wait until the data becomes available at the endpoint.</w:t>
      </w:r>
    </w:p>
    <w:p>
      <w:pPr>
        <w:numPr>
          <w:ilvl w:val="3"/>
          <w:numId w:val="1050"/>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0"/>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0"/>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9"/>
        </w:numPr>
      </w:pPr>
      <w:r>
        <w:t xml:space="preserve">else</w:t>
      </w:r>
    </w:p>
    <w:p>
      <w:pPr>
        <w:numPr>
          <w:ilvl w:val="3"/>
          <w:numId w:val="1051"/>
        </w:numPr>
      </w:pPr>
      <w:r>
        <w:t xml:space="preserve">Drop the messages for data already present on the Cache.</w:t>
      </w:r>
    </w:p>
    <w:p>
      <w:pPr>
        <w:numPr>
          <w:ilvl w:val="0"/>
          <w:numId w:val="1046"/>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6"/>
        </w:numPr>
      </w:pPr>
      <w:r>
        <w:t xml:space="preserve">A Global Cache shall provide the metric defined in this Guide at an http(s) endpoint</w:t>
      </w:r>
    </w:p>
    <w:p>
      <w:pPr>
        <w:numPr>
          <w:ilvl w:val="0"/>
          <w:numId w:val="1046"/>
        </w:numPr>
      </w:pPr>
      <w:r>
        <w:t xml:space="preserve">A Global Cache should make sure that data is downloaded in parallel and downloads are not blocking each other</w:t>
      </w:r>
    </w:p>
    <w:p>
      <w:pPr>
        <w:numPr>
          <w:ilvl w:val="0"/>
          <w:numId w:val="1046"/>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5" w:name="X1130dda3658efeb3bc5eb2247f14d97aee6b58d"/>
      <w:r>
        <w:t xml:space="preserve">Metrics for Global Caches</w:t>
      </w:r>
      <w:bookmarkEnd w:id="85"/>
    </w:p>
    <w:p>
      <w:pPr>
        <w:pStyle w:val="FirstParagraph"/>
      </w:pPr>
      <w:r>
        <w:t xml:space="preserve">The defined metrics for Global Caches can be found here</w:t>
      </w:r>
      <w:r>
        <w:t xml:space="preserve"> </w:t>
      </w:r>
      <w:hyperlink r:id="rId86">
        <w:r>
          <w:rPr>
            <w:rStyle w:val="Hyperlink"/>
          </w:rPr>
          <w:t xml:space="preserve">https://raw.githubusercontent.com/wmo-im/wis2-metric-hierarchy/main/metric-hierarchy/gc.csv</w:t>
        </w:r>
      </w:hyperlink>
    </w:p>
    <w:p>
      <w:pPr>
        <w:pStyle w:val="Heading3"/>
      </w:pPr>
      <w:bookmarkStart w:id="87" w:name="X7afed62fce9c77dc9763966ede44c55358b9618"/>
      <w:r>
        <w:t xml:space="preserve">Global Discovery Catalogue</w:t>
      </w:r>
      <w:bookmarkEnd w:id="87"/>
    </w:p>
    <w:p>
      <w:pPr>
        <w:pStyle w:val="Heading4"/>
      </w:pPr>
      <w:bookmarkStart w:id="88" w:name="Xfb2e666548741befe53fbe311ab83706f224432"/>
      <w:r>
        <w:t xml:space="preserve">Technical considerations</w:t>
      </w:r>
      <w:bookmarkEnd w:id="88"/>
    </w:p>
    <w:p>
      <w:pPr>
        <w:numPr>
          <w:ilvl w:val="0"/>
          <w:numId w:val="1052"/>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2"/>
        </w:numPr>
      </w:pPr>
      <w:r>
        <w:t xml:space="preserve">The Global Discovery Catalogue implements the OGC API – Records – Part 1: Core standard, adhering to the following conformance classes and their dependencies:</w:t>
      </w:r>
    </w:p>
    <w:p>
      <w:pPr>
        <w:numPr>
          <w:ilvl w:val="1"/>
          <w:numId w:val="1053"/>
        </w:numPr>
      </w:pPr>
      <w:r>
        <w:t xml:space="preserve">Searchable Catalog (Deployment)</w:t>
      </w:r>
    </w:p>
    <w:p>
      <w:pPr>
        <w:numPr>
          <w:ilvl w:val="1"/>
          <w:numId w:val="1053"/>
        </w:numPr>
      </w:pPr>
      <w:r>
        <w:t xml:space="preserve">Searchable Catalog - Sorting (Deployment)</w:t>
      </w:r>
    </w:p>
    <w:p>
      <w:pPr>
        <w:numPr>
          <w:ilvl w:val="1"/>
          <w:numId w:val="1053"/>
        </w:numPr>
      </w:pPr>
      <w:r>
        <w:t xml:space="preserve">Searchable Catalog - Filtering (Deployment)</w:t>
      </w:r>
    </w:p>
    <w:p>
      <w:pPr>
        <w:numPr>
          <w:ilvl w:val="1"/>
          <w:numId w:val="1053"/>
        </w:numPr>
      </w:pPr>
      <w:r>
        <w:t xml:space="preserve">JSON (Building Block)</w:t>
      </w:r>
    </w:p>
    <w:p>
      <w:pPr>
        <w:numPr>
          <w:ilvl w:val="1"/>
          <w:numId w:val="1053"/>
        </w:numPr>
      </w:pPr>
      <w:r>
        <w:t xml:space="preserve">HTML (Building Block)</w:t>
      </w:r>
    </w:p>
    <w:p>
      <w:pPr>
        <w:numPr>
          <w:ilvl w:val="0"/>
          <w:numId w:val="1052"/>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2"/>
        </w:numPr>
      </w:pPr>
      <w:r>
        <w:t xml:space="preserve">The Global Discovery Catalogue advertises the availability of Datasets and how to access them or subscribe to updates.</w:t>
      </w:r>
    </w:p>
    <w:p>
      <w:pPr>
        <w:numPr>
          <w:ilvl w:val="0"/>
          <w:numId w:val="1052"/>
        </w:numPr>
      </w:pPr>
      <w:r>
        <w:t xml:space="preserve">The Global Discovery Catalogue does not advertise or list the availability of individual Data Objects that comprise a Dataset (i.e. data files).</w:t>
      </w:r>
    </w:p>
    <w:p>
      <w:pPr>
        <w:numPr>
          <w:ilvl w:val="0"/>
          <w:numId w:val="1052"/>
        </w:numPr>
      </w:pPr>
      <w:r>
        <w:t xml:space="preserve">A single Global Discovery Catalogue instance is sufficient for WIS2.</w:t>
      </w:r>
    </w:p>
    <w:p>
      <w:pPr>
        <w:numPr>
          <w:ilvl w:val="0"/>
          <w:numId w:val="1052"/>
        </w:numPr>
      </w:pPr>
      <w:r>
        <w:t xml:space="preserve">Multiple Global Discovery Catalogue instances may be deployed for resilience.</w:t>
      </w:r>
    </w:p>
    <w:p>
      <w:pPr>
        <w:numPr>
          <w:ilvl w:val="0"/>
          <w:numId w:val="1052"/>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2"/>
        </w:numPr>
      </w:pPr>
      <w:r>
        <w:t xml:space="preserve">A Global Discovery Catalogue is populated with discovery metadata records from a Global Cache instance, receiving messages about the availability of discovery metadata records via a Global Broker.</w:t>
      </w:r>
    </w:p>
    <w:p>
      <w:pPr>
        <w:numPr>
          <w:ilvl w:val="0"/>
          <w:numId w:val="1052"/>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2"/>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2"/>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2"/>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2"/>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2"/>
        </w:numPr>
      </w:pPr>
      <w:r>
        <w:t xml:space="preserve">A Global Discovery Catalogue will remove discovery metadata that is marked for deletion as specified in the data notification message.</w:t>
      </w:r>
    </w:p>
    <w:p>
      <w:pPr>
        <w:numPr>
          <w:ilvl w:val="0"/>
          <w:numId w:val="1052"/>
        </w:numPr>
      </w:pPr>
      <w:r>
        <w:t xml:space="preserve">A Global Discovery Catalogue should apply faceting capability as specified in the cataloguing considerations of the WCMP2 specification, as defined in OGC API - Records.</w:t>
      </w:r>
    </w:p>
    <w:p>
      <w:pPr>
        <w:numPr>
          <w:ilvl w:val="0"/>
          <w:numId w:val="1052"/>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2"/>
        </w:numPr>
      </w:pPr>
      <w:r>
        <w:t xml:space="preserve">A Global Discovery Catalogue will generate and store a zipfile of all WCMP2 records once a day, that will be made be accessible via HTTP.</w:t>
      </w:r>
    </w:p>
    <w:p>
      <w:pPr>
        <w:numPr>
          <w:ilvl w:val="0"/>
          <w:numId w:val="1052"/>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2"/>
        </w:numPr>
      </w:pPr>
      <w:r>
        <w:t xml:space="preserve">A Global Discovery Catalogue may initialize itself (cold start) from a zipfile of all WCMP2 records published.</w:t>
      </w:r>
    </w:p>
    <w:p>
      <w:pPr>
        <w:numPr>
          <w:ilvl w:val="0"/>
          <w:numId w:val="1052"/>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9" w:name="X6065a0bce40360a3246dd1925c599c3bfa3e21a"/>
      <w:r>
        <w:t xml:space="preserve">Global Discovery Catalogue reference implementation: wis2-gdc</w:t>
      </w:r>
      <w:bookmarkEnd w:id="89"/>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4"/>
        </w:numPr>
      </w:pPr>
      <w:r>
        <w:t xml:space="preserve">discovery metadata subscription and publication from the Global Broker</w:t>
      </w:r>
    </w:p>
    <w:p>
      <w:pPr>
        <w:numPr>
          <w:ilvl w:val="0"/>
          <w:numId w:val="1054"/>
        </w:numPr>
      </w:pPr>
      <w:r>
        <w:t xml:space="preserve">discovery metadata download the Global Cache</w:t>
      </w:r>
    </w:p>
    <w:p>
      <w:pPr>
        <w:numPr>
          <w:ilvl w:val="0"/>
          <w:numId w:val="1054"/>
        </w:numPr>
      </w:pPr>
      <w:r>
        <w:t xml:space="preserve">discovery metadata validation, ingest and publication</w:t>
      </w:r>
    </w:p>
    <w:p>
      <w:pPr>
        <w:numPr>
          <w:ilvl w:val="0"/>
          <w:numId w:val="1054"/>
        </w:numPr>
      </w:pPr>
      <w:r>
        <w:t xml:space="preserve">WCMP2 compliance</w:t>
      </w:r>
    </w:p>
    <w:p>
      <w:pPr>
        <w:numPr>
          <w:ilvl w:val="0"/>
          <w:numId w:val="1054"/>
        </w:numPr>
      </w:pPr>
      <w:r>
        <w:t xml:space="preserve">quality assessment (key performance indicators [KPIs])</w:t>
      </w:r>
    </w:p>
    <w:p>
      <w:pPr>
        <w:numPr>
          <w:ilvl w:val="0"/>
          <w:numId w:val="1054"/>
        </w:numPr>
      </w:pPr>
      <w:r>
        <w:t xml:space="preserve">OGC API - Records - Part 1: Core compliance</w:t>
      </w:r>
    </w:p>
    <w:p>
      <w:pPr>
        <w:numPr>
          <w:ilvl w:val="0"/>
          <w:numId w:val="1054"/>
        </w:numPr>
      </w:pPr>
      <w:r>
        <w:t xml:space="preserve">metrics reporting</w:t>
      </w:r>
    </w:p>
    <w:p>
      <w:pPr>
        <w:numPr>
          <w:ilvl w:val="0"/>
          <w:numId w:val="1054"/>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0">
        <w:r>
          <w:rPr>
            <w:rStyle w:val="Hyperlink"/>
          </w:rPr>
          <w:t xml:space="preserve">https://github.com/wmo-im/wis2-gdc</w:t>
        </w:r>
      </w:hyperlink>
      <w:r>
        <w:t xml:space="preserve">.</w:t>
      </w:r>
    </w:p>
    <w:p>
      <w:pPr>
        <w:pStyle w:val="Heading4"/>
      </w:pPr>
      <w:bookmarkStart w:id="91" w:name="X74944025b1da97db5696eeabda3f4d39bf34bc0"/>
      <w:r>
        <w:t xml:space="preserve">Metrics for Global Discovery Catalogues</w:t>
      </w:r>
      <w:bookmarkEnd w:id="91"/>
    </w:p>
    <w:p>
      <w:pPr>
        <w:pStyle w:val="FirstParagraph"/>
      </w:pPr>
      <w:r>
        <w:t xml:space="preserve">The defined metrics for Global Discovery Catalogues can be found here</w:t>
      </w:r>
      <w:r>
        <w:t xml:space="preserve"> </w:t>
      </w:r>
      <w:hyperlink r:id="rId92">
        <w:r>
          <w:rPr>
            <w:rStyle w:val="Hyperlink"/>
          </w:rPr>
          <w:t xml:space="preserve">https://raw.githubusercontent.com/wmo-im/wis2-metric-hierarchy/main/metric-hierarchy/gdc.csv</w:t>
        </w:r>
      </w:hyperlink>
    </w:p>
    <w:p>
      <w:pPr>
        <w:pStyle w:val="Heading3"/>
      </w:pPr>
      <w:bookmarkStart w:id="93" w:name="X4e88c05a27e698b3d133af3a43b16886494a2e2"/>
      <w:r>
        <w:t xml:space="preserve">Global Monitor</w:t>
      </w:r>
      <w:bookmarkEnd w:id="93"/>
    </w:p>
    <w:p>
      <w:pPr>
        <w:pStyle w:val="Heading4"/>
      </w:pPr>
      <w:bookmarkStart w:id="94" w:name="Xd139f35e1c8e20bb300c6e70a06e779eeaccbe8"/>
      <w:r>
        <w:t xml:space="preserve">Technical Considerations</w:t>
      </w:r>
      <w:bookmarkEnd w:id="94"/>
    </w:p>
    <w:p>
      <w:pPr>
        <w:numPr>
          <w:ilvl w:val="0"/>
          <w:numId w:val="1055"/>
        </w:numPr>
      </w:pPr>
      <w:r>
        <w:t xml:space="preserve">WIS standardises how system performance and data availability metrics are published from WIS2 Nodes and Global Services.</w:t>
      </w:r>
    </w:p>
    <w:p>
      <w:pPr>
        <w:numPr>
          <w:ilvl w:val="0"/>
          <w:numId w:val="1055"/>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5"/>
        </w:numPr>
      </w:pPr>
      <w:r>
        <w:t xml:space="preserve">The Global Monitor will collect metrics as defined in the OpenMetrics standard.</w:t>
      </w:r>
    </w:p>
    <w:p>
      <w:pPr>
        <w:numPr>
          <w:ilvl w:val="0"/>
          <w:numId w:val="1055"/>
        </w:numPr>
      </w:pPr>
      <w:r>
        <w:t xml:space="preserve">The Global Monitor will monitor the 'health' (i.e., performance) of components at NC/DCPC as well as Global Service instances.</w:t>
      </w:r>
    </w:p>
    <w:p>
      <w:pPr>
        <w:numPr>
          <w:ilvl w:val="0"/>
          <w:numId w:val="1055"/>
        </w:numPr>
      </w:pPr>
      <w:r>
        <w:t xml:space="preserve">The Global Monitor will provide a Web-based ‘dashboard’ that displays the WIS2 system performance and data availability.</w:t>
      </w:r>
    </w:p>
    <w:p>
      <w:pPr>
        <w:numPr>
          <w:ilvl w:val="0"/>
          <w:numId w:val="1055"/>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5" w:name="Xeeabc229dc8912ba5f974878e5a5a11961b3b62"/>
      <w:r>
        <w:t xml:space="preserve">Operations</w:t>
      </w:r>
      <w:bookmarkEnd w:id="95"/>
    </w:p>
    <w:p>
      <w:pPr>
        <w:pStyle w:val="Heading3"/>
      </w:pPr>
      <w:bookmarkStart w:id="96" w:name="X5c617aa2ee6751c4b95283e47cb4b5ee7ac3c61"/>
      <w:r>
        <w:t xml:space="preserve">Interoperability with external systems</w:t>
      </w:r>
      <w:bookmarkEnd w:id="9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7" w:name="X05985e6bd0b8456ebcd2a65185f7b5816dd6910"/>
      <w:r>
        <w:t xml:space="preserve">Publishing aviation weather data through WIS2 into ICAO SWIM</w:t>
      </w:r>
      <w:bookmarkEnd w:id="97"/>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98"/>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6"/>
        </w:numPr>
      </w:pPr>
      <w:r>
        <w:t xml:space="preserve">Mechanisms used by SWIM to discover service providers and services.</w:t>
      </w:r>
    </w:p>
    <w:p>
      <w:pPr>
        <w:numPr>
          <w:ilvl w:val="0"/>
          <w:numId w:val="1056"/>
        </w:numPr>
      </w:pPr>
      <w:r>
        <w:t xml:space="preserve">Specification of the SWIM data message.</w:t>
      </w:r>
    </w:p>
    <w:p>
      <w:pPr>
        <w:numPr>
          <w:ilvl w:val="0"/>
          <w:numId w:val="1056"/>
        </w:numPr>
      </w:pPr>
      <w:r>
        <w:t xml:space="preserve">AMQP message broker configuration.</w:t>
      </w:r>
    </w:p>
    <w:p>
      <w:pPr>
        <w:numPr>
          <w:ilvl w:val="0"/>
          <w:numId w:val="1056"/>
        </w:numPr>
      </w:pPr>
      <w:r>
        <w:t xml:space="preserve">Operation, logging and monitoring.</w:t>
      </w:r>
    </w:p>
    <w:p>
      <w:pPr>
        <w:numPr>
          <w:ilvl w:val="0"/>
          <w:numId w:val="1056"/>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4"/>
      </w:pPr>
      <w:bookmarkStart w:id="99" w:name="X14ff1e968629101d51c4e96198c1e3ef5ed75df"/>
      <w:r>
        <w:t xml:space="preserve">WIS2 to SWIM Gateway</w:t>
      </w:r>
      <w:bookmarkEnd w:id="99"/>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0"/>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4"/>
      </w:pPr>
      <w:bookmarkStart w:id="101" w:name="X32503eef144b6f9e5340fc09f6b6729dde1508a"/>
      <w:r>
        <w:t xml:space="preserve">Data types and format</w:t>
      </w:r>
      <w:bookmarkEnd w:id="101"/>
    </w:p>
    <w:p>
      <w:pPr>
        <w:pStyle w:val="FirstParagraph"/>
      </w:pPr>
      <w:r>
        <w:t xml:space="preserve">Initial SWIM services are expected to include, but are not limited to:</w:t>
      </w:r>
    </w:p>
    <w:p>
      <w:pPr>
        <w:numPr>
          <w:ilvl w:val="0"/>
          <w:numId w:val="1057"/>
        </w:numPr>
      </w:pPr>
      <w:r>
        <w:t xml:space="preserve">Aerodrome Observation (METAR)</w:t>
      </w:r>
    </w:p>
    <w:p>
      <w:pPr>
        <w:numPr>
          <w:ilvl w:val="0"/>
          <w:numId w:val="1057"/>
        </w:numPr>
      </w:pPr>
      <w:r>
        <w:t xml:space="preserve">Aerodrome Forecast (TAF)</w:t>
      </w:r>
    </w:p>
    <w:p>
      <w:pPr>
        <w:numPr>
          <w:ilvl w:val="0"/>
          <w:numId w:val="1057"/>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4"/>
      </w:pPr>
      <w:bookmarkStart w:id="102" w:name="X9ea0a600d2e1d3d8bd1823acfa493b504fe4166"/>
      <w:r>
        <w:t xml:space="preserve">Publishing aviation weather data via WIS2</w:t>
      </w:r>
      <w:bookmarkEnd w:id="102"/>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8"/>
        </w:numPr>
      </w:pPr>
      <w:r>
        <w:t xml:space="preserve">May be subject to conditions on use and re-use.</w:t>
      </w:r>
    </w:p>
    <w:p>
      <w:pPr>
        <w:numPr>
          <w:ilvl w:val="0"/>
          <w:numId w:val="1058"/>
        </w:numPr>
      </w:pPr>
      <w:r>
        <w:t xml:space="preserve">May have access controls</w:t>
      </w:r>
      <w:r>
        <w:rPr>
          <w:rStyle w:val="FootnoteReference"/>
        </w:rPr>
        <w:footnoteReference w:id="103"/>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8"/>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5"/>
      </w:r>
      <w:r>
        <w:t xml:space="preserve">.</w:t>
      </w:r>
    </w:p>
    <w:p>
      <w:pPr>
        <w:pStyle w:val="FirstParagraph"/>
      </w:pPr>
      <w:r>
        <w:t xml:space="preserve">The responsible organisation must publish discovery metadata for each dataset. Note that:</w:t>
      </w:r>
    </w:p>
    <w:p>
      <w:pPr>
        <w:numPr>
          <w:ilvl w:val="0"/>
          <w:numId w:val="1059"/>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9"/>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0"/>
        </w:numPr>
      </w:pPr>
      <w:r>
        <w:t xml:space="preserve">Publish the data as a resource via a Web server (or Web service).</w:t>
      </w:r>
    </w:p>
    <w:p>
      <w:pPr>
        <w:numPr>
          <w:ilvl w:val="0"/>
          <w:numId w:val="1060"/>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6"/>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4"/>
      </w:pPr>
      <w:bookmarkStart w:id="107" w:name="Xac9fa0d706a584b25e8ed536b901df2da5c4019"/>
      <w:r>
        <w:t xml:space="preserve">Gateway implementation</w:t>
      </w:r>
      <w:bookmarkEnd w:id="107"/>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08"/>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09"/>
                    <a:stretch>
                      <a:fillRect/>
                    </a:stretch>
                  </pic:blipFill>
                  <pic:spPr bwMode="auto">
                    <a:xfrm>
                      <a:off x="0" y="0"/>
                      <a:ext cx="5334000" cy="1838335"/>
                    </a:xfrm>
                    <a:prstGeom prst="rect">
                      <a:avLst/>
                    </a:prstGeom>
                    <a:noFill/>
                    <a:ln w="9525">
                      <a:noFill/>
                      <a:headEnd/>
                      <a:tailEnd/>
                    </a:ln>
                  </pic:spPr>
                </pic:pic>
              </a:graphicData>
            </a:graphic>
          </wp:inline>
        </w:drawing>
      </w:r>
    </w:p>
    <w:p>
      <w:pPr>
        <w:pStyle w:val="Heading5"/>
      </w:pPr>
      <w:bookmarkStart w:id="110" w:name="Xa78122d669393d8fd4369faaebdd672a9fc7a8c"/>
      <w:r>
        <w:t xml:space="preserve">Configuration</w:t>
      </w:r>
      <w:bookmarkEnd w:id="110"/>
    </w:p>
    <w:p>
      <w:pPr>
        <w:pStyle w:val="FirstParagraph"/>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Heading5"/>
      </w:pPr>
      <w:bookmarkStart w:id="111" w:name="X306d3d6746140f95c0fc8931ad23c4355a48f86"/>
      <w:r>
        <w:t xml:space="preserve">Functions</w:t>
      </w:r>
      <w:bookmarkEnd w:id="111"/>
    </w:p>
    <w:p>
      <w:pPr>
        <w:pStyle w:val="FirstParagraph"/>
      </w:pPr>
      <w:r>
        <w:t xml:space="preserve">The Gateway component implements the following functions:</w:t>
      </w:r>
    </w:p>
    <w:p>
      <w:pPr>
        <w:numPr>
          <w:ilvl w:val="0"/>
          <w:numId w:val="1061"/>
        </w:numPr>
      </w:pPr>
      <w:r>
        <w:t xml:space="preserve">Subscribe to the pertinent topic(s) for notifications about new</w:t>
      </w:r>
      <w:r>
        <w:t xml:space="preserve"> </w:t>
      </w:r>
      <w:r>
        <w:t xml:space="preserve">aviation weather data</w:t>
      </w:r>
      <w:r>
        <w:rPr>
          <w:rStyle w:val="FootnoteReference"/>
        </w:rPr>
        <w:footnoteReference w:id="112"/>
      </w:r>
      <w:r>
        <w:t xml:space="preserve">.</w:t>
      </w:r>
    </w:p>
    <w:p>
      <w:pPr>
        <w:numPr>
          <w:ilvl w:val="0"/>
          <w:numId w:val="1061"/>
        </w:numPr>
      </w:pPr>
      <w:r>
        <w:t xml:space="preserve">On receipt of notification messages about aviation weather data:</w:t>
      </w:r>
    </w:p>
    <w:p>
      <w:pPr>
        <w:numPr>
          <w:ilvl w:val="1"/>
          <w:numId w:val="1062"/>
        </w:numPr>
      </w:pPr>
      <w:r>
        <w:t xml:space="preserve">parse the notification message, discarding duplicate messages already</w:t>
      </w:r>
      <w:r>
        <w:t xml:space="preserve"> </w:t>
      </w:r>
      <w:r>
        <w:t xml:space="preserve">processed previously;</w:t>
      </w:r>
    </w:p>
    <w:p>
      <w:pPr>
        <w:numPr>
          <w:ilvl w:val="1"/>
          <w:numId w:val="1062"/>
        </w:numPr>
      </w:pPr>
      <w:r>
        <w:t xml:space="preserve">download the aviation weather data resource from the WIS2</w:t>
      </w:r>
      <w:r>
        <w:t xml:space="preserve"> </w:t>
      </w:r>
      <w:r>
        <w:t xml:space="preserve">Node</w:t>
      </w:r>
      <w:r>
        <w:rPr>
          <w:rStyle w:val="FootnoteReference"/>
        </w:rPr>
        <w:footnoteReference w:id="113"/>
      </w:r>
      <w:r>
        <w:t xml:space="preserve"> </w:t>
      </w:r>
      <w:r>
        <w:t xml:space="preserve">using the URL in the message - the</w:t>
      </w:r>
      <w:r>
        <w:t xml:space="preserve"> </w:t>
      </w:r>
      <w:r>
        <w:t xml:space="preserve">resource should be in IWXXM format;</w:t>
      </w:r>
    </w:p>
    <w:p>
      <w:pPr>
        <w:numPr>
          <w:ilvl w:val="1"/>
          <w:numId w:val="1062"/>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4"/>
      </w:r>
      <w:r>
        <w:t xml:space="preserve">, and embedding the aviation weather data resource</w:t>
      </w:r>
      <w:r>
        <w:t xml:space="preserve"> </w:t>
      </w:r>
      <w:r>
        <w:t xml:space="preserve">within the data message;</w:t>
      </w:r>
    </w:p>
    <w:p>
      <w:pPr>
        <w:numPr>
          <w:ilvl w:val="1"/>
          <w:numId w:val="1062"/>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Heading5"/>
      </w:pPr>
      <w:bookmarkStart w:id="116" w:name="X909d4a5474a36ab01c759cfc2bc961c34c9abb7"/>
      <w:r>
        <w:t xml:space="preserve">Operation</w:t>
      </w:r>
      <w:bookmarkEnd w:id="116"/>
    </w:p>
    <w:p>
      <w:pPr>
        <w:pStyle w:val="FirstParagraph"/>
      </w:pPr>
      <w:r>
        <w:t xml:space="preserve">The Gateway may be operated at national or regional level depending on</w:t>
      </w:r>
      <w:r>
        <w:t xml:space="preserve"> </w:t>
      </w:r>
      <w:r>
        <w:t xml:space="preserve">the organisational governance in place.</w:t>
      </w:r>
    </w:p>
    <w:p>
      <w:pPr>
        <w:pStyle w:val="Heading4"/>
      </w:pPr>
      <w:bookmarkStart w:id="117" w:name="X8ab0215de29d7e2030f4813a9a0181844a790ad"/>
      <w:r>
        <w:t xml:space="preserve">SWIM service</w:t>
      </w:r>
      <w:bookmarkEnd w:id="117"/>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8"/>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0" w:name="X727e67723c58a063171b532754bb63b85d88703"/>
      <w:r>
        <w:t xml:space="preserve">The Ocean Data and Information System (ODIS)</w:t>
      </w:r>
      <w:bookmarkEnd w:id="120"/>
    </w:p>
    <w:p>
      <w:pPr>
        <w:pStyle w:val="FirstParagraph"/>
      </w:pPr>
      <w:r>
        <w:t xml:space="preserve">TODO: Tom</w:t>
      </w:r>
    </w:p>
    <w:p>
      <w:pPr>
        <w:pStyle w:val="Heading1"/>
      </w:pPr>
      <w:bookmarkStart w:id="121" w:name="X50d015487b8112b45846fafc9cb4c294f9c1543"/>
      <w:r>
        <w:t xml:space="preserve">PART III</w:t>
      </w:r>
      <w:bookmarkEnd w:id="121"/>
    </w:p>
    <w:p>
      <w:pPr>
        <w:pStyle w:val="Heading2"/>
      </w:pPr>
      <w:bookmarkStart w:id="122" w:name="Xf663b84f8b08bef805756b15e1319003d76fa52"/>
      <w:r>
        <w:t xml:space="preserve">Information management</w:t>
      </w:r>
      <w:bookmarkEnd w:id="122"/>
    </w:p>
    <w:p>
      <w:pPr>
        <w:pStyle w:val="Heading3"/>
      </w:pPr>
      <w:bookmarkStart w:id="123" w:name="X1ea7cbd003469405f98a7976943980a7b23bcee"/>
      <w:r>
        <w:t xml:space="preserve">Introduction</w:t>
      </w:r>
      <w:bookmarkEnd w:id="123"/>
    </w:p>
    <w:p>
      <w:pPr>
        <w:pStyle w:val="Heading4"/>
      </w:pPr>
      <w:bookmarkStart w:id="124" w:name="Xca774f64942a7f7563fb94bb05ba7dab3a26d69"/>
      <w:r>
        <w:t xml:space="preserve">Background</w:t>
      </w:r>
      <w:bookmarkEnd w:id="124"/>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5" w:name="Xc8210088bf4711be4456d26326179eb58b8f5b4"/>
      <w:r>
        <w:t xml:space="preserve">Scope</w:t>
      </w:r>
      <w:bookmarkEnd w:id="125"/>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3"/>
        </w:numPr>
      </w:pPr>
      <w:r>
        <w:t xml:space="preserve">Planning, information creation and acquisition. Creation of information using internal and external data sources and the acquisition of information from various sources.</w:t>
      </w:r>
    </w:p>
    <w:p>
      <w:pPr>
        <w:numPr>
          <w:ilvl w:val="0"/>
          <w:numId w:val="1063"/>
        </w:numPr>
      </w:pPr>
      <w:r>
        <w:t xml:space="preserve">Representation and metadata. Standards to represent metadata, data and information are of primary importance to enable interoperability and long-term usability of the information.</w:t>
      </w:r>
    </w:p>
    <w:p>
      <w:pPr>
        <w:numPr>
          <w:ilvl w:val="0"/>
          <w:numId w:val="1063"/>
        </w:numPr>
      </w:pPr>
      <w:r>
        <w:t xml:space="preserve">Publication and exchange of information. The creation and publication of discovery metadata in a standardized format enabling users to discover, access and retrieve the information.</w:t>
      </w:r>
    </w:p>
    <w:p>
      <w:pPr>
        <w:numPr>
          <w:ilvl w:val="0"/>
          <w:numId w:val="1063"/>
        </w:numPr>
      </w:pPr>
      <w:r>
        <w:t xml:space="preserve">Usage and communication. Publication of guidance material on the use of published information, including on the limitations and suitability of the information and any licensing terms.</w:t>
      </w:r>
    </w:p>
    <w:p>
      <w:pPr>
        <w:numPr>
          <w:ilvl w:val="0"/>
          <w:numId w:val="1063"/>
        </w:numPr>
      </w:pPr>
      <w:r>
        <w:t xml:space="preserve">Storage, archival and disposal. Policies and procedures for business continuity and disaster recovery, as well as retention and disposal.</w:t>
      </w:r>
    </w:p>
    <w:p>
      <w:pPr>
        <w:pStyle w:val="Heading4"/>
      </w:pPr>
      <w:bookmarkStart w:id="126" w:name="Xc4a1ede03be40f12a45db53a22503ecdd576f28"/>
      <w:r>
        <w:t xml:space="preserve">Intended audience</w:t>
      </w:r>
      <w:bookmarkEnd w:id="126"/>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4"/>
        </w:numPr>
      </w:pPr>
      <w:r>
        <w:t xml:space="preserve">Information producers or creators (those who produce or acquire the information - they need to ensure the scientific quality of the underpinning information).</w:t>
      </w:r>
    </w:p>
    <w:p>
      <w:pPr>
        <w:numPr>
          <w:ilvl w:val="0"/>
          <w:numId w:val="1064"/>
        </w:numPr>
      </w:pPr>
      <w:r>
        <w:t xml:space="preserve">Information managers (those who manage information).</w:t>
      </w:r>
    </w:p>
    <w:p>
      <w:pPr>
        <w:numPr>
          <w:ilvl w:val="0"/>
          <w:numId w:val="106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4"/>
        </w:numPr>
      </w:pPr>
      <w:r>
        <w:t xml:space="preserve">Service providers (those who disseminate the information - they are responsible for ensuring information availability and maintaining capability for easy and secure access to the information).</w:t>
      </w:r>
    </w:p>
    <w:p>
      <w:pPr>
        <w:numPr>
          <w:ilvl w:val="0"/>
          <w:numId w:val="106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7" w:name="Xc94de5166ce838056d764e2813060631f45545e"/>
      <w:r>
        <w:t xml:space="preserve">Principles of information management</w:t>
      </w:r>
      <w:bookmarkEnd w:id="127"/>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8" w:name="Xced3bf5985e11d5bf9ea318c067f81c51dd90bb"/>
      <w:r>
        <w:t xml:space="preserve">Principle 1: Information is a valued asset</w:t>
      </w:r>
      <w:bookmarkEnd w:id="128"/>
    </w:p>
    <w:p>
      <w:pPr>
        <w:numPr>
          <w:ilvl w:val="0"/>
          <w:numId w:val="106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9" w:name="X2b4305e580dff0ab586fbedd336c10ae1a05bc9"/>
      <w:r>
        <w:t xml:space="preserve">Principle 2: Information must be managed</w:t>
      </w:r>
      <w:bookmarkEnd w:id="129"/>
    </w:p>
    <w:p>
      <w:pPr>
        <w:numPr>
          <w:ilvl w:val="0"/>
          <w:numId w:val="106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0" w:name="X24cab0a09ccdca3e752f0ecd6d0ff5456c284f3"/>
      <w:r>
        <w:t xml:space="preserve">Principle 3: Information must be fit for purpose</w:t>
      </w:r>
      <w:bookmarkEnd w:id="130"/>
    </w:p>
    <w:p>
      <w:pPr>
        <w:numPr>
          <w:ilvl w:val="0"/>
          <w:numId w:val="1067"/>
        </w:numPr>
      </w:pPr>
      <w:r>
        <w:t xml:space="preserve">Information should be developed and managed in accordance with its function and use for internal and external users.</w:t>
      </w:r>
    </w:p>
    <w:p>
      <w:pPr>
        <w:numPr>
          <w:ilvl w:val="0"/>
          <w:numId w:val="1067"/>
        </w:numPr>
      </w:pPr>
      <w:r>
        <w:t xml:space="preserve">WMO Centres should regularly assess information to ensure that it is fit for its purpose and that processes, procedures, and documentation are adequate.</w:t>
      </w:r>
    </w:p>
    <w:p>
      <w:pPr>
        <w:numPr>
          <w:ilvl w:val="0"/>
          <w:numId w:val="1067"/>
        </w:numPr>
      </w:pPr>
      <w:r>
        <w:t xml:space="preserve">Processes should be consistent with the general provisions and principles of quality management as described in the WMO Technical Regulations (WMO-No. 49).</w:t>
      </w:r>
    </w:p>
    <w:p>
      <w:pPr>
        <w:pStyle w:val="Heading4"/>
      </w:pPr>
      <w:bookmarkStart w:id="131" w:name="X6a00b6457f0c1f3361b337f694a28b174d7bdda"/>
      <w:r>
        <w:t xml:space="preserve">Principle 4: Information must be standardized and interoperable</w:t>
      </w:r>
      <w:bookmarkEnd w:id="131"/>
    </w:p>
    <w:p>
      <w:pPr>
        <w:numPr>
          <w:ilvl w:val="0"/>
          <w:numId w:val="106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8"/>
        </w:numPr>
      </w:pPr>
      <w:r>
        <w:t xml:space="preserve">Standardization is essential for structured information such as dataset definitions and metadata to support interoperability.</w:t>
      </w:r>
    </w:p>
    <w:p>
      <w:pPr>
        <w:numPr>
          <w:ilvl w:val="0"/>
          <w:numId w:val="106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8"/>
        </w:numPr>
      </w:pPr>
      <w:r>
        <w:t xml:space="preserve">The use of closed and proprietary standards is strongly discouraged.</w:t>
      </w:r>
    </w:p>
    <w:p>
      <w:pPr>
        <w:pStyle w:val="Heading4"/>
      </w:pPr>
      <w:bookmarkStart w:id="132" w:name="X7a72b7a348aceb0a6c3eeef09fd9dc18fc224a0"/>
      <w:r>
        <w:t xml:space="preserve">Principle 5: Information must be well documented</w:t>
      </w:r>
      <w:bookmarkEnd w:id="132"/>
    </w:p>
    <w:p>
      <w:pPr>
        <w:numPr>
          <w:ilvl w:val="0"/>
          <w:numId w:val="1069"/>
        </w:numPr>
      </w:pPr>
      <w:r>
        <w:t xml:space="preserve">WMO centres should comprehensively document information processes, policies, and procedures to facilitate broad and long-term use.</w:t>
      </w:r>
    </w:p>
    <w:p>
      <w:pPr>
        <w:numPr>
          <w:ilvl w:val="0"/>
          <w:numId w:val="1069"/>
        </w:numPr>
      </w:pPr>
      <w:r>
        <w:t xml:space="preserve">WMO centres should keep documentation up to date to ensure full traceability of processes along the information lifecycle, particularly for its creation.</w:t>
      </w:r>
    </w:p>
    <w:p>
      <w:pPr>
        <w:numPr>
          <w:ilvl w:val="0"/>
          <w:numId w:val="106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3" w:name="Xf201bbec5eea25bb7367115a98b8129aa22d6b9"/>
      <w:r>
        <w:t xml:space="preserve">Principle 6: Information must be discoverable, accessible and retrievable</w:t>
      </w:r>
      <w:bookmarkEnd w:id="133"/>
    </w:p>
    <w:p>
      <w:pPr>
        <w:numPr>
          <w:ilvl w:val="0"/>
          <w:numId w:val="107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0"/>
        </w:numPr>
      </w:pPr>
      <w:r>
        <w:t xml:space="preserve">For information to be easily retrievable once discovered, it should be accessible using standard data exchange protocols.</w:t>
      </w:r>
    </w:p>
    <w:p>
      <w:pPr>
        <w:pStyle w:val="Heading4"/>
      </w:pPr>
      <w:bookmarkStart w:id="134" w:name="Xad9a69e02a46804a1cafca89aee5aabe4560385"/>
      <w:r>
        <w:t xml:space="preserve">Principle 7: Information should be reusable</w:t>
      </w:r>
      <w:bookmarkEnd w:id="134"/>
    </w:p>
    <w:p>
      <w:pPr>
        <w:numPr>
          <w:ilvl w:val="0"/>
          <w:numId w:val="1071"/>
        </w:numPr>
      </w:pPr>
      <w:r>
        <w:t xml:space="preserve">In order to maximize the economic benefits of an information asset it should be made as widely available and as accessible as possible.</w:t>
      </w:r>
    </w:p>
    <w:p>
      <w:pPr>
        <w:numPr>
          <w:ilvl w:val="0"/>
          <w:numId w:val="107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5"/>
      </w:r>
    </w:p>
    <w:p>
      <w:pPr>
        <w:pStyle w:val="Heading4"/>
      </w:pPr>
      <w:bookmarkStart w:id="137" w:name="X985b53b52432ebd6bb65899337d26b4ccfeefb9"/>
      <w:r>
        <w:t xml:space="preserve">Principle 8: Information management is subject to accountability and governance.</w:t>
      </w:r>
      <w:bookmarkEnd w:id="137"/>
    </w:p>
    <w:p>
      <w:pPr>
        <w:numPr>
          <w:ilvl w:val="0"/>
          <w:numId w:val="107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2"/>
        </w:numPr>
      </w:pPr>
      <w:r>
        <w:t xml:space="preserve">information management practices, procedures and protocols, including well-defined roles, responsibilities and restrictions on managing the information;</w:t>
      </w:r>
    </w:p>
    <w:p>
      <w:pPr>
        <w:numPr>
          <w:ilvl w:val="0"/>
          <w:numId w:val="1072"/>
        </w:numPr>
      </w:pPr>
      <w:r>
        <w:t xml:space="preserve">definition and enforcement of appropriate retention policy, taking into account stakeholder needs and variations in value over the information lifecycle;</w:t>
      </w:r>
    </w:p>
    <w:p>
      <w:pPr>
        <w:numPr>
          <w:ilvl w:val="0"/>
          <w:numId w:val="1072"/>
        </w:numPr>
      </w:pPr>
      <w:r>
        <w:t xml:space="preserve">licensing and defining and enforcing any access restrictions.</w:t>
      </w:r>
    </w:p>
    <w:p>
      <w:pPr>
        <w:numPr>
          <w:ilvl w:val="0"/>
          <w:numId w:val="1072"/>
        </w:numPr>
      </w:pPr>
      <w:r>
        <w:t xml:space="preserve">The designated owner should have budget and decision-making authority about preservation and data usage, including passing ownership to another authority.</w:t>
      </w:r>
    </w:p>
    <w:p>
      <w:pPr>
        <w:pStyle w:val="Heading3"/>
      </w:pPr>
      <w:bookmarkStart w:id="138" w:name="X78a249a2cf11ac86cd7d6d498271963ba9dd080"/>
      <w:r>
        <w:t xml:space="preserve">The information management lifecycle</w:t>
      </w:r>
      <w:bookmarkEnd w:id="138"/>
    </w:p>
    <w:p>
      <w:pPr>
        <w:pStyle w:val="Heading4"/>
      </w:pPr>
      <w:bookmarkStart w:id="139" w:name="X43f9398da9c2eb974194c1e60a2fdc80e1bfc87"/>
      <w:r>
        <w:t xml:space="preserve">Overview</w:t>
      </w:r>
      <w:bookmarkEnd w:id="139"/>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3"/>
        </w:numPr>
      </w:pPr>
      <w:r>
        <w:t xml:space="preserve">Planning, creation and acquisition</w:t>
      </w:r>
    </w:p>
    <w:p>
      <w:pPr>
        <w:numPr>
          <w:ilvl w:val="0"/>
          <w:numId w:val="1073"/>
        </w:numPr>
      </w:pPr>
      <w:r>
        <w:t xml:space="preserve">Representation and metadata</w:t>
      </w:r>
    </w:p>
    <w:p>
      <w:pPr>
        <w:numPr>
          <w:ilvl w:val="0"/>
          <w:numId w:val="1073"/>
        </w:numPr>
      </w:pPr>
      <w:r>
        <w:t xml:space="preserve">Publication and exchange</w:t>
      </w:r>
    </w:p>
    <w:p>
      <w:pPr>
        <w:numPr>
          <w:ilvl w:val="0"/>
          <w:numId w:val="1073"/>
        </w:numPr>
      </w:pPr>
      <w:r>
        <w:t xml:space="preserve">Usage and communication</w:t>
      </w:r>
    </w:p>
    <w:p>
      <w:pPr>
        <w:numPr>
          <w:ilvl w:val="0"/>
          <w:numId w:val="107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0" w:name="Xb3f0671d8925fa193cc843a6c5ac3eb64409810"/>
      <w:r>
        <w:t xml:space="preserve">Overarching requirements</w:t>
      </w:r>
      <w:bookmarkEnd w:id="140"/>
    </w:p>
    <w:p>
      <w:pPr>
        <w:pStyle w:val="Heading5"/>
      </w:pPr>
      <w:bookmarkStart w:id="141" w:name="X46bef04a53b25a1a07899f714aadd7ab888e2c5"/>
      <w:r>
        <w:t xml:space="preserve">Governance</w:t>
      </w:r>
      <w:bookmarkEnd w:id="141"/>
    </w:p>
    <w:p>
      <w:pPr>
        <w:numPr>
          <w:ilvl w:val="0"/>
          <w:numId w:val="107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4"/>
        </w:numPr>
      </w:pPr>
      <w:r>
        <w:t xml:space="preserve">WMO centres should establish a board or leadership group to develop and regularly review such a governance structure and ensure compliance with its requirements.</w:t>
      </w:r>
    </w:p>
    <w:p>
      <w:pPr>
        <w:pStyle w:val="Heading5"/>
      </w:pPr>
      <w:bookmarkStart w:id="142" w:name="X983d5959bc8486b1ce731c329c055fcbbc55a03"/>
      <w:r>
        <w:t xml:space="preserve">Documentation</w:t>
      </w:r>
      <w:bookmarkEnd w:id="142"/>
    </w:p>
    <w:p>
      <w:pPr>
        <w:numPr>
          <w:ilvl w:val="0"/>
          <w:numId w:val="107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3" w:name="Xc1748e8f7038b0e2d79f80c2501fb09e121bdc5"/>
      <w:r>
        <w:t xml:space="preserve">Aspects of the information management lifecycle</w:t>
      </w:r>
      <w:bookmarkEnd w:id="143"/>
    </w:p>
    <w:p>
      <w:pPr>
        <w:pStyle w:val="Heading5"/>
      </w:pPr>
      <w:bookmarkStart w:id="144" w:name="Xb3fb7be77fcbfe5935f83c52aa59c7c4f68f9ed"/>
      <w:r>
        <w:t xml:space="preserve">Planning, information creation and acquisition</w:t>
      </w:r>
      <w:bookmarkEnd w:id="144"/>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6"/>
        </w:numPr>
      </w:pPr>
      <w:r>
        <w:t xml:space="preserve">Why the information is required</w:t>
      </w:r>
    </w:p>
    <w:p>
      <w:pPr>
        <w:numPr>
          <w:ilvl w:val="0"/>
          <w:numId w:val="1076"/>
        </w:numPr>
      </w:pPr>
      <w:r>
        <w:t xml:space="preserve">How it will be collected or created</w:t>
      </w:r>
    </w:p>
    <w:p>
      <w:pPr>
        <w:numPr>
          <w:ilvl w:val="0"/>
          <w:numId w:val="1076"/>
        </w:numPr>
      </w:pPr>
      <w:r>
        <w:t xml:space="preserve">How it will be stored</w:t>
      </w:r>
    </w:p>
    <w:p>
      <w:pPr>
        <w:numPr>
          <w:ilvl w:val="0"/>
          <w:numId w:val="1076"/>
        </w:numPr>
      </w:pPr>
      <w:r>
        <w:t xml:space="preserve">Whether it will be exchanged with other users and under what policy</w:t>
      </w:r>
    </w:p>
    <w:p>
      <w:pPr>
        <w:numPr>
          <w:ilvl w:val="0"/>
          <w:numId w:val="1076"/>
        </w:numPr>
      </w:pPr>
      <w:r>
        <w:t xml:space="preserve">Where it should be submitted for long term archival</w:t>
      </w:r>
    </w:p>
    <w:p>
      <w:pPr>
        <w:numPr>
          <w:ilvl w:val="0"/>
          <w:numId w:val="107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5" w:name="X0fb41f5d69e3c0e08742406b46184bce7272db1"/>
      <w:r>
        <w:t xml:space="preserve">Representation and metadata</w:t>
      </w:r>
      <w:bookmarkEnd w:id="145"/>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6" w:name="X9141f665603210a069fd950d3a70a10fce81a4b"/>
      <w:r>
        <w:t xml:space="preserve">Publication and exchange of information</w:t>
      </w:r>
      <w:bookmarkEnd w:id="14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7">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8">
        <w:r>
          <w:rPr>
            <w:rStyle w:val="Hyperlink"/>
          </w:rPr>
          <w:t xml:space="preserve">https://community.wmo.int/news/operational-newsletter</w:t>
        </w:r>
      </w:hyperlink>
    </w:p>
    <w:p>
      <w:pPr>
        <w:pStyle w:val="Heading5"/>
      </w:pPr>
      <w:bookmarkStart w:id="149" w:name="X3943a915dab0acd14a551cc23fe1ab4fc5b6d08"/>
      <w:r>
        <w:t xml:space="preserve">Usage and communication</w:t>
      </w:r>
      <w:bookmarkEnd w:id="149"/>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0" w:name="Xc49f3d2ac2c1a4985f413e4e33375d67ca4edae"/>
      <w:r>
        <w:t xml:space="preserve">Storage, archival and disposal</w:t>
      </w:r>
      <w:bookmarkEnd w:id="150"/>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1" w:name="Xcde52b855ebe88b41febf339572171c6eff9f00"/>
      <w:r>
        <w:t xml:space="preserve">Other considerations</w:t>
      </w:r>
      <w:bookmarkEnd w:id="151"/>
    </w:p>
    <w:p>
      <w:pPr>
        <w:pStyle w:val="Heading4"/>
      </w:pPr>
      <w:bookmarkStart w:id="152" w:name="Xaaae0965b9c1bfef7ff2e90d054b0b5d3ba2f74"/>
      <w:r>
        <w:t xml:space="preserve">Technology and technology migration</w:t>
      </w:r>
      <w:bookmarkEnd w:id="152"/>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3" w:name="X4be09f68f287a055be5a28deacf8bb1b4bf1904"/>
      <w:r>
        <w:t xml:space="preserve">Information security</w:t>
      </w:r>
      <w:bookmarkEnd w:id="153"/>
    </w:p>
    <w:p>
      <w:pPr>
        <w:pStyle w:val="FirstParagraph"/>
      </w:pPr>
      <w:r>
        <w:t xml:space="preserve">Further information on information security and best practices can be found in the WMO Guide to Information Technology Security (WMO-No. 1115).</w:t>
      </w:r>
    </w:p>
    <w:p>
      <w:pPr>
        <w:pStyle w:val="Heading1"/>
      </w:pPr>
      <w:bookmarkStart w:id="154" w:name="X21cd127bd20f258a1e62ea9ca51972219f0b892"/>
      <w:r>
        <w:t xml:space="preserve">PART IV</w:t>
      </w:r>
      <w:bookmarkEnd w:id="154"/>
    </w:p>
    <w:p>
      <w:pPr>
        <w:pStyle w:val="Heading2"/>
      </w:pPr>
      <w:bookmarkStart w:id="155" w:name="X450d2800ceddee769150bb96f748c14ec1a5fef"/>
      <w:r>
        <w:t xml:space="preserve">Security</w:t>
      </w:r>
      <w:bookmarkEnd w:id="155"/>
    </w:p>
    <w:p>
      <w:pPr>
        <w:pStyle w:val="FirstParagraph"/>
      </w:pPr>
      <w:r>
        <w:t xml:space="preserve">This section will introduce some concepts on the measures a publisher or a global service can implement to decrease the risk of cyber attacks.</w:t>
      </w:r>
    </w:p>
    <w:p>
      <w:pPr>
        <w:pStyle w:val="Heading3"/>
      </w:pPr>
      <w:bookmarkStart w:id="156" w:name="X0816bbae025f082caaf5aa16c47b09f1cd4e88e"/>
      <w:r>
        <w:t xml:space="preserve">Access control</w:t>
      </w:r>
      <w:bookmarkEnd w:id="156"/>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7" w:name="X3305ea5abe6b1fb2cabf7a817df7b030491936b"/>
      <w:r>
        <w:t xml:space="preserve">PART V</w:t>
      </w:r>
      <w:bookmarkEnd w:id="157"/>
    </w:p>
    <w:p>
      <w:pPr>
        <w:pStyle w:val="Heading2"/>
      </w:pPr>
      <w:bookmarkStart w:id="158" w:name="Xb01b72941e106f40026e8313cebe8325cd24f8c"/>
      <w:r>
        <w:t xml:space="preserve">Competencies</w:t>
      </w:r>
      <w:bookmarkEnd w:id="1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9">
    <w:p>
      <w:pPr>
        <w:pStyle w:val="FootnoteText"/>
      </w:pPr>
      <w:r>
        <w:rPr>
          <w:rStyle w:val="FootnoteReference"/>
        </w:rPr>
        <w:footnoteRef/>
      </w:r>
      <w:r>
        <w:t xml:space="preserve"> </w:t>
      </w:r>
      <w:r>
        <w:t xml:space="preserve">OpenMetrics is proposed as a draft standard within IETF.</w:t>
      </w:r>
    </w:p>
  </w:footnote>
  <w:footnote w:id="70">
    <w:p>
      <w:pPr>
        <w:pStyle w:val="FootnoteText"/>
      </w:pPr>
      <w:r>
        <w:rPr>
          <w:rStyle w:val="FootnoteReference"/>
        </w:rPr>
        <w:footnoteRef/>
      </w:r>
      <w:r>
        <w:t xml:space="preserve"> </w:t>
      </w:r>
      <w:hyperlink r:id="rId71">
        <w:r>
          <w:rPr>
            <w:rStyle w:val="Hyperlink"/>
          </w:rPr>
          <w:t xml:space="preserve">https://openmetrics.io</w:t>
        </w:r>
      </w:hyperlink>
    </w:p>
  </w:footnote>
  <w:footnote w:id="72">
    <w:p>
      <w:pPr>
        <w:pStyle w:val="FootnoteText"/>
      </w:pPr>
      <w:r>
        <w:rPr>
          <w:rStyle w:val="FootnoteReference"/>
        </w:rPr>
        <w:footnoteRef/>
      </w:r>
      <w:r>
        <w:t xml:space="preserve"> </w:t>
      </w:r>
      <w:hyperlink r:id="rId73">
        <w:r>
          <w:rPr>
            <w:rStyle w:val="Hyperlink"/>
          </w:rPr>
          <w:t xml:space="preserve">https://github.com/wmo-im/wis2-metric-hierarchy</w:t>
        </w:r>
      </w:hyperlink>
    </w:p>
  </w:footnote>
  <w:footnote w:id="84">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8">
    <w:p>
      <w:pPr>
        <w:pStyle w:val="FootnoteText"/>
      </w:pPr>
      <w:r>
        <w:rPr>
          <w:rStyle w:val="FootnoteReference"/>
        </w:rPr>
        <w:footnoteRef/>
      </w:r>
      <w:r>
        <w:t xml:space="preserve"> </w:t>
      </w:r>
      <w:r>
        <w:t xml:space="preserve">AMQP 1.0 is proposed in the draft PANS-IM</w:t>
      </w:r>
    </w:p>
  </w:footnote>
  <w:footnote w:id="103">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4">
        <w:r>
          <w:rPr>
            <w:rStyle w:val="Hyperlink"/>
          </w:rPr>
          <w:t xml:space="preserve">https://swagger.io/docs/specification/authentication/</w:t>
        </w:r>
      </w:hyperlink>
      <w:hyperlink r:id="rId104">
        <w:r>
          <w:rPr>
            <w:rStyle w:val="Hyperlink"/>
          </w:rPr>
          <w:t xml:space="preserve">https://swagger.io/docs/specification/authentication/</w:t>
        </w:r>
      </w:hyperlink>
    </w:p>
  </w:footnote>
  <w:footnote w:id="105">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6">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08">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2">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3">
    <w:p>
      <w:pPr>
        <w:pStyle w:val="FootnoteText"/>
      </w:pPr>
      <w:r>
        <w:rPr>
          <w:rStyle w:val="FootnoteReference"/>
        </w:rPr>
        <w:footnoteRef/>
      </w:r>
      <w:r>
        <w:t xml:space="preserve"> </w:t>
      </w:r>
      <w:r>
        <w:t xml:space="preserve">The WIS2 Node may control access to data - the Gateway will need to be implemented accordingly.</w:t>
      </w:r>
    </w:p>
  </w:footnote>
  <w:footnote w:id="11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5">
    <w:p>
      <w:pPr>
        <w:pStyle w:val="FootnoteText"/>
      </w:pPr>
      <w:r>
        <w:rPr>
          <w:rStyle w:val="FootnoteReference"/>
        </w:rPr>
        <w:footnoteRef/>
      </w:r>
      <w:r>
        <w:t xml:space="preserve"> </w:t>
      </w:r>
      <w:r>
        <w:t xml:space="preserve">OpenMetrics - see</w:t>
      </w:r>
      <w:r>
        <w:t xml:space="preserve"> </w:t>
      </w:r>
      <w:hyperlink r:id="rId71">
        <w:r>
          <w:rPr>
            <w:rStyle w:val="Hyperlink"/>
          </w:rPr>
          <w:t xml:space="preserve">https://openmetrics.io</w:t>
        </w:r>
      </w:hyperlink>
    </w:p>
  </w:footnote>
  <w:footnote w:id="118">
    <w:p>
      <w:pPr>
        <w:pStyle w:val="FootnoteText"/>
      </w:pPr>
      <w:r>
        <w:rPr>
          <w:rStyle w:val="FootnoteReference"/>
        </w:rPr>
        <w:footnoteRef/>
      </w:r>
      <w:r>
        <w:t xml:space="preserve"> </w:t>
      </w:r>
      <w:r>
        <w:t xml:space="preserve">AMQP 1.0 - see</w:t>
      </w:r>
      <w:r>
        <w:t xml:space="preserve"> </w:t>
      </w:r>
      <w:hyperlink r:id="rId119">
        <w:r>
          <w:rPr>
            <w:rStyle w:val="Hyperlink"/>
          </w:rPr>
          <w:t xml:space="preserve">https://www.amqp.org/resources/specifications</w:t>
        </w:r>
      </w:hyperlink>
    </w:p>
  </w:footnote>
  <w:footnote w:id="135">
    <w:p>
      <w:pPr>
        <w:pStyle w:val="FootnoteText"/>
      </w:pPr>
      <w:r>
        <w:rPr>
          <w:rStyle w:val="FootnoteReference"/>
        </w:rPr>
        <w:footnoteRef/>
      </w:r>
      <w:r>
        <w:t xml:space="preserve"> </w:t>
      </w:r>
      <w:hyperlink r:id="rId136">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9" Target="media/rId109.png" /><Relationship Type="http://schemas.openxmlformats.org/officeDocument/2006/relationships/image" Id="rId100" Target="media/rId100.png" /><Relationship Type="http://schemas.openxmlformats.org/officeDocument/2006/relationships/hyperlink" Id="rId14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90"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6"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6" Target="https://raw.githubusercontent.com/wmo-im/wis2-metric-hierarchy/main/metric-hierarchy/gc.csv" TargetMode="External" /><Relationship Type="http://schemas.openxmlformats.org/officeDocument/2006/relationships/hyperlink" Id="rId92" Target="https://raw.githubusercontent.com/wmo-im/wis2-metric-hierarchy/main/metric-hierarchy/gdc.csv" TargetMode="External" /><Relationship Type="http://schemas.openxmlformats.org/officeDocument/2006/relationships/hyperlink" Id="rId104" Target="https://swagger.io/docs/specification/authentication/" TargetMode="External" /><Relationship Type="http://schemas.openxmlformats.org/officeDocument/2006/relationships/hyperlink" Id="rId119"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90"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6"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6" Target="https://raw.githubusercontent.com/wmo-im/wis2-metric-hierarchy/main/metric-hierarchy/gc.csv" TargetMode="External" /><Relationship Type="http://schemas.openxmlformats.org/officeDocument/2006/relationships/hyperlink" Id="rId92" Target="https://raw.githubusercontent.com/wmo-im/wis2-metric-hierarchy/main/metric-hierarchy/gdc.csv" TargetMode="External" /><Relationship Type="http://schemas.openxmlformats.org/officeDocument/2006/relationships/hyperlink" Id="rId104" Target="https://swagger.io/docs/specification/authentication/" TargetMode="External" /><Relationship Type="http://schemas.openxmlformats.org/officeDocument/2006/relationships/hyperlink" Id="rId119"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2024-01-26T05:08:12Z</dcterms:created>
  <dcterms:modified xsi:type="dcterms:W3CDTF">2024-01-26T05:08:12Z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