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193.png" ContentType="image/png"/>
  <Override PartName="/word/media/rId181.png" ContentType="image/png"/>
  <Override PartName="/word/media/rId1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2024-02-08</w:t>
            </w:r>
          </w:p>
        </w:tc>
      </w:tr>
      <w:tr>
        <w:tc>
          <w:p>
            <w:pPr>
              <w:jc w:val="left"/>
            </w:pPr>
            <w:r>
              <w:t xml:space="preserve">Version: 2024-02-07</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Where Data Consumers need to use data rapidly once it has been published (e.g., for input to a weather prediction model), they should subscribe to one or more Global Broker to get notifications messages using MQTT protocol</w:t>
      </w:r>
      <w:r>
        <w:rPr>
          <w:rStyle w:val="FootnoteReference"/>
        </w:rPr>
        <w:footnoteReference w:id="37"/>
      </w:r>
      <w:r>
        <w:t xml:space="preserve">.</w:t>
      </w:r>
    </w:p>
    <w:p>
      <w:pPr>
        <w:pStyle w:val="BodyText"/>
      </w:pPr>
      <w:r>
        <w:t xml:space="preserve">In WIS2, notifications are re-published by Global Brokers to ensure resilient distribution. Consequently, there will by multiple places where one can subscribe. Data Consumers requiring real-time notifications must subscribe to Global Brokers. A Data Consumer should subscribe to more than one Global Broker, thereby ensuring that notifications continue to be received in the event that a Global Broker instance fails.</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using an Internet search engines</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Core data from the Global Caches.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 By subscribing to the</w:t>
      </w:r>
      <w:r>
        <w:t xml:space="preserve"> </w:t>
      </w:r>
      <w:r>
        <w:rPr>
          <w:rStyle w:val="VerbatimChar"/>
        </w:rPr>
        <w:t xml:space="preserve">cache</w:t>
      </w:r>
      <w:r>
        <w:t xml:space="preserve"> </w:t>
      </w:r>
      <w:r>
        <w:t xml:space="preserve">root topic, Data Consumers will only receive notifications about data available from the Global Caches. The</w:t>
      </w:r>
      <w:r>
        <w:t xml:space="preserve"> </w:t>
      </w:r>
      <w:r>
        <w:rPr>
          <w:rStyle w:val="VerbatimChar"/>
        </w:rPr>
        <w:t xml:space="preserve">origin</w:t>
      </w:r>
      <w:r>
        <w:t xml:space="preserve"> </w:t>
      </w:r>
      <w:r>
        <w:t xml:space="preserve">root topic should be used when subscribing to notifications about Recommended data. Data Consumers should not subscribe to the</w:t>
      </w:r>
      <w:r>
        <w:t xml:space="preserve"> </w:t>
      </w:r>
      <w:r>
        <w:rPr>
          <w:rStyle w:val="VerbatimChar"/>
        </w:rPr>
        <w:t xml:space="preserve">origin</w:t>
      </w:r>
      <w:r>
        <w:t xml:space="preserve"> </w:t>
      </w:r>
      <w:r>
        <w:t xml:space="preserve">root topic for notifications about Core data because notification messages provided on these topics will refer to data published on directly on the WIS2 Nodes (i.e.,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40" w:name="X495ea6ae192f774a020b79fc072e970bf919ae2"/>
      <w:r>
        <w:t xml:space="preserve">How to download data</w:t>
      </w:r>
      <w:bookmarkEnd w:id="40"/>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41"/>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3" w:name="X9fd58ee7f9ab1d79a413d5aafbf85877822b869"/>
      <w:r>
        <w:t xml:space="preserve">How to use data</w:t>
      </w:r>
      <w:bookmarkEnd w:id="43"/>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4" w:name="X924432c79be1e639f1f2c4a8c47f89286aa2ce4"/>
      <w:r>
        <w:t xml:space="preserve">Further reading for data consumers</w:t>
      </w:r>
      <w:bookmarkEnd w:id="44"/>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5" w:name="X6cb1def057f1992ce4f8f7eebf9044ec834d943"/>
      <w:r>
        <w:t xml:space="preserve">Data publisher</w:t>
      </w:r>
      <w:bookmarkEnd w:id="45"/>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Heading3"/>
      </w:pPr>
      <w:bookmarkStart w:id="46" w:name="Xb38a9c58e093ef1a0571fa3b455563c0520b159"/>
      <w:r>
        <w:t xml:space="preserve">How to get started</w:t>
      </w:r>
      <w:bookmarkEnd w:id="46"/>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7" w:name="X5a8c56bdb90b874d4815ac6596e3356b5d6efcc"/>
      <w:r>
        <w:t xml:space="preserve">How to provide discovery metadata to WIS2</w:t>
      </w:r>
      <w:bookmarkEnd w:id="47"/>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8"/>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50"/>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51"/>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3"/>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4" w:name="Xbcd0ad231af43760e89b10173d3a0f64ce1daee"/>
      <w:r>
        <w:t xml:space="preserve">How to provide data to WIS2</w:t>
      </w:r>
      <w:bookmarkEnd w:id="54"/>
    </w:p>
    <w:p>
      <w:pPr>
        <w:pStyle w:val="FirstParagraph"/>
      </w:pPr>
      <w:r>
        <w:t xml:space="preserve">WIS2 is based on the Web architecture</w:t>
      </w:r>
      <w:r>
        <w:rPr>
          <w:rStyle w:val="FootnoteReference"/>
        </w:rPr>
        <w:footnoteReference w:id="55"/>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7"/>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9"/>
      </w:r>
      <w:r>
        <w:t xml:space="preserve">, and making it available via a data server - most typically a Web server using the HTTP protocol</w:t>
      </w:r>
      <w:r>
        <w:rPr>
          <w:rStyle w:val="FootnoteReference"/>
        </w:rPr>
        <w:footnoteReference w:id="60"/>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61" w:name="X977aeff84469f7f317af595774c67f79c8e92ec"/>
      <w:r>
        <w:t xml:space="preserve">Data formats and encodings</w:t>
      </w:r>
      <w:bookmarkEnd w:id="61"/>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2" w:name="Xf06a8613489485c8f94034e44c1d964b0646367"/>
      <w:r>
        <w:t xml:space="preserve">Providing data as files</w:t>
      </w:r>
      <w:bookmarkEnd w:id="62"/>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5"/>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8" w:name="X7b7a0fd622b21e67b01ff07778217f80a4d47a3"/>
      <w:r>
        <w:t xml:space="preserve">Providing interactive access to data with APIs</w:t>
      </w:r>
      <w:bookmarkEnd w:id="68"/>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71"/>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9" w:name="Xb132b820f5a9176a28c7400eac7c436297058ae"/>
      <w:r>
        <w:t xml:space="preserve">Providing data in (near) real-time</w:t>
      </w:r>
      <w:bookmarkEnd w:id="79"/>
    </w:p>
    <w:p>
      <w:pPr>
        <w:pStyle w:val="FirstParagraph"/>
      </w:pPr>
      <w:r>
        <w:t xml:space="preserve">WIS2 is designed to support the data sharing needs of all WMO programmes.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3"/>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4"/>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5"/>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6"/>
      </w:r>
      <w:r>
        <w:t xml:space="preserve">. The Global Broker will only republish notification messages on topics specified in your discovery metadata records.</w:t>
      </w:r>
    </w:p>
    <w:p>
      <w:pPr>
        <w:pStyle w:val="Heading4"/>
      </w:pPr>
      <w:bookmarkStart w:id="87" w:name="Xc870f25786e5740db4e2f991f5983704ebfcba0"/>
      <w:r>
        <w:t xml:space="preserve">Considerations when providing Core data in WIS2</w:t>
      </w:r>
      <w:bookmarkEnd w:id="87"/>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8"/>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9"/>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90"/>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91" w:name="Xa684fcc376d271e1cc17fe50bbb15b721d51b92"/>
      <w:r>
        <w:t xml:space="preserve">Implementing access control</w:t>
      </w:r>
      <w:bookmarkEnd w:id="91"/>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2"/>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6"/>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8" w:name="X0b7a5ffb13d7a4fe82af2002d4d672f15b4ca83"/>
      <w:r>
        <w:t xml:space="preserve">Providing access to data archives</w:t>
      </w:r>
      <w:bookmarkEnd w:id="98"/>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9"/>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100" w:name="X3a4552e730719a1c498aa97fcf1d5ef177fb6ee"/>
      <w:r>
        <w:t xml:space="preserve">Further reading for data publishers</w:t>
      </w:r>
      <w:bookmarkEnd w:id="100"/>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101" w:name="X27c3714cbd41941b233815ec66585da0909fd6e"/>
      <w:r>
        <w:t xml:space="preserve">PART II</w:t>
      </w:r>
      <w:bookmarkEnd w:id="101"/>
    </w:p>
    <w:p>
      <w:pPr>
        <w:pStyle w:val="Heading2"/>
      </w:pPr>
      <w:bookmarkStart w:id="102" w:name="Xee31e45694d178744a29089d70d1cd98c260b58"/>
      <w:r>
        <w:t xml:space="preserve">WIS2 Architecture</w:t>
      </w:r>
      <w:bookmarkEnd w:id="102"/>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3" w:name="Xf3fcf64578ae63c909403c87ace898a0d40b853"/>
      <w:r>
        <w:t xml:space="preserve">Roles in WIS2</w:t>
      </w:r>
      <w:bookmarkEnd w:id="103"/>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4" w:name="Xf4bb3307fe8469253cd7ca852fef5c83d1fe8a5"/>
      <w:r>
        <w:t xml:space="preserve">Data Publisher</w:t>
      </w:r>
      <w:bookmarkEnd w:id="104"/>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5" w:name="Xc0611752d8a6c0f785a97ddd2d396d99c16b126"/>
      <w:r>
        <w:t xml:space="preserve">Global Coordinator</w:t>
      </w:r>
      <w:bookmarkEnd w:id="105"/>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6" w:name="X36ff8ac78eae6a2fa832e9cc3b0b7981aef981e"/>
      <w:r>
        <w:t xml:space="preserve">Global Service operator</w:t>
      </w:r>
      <w:bookmarkEnd w:id="106"/>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7" w:name="X1a4539aae2056893b0f4c21aa9ca0ae9441812a"/>
      <w:r>
        <w:t xml:space="preserve">Data Consumer</w:t>
      </w:r>
      <w:bookmarkEnd w:id="107"/>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8" w:name="X4377534b50509c858737c0b074d5a3307b7fcf9"/>
      <w:r>
        <w:t xml:space="preserve">Specifications of WIS2</w:t>
      </w:r>
      <w:bookmarkEnd w:id="10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9" w:name="X77c8859ec5b5e85b166da5d11960b4ec9fd10d4"/>
      <w:r>
        <w:t xml:space="preserve">Components of WIS2</w:t>
      </w:r>
      <w:bookmarkEnd w:id="109"/>
    </w:p>
    <w:p>
      <w:pPr>
        <w:pStyle w:val="Heading3"/>
      </w:pPr>
      <w:bookmarkStart w:id="110" w:name="X9809bf7de22c5a6f5ac4993d8ceb0a366b28036"/>
      <w:r>
        <w:t xml:space="preserve">WIS2 Node</w:t>
      </w:r>
      <w:bookmarkEnd w:id="110"/>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11" w:name="X457e87df81e20dd60341813f33917c04b732591"/>
      <w:r>
        <w:t xml:space="preserve">Global Broker</w:t>
      </w:r>
      <w:bookmarkEnd w:id="111"/>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2" w:name="X3757fd838d3368c80e2243a833cf028c5b7f1b3"/>
      <w:r>
        <w:t xml:space="preserve">Global Cache</w:t>
      </w:r>
      <w:bookmarkEnd w:id="112"/>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3" w:name="X7afed62fce9c77dc9763966ede44c55358b9618"/>
      <w:r>
        <w:t xml:space="preserve">Global Discovery Catalogue</w:t>
      </w:r>
      <w:bookmarkEnd w:id="113"/>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4" w:name="X4e88c05a27e698b3d133af3a43b16886494a2e2"/>
      <w:r>
        <w:t xml:space="preserve">Global Monitor</w:t>
      </w:r>
      <w:bookmarkEnd w:id="114"/>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5" w:name="Xee8f00d4b5d32ea81dee296c05c3047c4b44548"/>
      <w:r>
        <w:t xml:space="preserve">Protocols configuration</w:t>
      </w:r>
      <w:bookmarkEnd w:id="115"/>
    </w:p>
    <w:p>
      <w:pPr>
        <w:pStyle w:val="Heading3"/>
      </w:pPr>
      <w:bookmarkStart w:id="116" w:name="X24a7c06ed7dc4cc495cbe882209559321d9907a"/>
      <w:r>
        <w:t xml:space="preserve">Publish-Subscribe protocol (MQTT)</w:t>
      </w:r>
      <w:bookmarkEnd w:id="116"/>
    </w:p>
    <w:p>
      <w:pPr>
        <w:numPr>
          <w:ilvl w:val="0"/>
          <w:numId w:val="1033"/>
        </w:numPr>
      </w:pPr>
      <w:r>
        <w:t xml:space="preserve">The MQTT protocol</w:t>
      </w:r>
      <w:r>
        <w:rPr>
          <w:rStyle w:val="FootnoteReference"/>
        </w:rPr>
        <w:footnoteReference w:id="117"/>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9" w:name="X5c2c63cbe773be7ffd5fb93b0614b441ffbec41"/>
      <w:r>
        <w:t xml:space="preserve">Download protocol (HTTP)</w:t>
      </w:r>
      <w:bookmarkEnd w:id="119"/>
    </w:p>
    <w:p>
      <w:pPr>
        <w:numPr>
          <w:ilvl w:val="0"/>
          <w:numId w:val="1036"/>
        </w:numPr>
      </w:pPr>
      <w:r>
        <w:t xml:space="preserve">The HTTP protocol (RFC 7231</w:t>
      </w:r>
      <w:r>
        <w:rPr>
          <w:rStyle w:val="FootnoteReference"/>
        </w:rPr>
        <w:footnoteReference w:id="120"/>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2" w:name="Xff31a5d1aa87fc988a72aaf109f7c8e748ad4b1"/>
      <w:r>
        <w:t xml:space="preserve">Implementation and operation of a WIS2 Node</w:t>
      </w:r>
      <w:bookmarkEnd w:id="122"/>
    </w:p>
    <w:p>
      <w:pPr>
        <w:pStyle w:val="Heading3"/>
      </w:pPr>
      <w:bookmarkStart w:id="123" w:name="X2dc45f7e3308f894d44a9e549266f7a5068a5e5"/>
      <w:r>
        <w:t xml:space="preserve">Practices and procedures</w:t>
      </w:r>
      <w:bookmarkEnd w:id="123"/>
    </w:p>
    <w:p>
      <w:pPr>
        <w:pStyle w:val="Heading4"/>
      </w:pPr>
      <w:bookmarkStart w:id="124" w:name="X8e028573dd812516e98f10b49ed38e5e61384e5"/>
      <w:r>
        <w:t xml:space="preserve">Registration and decommissioning of a WIS2 Node</w:t>
      </w:r>
      <w:bookmarkEnd w:id="124"/>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6" w:name="Xb8e0be8b6c37b07d112a8a99be8be37f3f9c9b4"/>
      <w:r>
        <w:t xml:space="preserve">Guidance on assigning a Centre Identifier for a WIS2 Node</w:t>
      </w:r>
      <w:bookmarkEnd w:id="126"/>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7"/>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9">
        <w:r>
          <w:rPr>
            <w:rStyle w:val="Hyperlink"/>
          </w:rPr>
          <w:t xml:space="preserve">http://www.metoffice.gov.uk</w:t>
        </w:r>
      </w:hyperlink>
      <w:r>
        <w:t xml:space="preserve">), so “metoffice” is better than “ukmo”</w:t>
      </w:r>
      <w:r>
        <w:rPr>
          <w:rStyle w:val="FootnoteReference"/>
        </w:rPr>
        <w:footnoteReference w:id="130"/>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31" w:name="X2efa4b3c7f11b5869994d3f39fb42c00bf9526c"/>
      <w:r>
        <w:t xml:space="preserve">Authentication, authorization, and access control for a WIS2 Node</w:t>
      </w:r>
      <w:bookmarkEnd w:id="131"/>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2"/>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3"/>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4"/>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5"/>
      </w:r>
      <w:r>
        <w:t xml:space="preserve">.</w:t>
      </w:r>
    </w:p>
    <w:p>
      <w:pPr>
        <w:pStyle w:val="Heading3"/>
      </w:pPr>
      <w:bookmarkStart w:id="136" w:name="X88471e81d2325170fe741992b384283916f363b"/>
      <w:r>
        <w:t xml:space="preserve">Performance management</w:t>
      </w:r>
      <w:bookmarkEnd w:id="136"/>
    </w:p>
    <w:p>
      <w:pPr>
        <w:pStyle w:val="Heading4"/>
      </w:pPr>
      <w:bookmarkStart w:id="137" w:name="Xe6d7c72f985dadd42293bc857d52add7d42ea2b"/>
      <w:r>
        <w:t xml:space="preserve">Service levels and performance indicators</w:t>
      </w:r>
      <w:bookmarkEnd w:id="137"/>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8" w:name="X8bf05b2e0d10427f62345612d639c55cc744267"/>
      <w:r>
        <w:t xml:space="preserve">Provision of system performance metrics</w:t>
      </w:r>
      <w:bookmarkEnd w:id="138"/>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9" w:name="X0fb30a4311a2f4b49b867218c927e6ebb4ef16d"/>
      <w:r>
        <w:t xml:space="preserve">WIS2 Node reference implementation: wis2box</w:t>
      </w:r>
      <w:bookmarkEnd w:id="139"/>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40">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40">
        <w:r>
          <w:rPr>
            <w:rStyle w:val="Hyperlink"/>
          </w:rPr>
          <w:t xml:space="preserve">https://docs.wis2box.wis.wmo.int</w:t>
        </w:r>
      </w:hyperlink>
      <w:r>
        <w:t xml:space="preserve">.</w:t>
      </w:r>
    </w:p>
    <w:p>
      <w:pPr>
        <w:pStyle w:val="Heading2"/>
      </w:pPr>
      <w:bookmarkStart w:id="141" w:name="X9e72a2ecfcdde13f98188c11fb151050efd6b8e"/>
      <w:r>
        <w:t xml:space="preserve">Implementation and operation of a Global Service</w:t>
      </w:r>
      <w:bookmarkEnd w:id="141"/>
    </w:p>
    <w:p>
      <w:pPr>
        <w:pStyle w:val="Heading3"/>
      </w:pPr>
      <w:bookmarkStart w:id="142" w:name="X2413b2167533c41decb1d7ad264ee77ac10f5b8"/>
      <w:r>
        <w:t xml:space="preserve">Procedure for registration of a new Global Service</w:t>
      </w:r>
      <w:bookmarkEnd w:id="142"/>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3" w:name="X92a574e92bd468929fa857fcf361addb0e19130"/>
      <w:r>
        <w:t xml:space="preserve">Performance management and monitoring of a Global Service</w:t>
      </w:r>
      <w:bookmarkEnd w:id="143"/>
    </w:p>
    <w:p>
      <w:pPr>
        <w:pStyle w:val="Heading4"/>
      </w:pPr>
      <w:bookmarkStart w:id="144" w:name="X5e314926e6c38d8253e74ca9c7c0b4c5d26b707"/>
      <w:r>
        <w:t xml:space="preserve">Monitoring and metrics for WIS2 operations</w:t>
      </w:r>
      <w:bookmarkEnd w:id="144"/>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5"/>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6"/>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8"/>
      </w:r>
    </w:p>
    <w:p>
      <w:pPr>
        <w:pStyle w:val="Heading4"/>
      </w:pPr>
      <w:bookmarkStart w:id="150" w:name="X61b468b8bf7d4308bcaac71a7f66d738b5d312d"/>
      <w:r>
        <w:t xml:space="preserve">Service levels, performance indicators, and fair-usage policies</w:t>
      </w:r>
      <w:bookmarkEnd w:id="150"/>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51" w:name="X9f81c9ccadcb1a687a8114ac1ba77ad17867978"/>
      <w:r>
        <w:t xml:space="preserve">Metrics for Global Services</w:t>
      </w:r>
      <w:bookmarkEnd w:id="151"/>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2" w:name="Xe0eab1aae4f0a18f4dcba102bbc5cb0f1021ecf"/>
      <w:r>
        <w:t xml:space="preserve">Global Broker</w:t>
      </w:r>
      <w:bookmarkEnd w:id="152"/>
    </w:p>
    <w:p>
      <w:pPr>
        <w:pStyle w:val="Heading4"/>
      </w:pPr>
      <w:bookmarkStart w:id="153" w:name="Xffd6385210ddd18d3a42c4b75583b265bf38983"/>
      <w:r>
        <w:t xml:space="preserve">Technical considerations</w:t>
      </w:r>
      <w:bookmarkEnd w:id="153"/>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4" w:name="X743200c472f9d0375e2986f5890dff3da599269"/>
      <w:r>
        <w:t xml:space="preserve">Global Cache</w:t>
      </w:r>
      <w:bookmarkEnd w:id="154"/>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5" w:name="X786d3f3a1e3b20eb2f4f60f868fc4d4fcbe1071"/>
      <w:r>
        <w:t xml:space="preserve">Technical considerations</w:t>
      </w:r>
      <w:bookmarkEnd w:id="155"/>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6" w:name="Xc6a761dae7c2ab8ca53d55e2bb6a1eee7d9f700"/>
      <w:r>
        <w:t xml:space="preserve">Practices and procedures</w:t>
      </w:r>
      <w:bookmarkEnd w:id="156"/>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7"/>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8" w:name="X98dc1b7aeea0d58f8b8d679247b663e1f86c3af"/>
      <w:r>
        <w:t xml:space="preserve">Global Discovery Catalogue</w:t>
      </w:r>
      <w:bookmarkEnd w:id="158"/>
    </w:p>
    <w:p>
      <w:pPr>
        <w:pStyle w:val="Heading4"/>
      </w:pPr>
      <w:bookmarkStart w:id="159" w:name="Xfb2e666548741befe53fbe311ab83706f224432"/>
      <w:r>
        <w:t xml:space="preserve">Technical considerations</w:t>
      </w:r>
      <w:bookmarkEnd w:id="159"/>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60"/>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61" w:name="X6065a0bce40360a3246dd1925c599c3bfa3e21a"/>
      <w:r>
        <w:t xml:space="preserve">Global Discovery Catalogue reference implementation: wis2-gdc</w:t>
      </w:r>
      <w:bookmarkEnd w:id="161"/>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2">
        <w:r>
          <w:rPr>
            <w:rStyle w:val="Hyperlink"/>
          </w:rPr>
          <w:t xml:space="preserve">https://github.com/wmo-im/wis2-gdc</w:t>
        </w:r>
      </w:hyperlink>
      <w:r>
        <w:t xml:space="preserve">.</w:t>
      </w:r>
    </w:p>
    <w:p>
      <w:pPr>
        <w:pStyle w:val="Heading3"/>
      </w:pPr>
      <w:bookmarkStart w:id="163" w:name="Xcc01d2686e89c463d7923a65ea7a9e03e587af8"/>
      <w:r>
        <w:t xml:space="preserve">Global Monitor</w:t>
      </w:r>
      <w:bookmarkEnd w:id="163"/>
    </w:p>
    <w:p>
      <w:pPr>
        <w:pStyle w:val="Heading4"/>
      </w:pPr>
      <w:bookmarkStart w:id="164" w:name="Xd139f35e1c8e20bb300c6e70a06e779eeaccbe8"/>
      <w:r>
        <w:t xml:space="preserve">Technical Considerations</w:t>
      </w:r>
      <w:bookmarkEnd w:id="164"/>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5" w:name="Xeeabc229dc8912ba5f974878e5a5a11961b3b62"/>
      <w:r>
        <w:t xml:space="preserve">Operations</w:t>
      </w:r>
      <w:bookmarkEnd w:id="165"/>
    </w:p>
    <w:p>
      <w:pPr>
        <w:pStyle w:val="Heading3"/>
      </w:pPr>
      <w:bookmarkStart w:id="166" w:name="X5c617aa2ee6751c4b95283e47cb4b5ee7ac3c61"/>
      <w:r>
        <w:t xml:space="preserve">Interoperability with external systems</w:t>
      </w:r>
      <w:bookmarkEnd w:id="166"/>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7" w:name="X9a4ce0d19d67477e2e98a434de760aa481811e6"/>
      <w:r>
        <w:t xml:space="preserve">Publishing meteorological data through WIS2 into ICAO SWIM</w:t>
      </w:r>
      <w:bookmarkEnd w:id="167"/>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8"/>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9"/>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70" w:name="X14ff1e968629101d51c4e96198c1e3ef5ed75df"/>
      <w:r>
        <w:t xml:space="preserve">WIS2 to SWIM Gateway</w:t>
      </w:r>
      <w:bookmarkEnd w:id="170"/>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71"/>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2" w:name="X32503eef144b6f9e5340fc09f6b6729dde1508a"/>
      <w:r>
        <w:t xml:space="preserve">Data types and format</w:t>
      </w:r>
      <w:bookmarkEnd w:id="172"/>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3"/>
      </w:r>
      <w:r>
        <w:t xml:space="preserve"> </w:t>
      </w:r>
      <w:r>
        <w:t xml:space="preserve">is to be used for encoding aeronautical meteorological information in SWIM.</w:t>
      </w:r>
    </w:p>
    <w:p>
      <w:pPr>
        <w:pStyle w:val="Heading5"/>
      </w:pPr>
      <w:bookmarkStart w:id="174" w:name="X4e8addac518048f267b87b8f17249bc74446b43"/>
      <w:r>
        <w:t xml:space="preserve">Publishing meteorological data via WIS2</w:t>
      </w:r>
      <w:bookmarkEnd w:id="174"/>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5"/>
      </w:r>
      <w:r>
        <w:rPr>
          <w:rStyle w:val="FootnoteReference"/>
        </w:rPr>
        <w:footnoteReference w:id="176"/>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7"/>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8"/>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9" w:name="Xac9fa0d706a584b25e8ed536b901df2da5c4019"/>
      <w:r>
        <w:t xml:space="preserve">Gateway implementation</w:t>
      </w:r>
      <w:bookmarkEnd w:id="179"/>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80"/>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81"/>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2"/>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3"/>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4"/>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5"/>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6" w:name="X8ab0215de29d7e2030f4813a9a0181844a790ad"/>
      <w:r>
        <w:t xml:space="preserve">SWIM service</w:t>
      </w:r>
      <w:bookmarkEnd w:id="186"/>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7"/>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9" w:name="X727e67723c58a063171b532754bb63b85d88703"/>
      <w:r>
        <w:t xml:space="preserve">The Ocean Data and Information System (ODIS)</w:t>
      </w:r>
      <w:bookmarkEnd w:id="189"/>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90"/>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2" w:name="X2479ff89485b9dffb160639adddd97c6338406f"/>
      <w:r>
        <w:t xml:space="preserve">Cross system interoperability</w:t>
      </w:r>
      <w:bookmarkEnd w:id="192"/>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3"/>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4" w:name="X50d015487b8112b45846fafc9cb4c294f9c1543"/>
      <w:r>
        <w:t xml:space="preserve">PART III</w:t>
      </w:r>
      <w:bookmarkEnd w:id="194"/>
    </w:p>
    <w:p>
      <w:pPr>
        <w:pStyle w:val="Heading2"/>
      </w:pPr>
      <w:bookmarkStart w:id="195" w:name="Xf663b84f8b08bef805756b15e1319003d76fa52"/>
      <w:r>
        <w:t xml:space="preserve">Information management</w:t>
      </w:r>
      <w:bookmarkEnd w:id="195"/>
    </w:p>
    <w:p>
      <w:pPr>
        <w:pStyle w:val="Heading3"/>
      </w:pPr>
      <w:bookmarkStart w:id="196" w:name="X1ea7cbd003469405f98a7976943980a7b23bcee"/>
      <w:r>
        <w:t xml:space="preserve">Introduction</w:t>
      </w:r>
      <w:bookmarkEnd w:id="196"/>
    </w:p>
    <w:p>
      <w:pPr>
        <w:pStyle w:val="Heading4"/>
      </w:pPr>
      <w:bookmarkStart w:id="197" w:name="Xca774f64942a7f7563fb94bb05ba7dab3a26d69"/>
      <w:r>
        <w:t xml:space="preserve">Background</w:t>
      </w:r>
      <w:bookmarkEnd w:id="197"/>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8" w:name="Xc8210088bf4711be4456d26326179eb58b8f5b4"/>
      <w:r>
        <w:t xml:space="preserve">Scope</w:t>
      </w:r>
      <w:bookmarkEnd w:id="198"/>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9" w:name="Xc4a1ede03be40f12a45db53a22503ecdd576f28"/>
      <w:r>
        <w:t xml:space="preserve">Intended audience</w:t>
      </w:r>
      <w:bookmarkEnd w:id="199"/>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200" w:name="Xc94de5166ce838056d764e2813060631f45545e"/>
      <w:r>
        <w:t xml:space="preserve">Principles of information management</w:t>
      </w:r>
      <w:bookmarkEnd w:id="200"/>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201" w:name="Xced3bf5985e11d5bf9ea318c067f81c51dd90bb"/>
      <w:r>
        <w:t xml:space="preserve">Principle 1: Information is a valued asset</w:t>
      </w:r>
      <w:bookmarkEnd w:id="201"/>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2" w:name="X2b4305e580dff0ab586fbedd336c10ae1a05bc9"/>
      <w:r>
        <w:t xml:space="preserve">Principle 2: Information must be managed</w:t>
      </w:r>
      <w:bookmarkEnd w:id="202"/>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3" w:name="X24cab0a09ccdca3e752f0ecd6d0ff5456c284f3"/>
      <w:r>
        <w:t xml:space="preserve">Principle 3: Information must be fit for purpose</w:t>
      </w:r>
      <w:bookmarkEnd w:id="203"/>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4" w:name="X6a00b6457f0c1f3361b337f694a28b174d7bdda"/>
      <w:r>
        <w:t xml:space="preserve">Principle 4: Information must be standardized and interoperable</w:t>
      </w:r>
      <w:bookmarkEnd w:id="204"/>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5" w:name="X7a72b7a348aceb0a6c3eeef09fd9dc18fc224a0"/>
      <w:r>
        <w:t xml:space="preserve">Principle 5: Information must be well documented</w:t>
      </w:r>
      <w:bookmarkEnd w:id="205"/>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6" w:name="Xf201bbec5eea25bb7367115a98b8129aa22d6b9"/>
      <w:r>
        <w:t xml:space="preserve">Principle 6: Information must be discoverable, accessible and retrievable</w:t>
      </w:r>
      <w:bookmarkEnd w:id="206"/>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7" w:name="Xad9a69e02a46804a1cafca89aee5aabe4560385"/>
      <w:r>
        <w:t xml:space="preserve">Principle 7: Information should be reusable</w:t>
      </w:r>
      <w:bookmarkEnd w:id="207"/>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8"/>
      </w:r>
    </w:p>
    <w:p>
      <w:pPr>
        <w:pStyle w:val="Heading4"/>
      </w:pPr>
      <w:bookmarkStart w:id="210" w:name="X985b53b52432ebd6bb65899337d26b4ccfeefb9"/>
      <w:r>
        <w:t xml:space="preserve">Principle 8: Information management is subject to accountability and governance.</w:t>
      </w:r>
      <w:bookmarkEnd w:id="210"/>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11" w:name="X78a249a2cf11ac86cd7d6d498271963ba9dd080"/>
      <w:r>
        <w:t xml:space="preserve">The information management lifecycle</w:t>
      </w:r>
      <w:bookmarkEnd w:id="211"/>
    </w:p>
    <w:p>
      <w:pPr>
        <w:pStyle w:val="Heading4"/>
      </w:pPr>
      <w:bookmarkStart w:id="212" w:name="X43f9398da9c2eb974194c1e60a2fdc80e1bfc87"/>
      <w:r>
        <w:t xml:space="preserve">Overview</w:t>
      </w:r>
      <w:bookmarkEnd w:id="212"/>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3" w:name="Xb3f0671d8925fa193cc843a6c5ac3eb64409810"/>
      <w:r>
        <w:t xml:space="preserve">Overarching requirements</w:t>
      </w:r>
      <w:bookmarkEnd w:id="213"/>
    </w:p>
    <w:p>
      <w:pPr>
        <w:pStyle w:val="Heading5"/>
      </w:pPr>
      <w:bookmarkStart w:id="214" w:name="X46bef04a53b25a1a07899f714aadd7ab888e2c5"/>
      <w:r>
        <w:t xml:space="preserve">Governance</w:t>
      </w:r>
      <w:bookmarkEnd w:id="214"/>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5" w:name="X983d5959bc8486b1ce731c329c055fcbbc55a03"/>
      <w:r>
        <w:t xml:space="preserve">Documentation</w:t>
      </w:r>
      <w:bookmarkEnd w:id="215"/>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6" w:name="Xc1748e8f7038b0e2d79f80c2501fb09e121bdc5"/>
      <w:r>
        <w:t xml:space="preserve">Aspects of the information management lifecycle</w:t>
      </w:r>
      <w:bookmarkEnd w:id="216"/>
    </w:p>
    <w:p>
      <w:pPr>
        <w:pStyle w:val="Heading5"/>
      </w:pPr>
      <w:bookmarkStart w:id="217" w:name="Xb3fb7be77fcbfe5935f83c52aa59c7c4f68f9ed"/>
      <w:r>
        <w:t xml:space="preserve">Planning, information creation and acquisition</w:t>
      </w:r>
      <w:bookmarkEnd w:id="217"/>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8" w:name="X0fb41f5d69e3c0e08742406b46184bce7272db1"/>
      <w:r>
        <w:t xml:space="preserve">Representation and metadata</w:t>
      </w:r>
      <w:bookmarkEnd w:id="218"/>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9" w:name="X9141f665603210a069fd950d3a70a10fce81a4b"/>
      <w:r>
        <w:t xml:space="preserve">Publication and exchange of information</w:t>
      </w:r>
      <w:bookmarkEnd w:id="219"/>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20">
        <w:r>
          <w:rPr>
            <w:rStyle w:val="Hyperlink"/>
          </w:rPr>
          <w:t xml:space="preserve">https://community.wmo.int/news/operational-newsletter</w:t>
        </w:r>
      </w:hyperlink>
    </w:p>
    <w:p>
      <w:pPr>
        <w:pStyle w:val="Heading5"/>
      </w:pPr>
      <w:bookmarkStart w:id="221" w:name="X3943a915dab0acd14a551cc23fe1ab4fc5b6d08"/>
      <w:r>
        <w:t xml:space="preserve">Usage and communication</w:t>
      </w:r>
      <w:bookmarkEnd w:id="221"/>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Global Data Processing and Forecasting System</w:t>
      </w:r>
      <w:r>
        <w:t xml:space="preserve"> </w:t>
      </w:r>
      <w:r>
        <w:t xml:space="preserve">(WMO-No. 485), Volume II.</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2" w:name="Xc49f3d2ac2c1a4985f413e4e33375d67ca4edae"/>
      <w:r>
        <w:t xml:space="preserve">Storage, archival and disposal</w:t>
      </w:r>
      <w:bookmarkEnd w:id="222"/>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Global Data Processing and Forecasting System</w:t>
      </w:r>
      <w:r>
        <w:t xml:space="preserve"> </w:t>
      </w:r>
      <w:r>
        <w:t xml:space="preserve">(WMO-No. 485), Volume II.</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3" w:name="Xcde52b855ebe88b41febf339572171c6eff9f00"/>
      <w:r>
        <w:t xml:space="preserve">Other considerations</w:t>
      </w:r>
      <w:bookmarkEnd w:id="223"/>
    </w:p>
    <w:p>
      <w:pPr>
        <w:pStyle w:val="Heading4"/>
      </w:pPr>
      <w:bookmarkStart w:id="224" w:name="Xaaae0965b9c1bfef7ff2e90d054b0b5d3ba2f74"/>
      <w:r>
        <w:t xml:space="preserve">Technology and technology migration</w:t>
      </w:r>
      <w:bookmarkEnd w:id="224"/>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5" w:name="X4be09f68f287a055be5a28deacf8bb1b4bf1904"/>
      <w:r>
        <w:t xml:space="preserve">Information security</w:t>
      </w:r>
      <w:bookmarkEnd w:id="225"/>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6" w:name="X21cd127bd20f258a1e62ea9ca51972219f0b892"/>
      <w:r>
        <w:t xml:space="preserve">PART IV</w:t>
      </w:r>
      <w:bookmarkEnd w:id="226"/>
    </w:p>
    <w:p>
      <w:pPr>
        <w:pStyle w:val="Heading2"/>
      </w:pPr>
      <w:bookmarkStart w:id="227" w:name="X450d2800ceddee769150bb96f748c14ec1a5fef"/>
      <w:r>
        <w:t xml:space="preserve">Security</w:t>
      </w:r>
      <w:bookmarkEnd w:id="227"/>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8"/>
      </w:r>
    </w:p>
    <w:p>
      <w:pPr>
        <w:numPr>
          <w:ilvl w:val="0"/>
          <w:numId w:val="1084"/>
        </w:numPr>
      </w:pPr>
      <w:r>
        <w:rPr>
          <w:i/>
        </w:rPr>
        <w:t xml:space="preserve">Guide to the WMO Information System</w:t>
      </w:r>
      <w:r>
        <w:t xml:space="preserve"> </w:t>
      </w:r>
      <w:r>
        <w:t xml:space="preserve">(WMO-No. 1061), Vol I</w:t>
      </w:r>
      <w:r>
        <w:rPr>
          <w:rStyle w:val="FootnoteReference"/>
        </w:rPr>
        <w:footnoteReference w:id="230"/>
      </w:r>
      <w:r>
        <w:t xml:space="preserve">, Appendix E - Annex To Paragraph 7.8 (ICT Service Incident Management), and Appendix F - WIS IT Security Incident Response Process</w:t>
      </w:r>
    </w:p>
    <w:p>
      <w:pPr>
        <w:pStyle w:val="Heading1"/>
      </w:pPr>
      <w:bookmarkStart w:id="232" w:name="X3305ea5abe6b1fb2cabf7a817df7b030491936b"/>
      <w:r>
        <w:t xml:space="preserve">PART V</w:t>
      </w:r>
      <w:bookmarkEnd w:id="232"/>
    </w:p>
    <w:p>
      <w:pPr>
        <w:pStyle w:val="Heading2"/>
      </w:pPr>
      <w:bookmarkStart w:id="233" w:name="Xb01b72941e106f40026e8313cebe8325cd24f8c"/>
      <w:r>
        <w:t xml:space="preserve">Competencies</w:t>
      </w:r>
      <w:bookmarkEnd w:id="233"/>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4"/>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7">
    <w:p>
      <w:pPr>
        <w:pStyle w:val="FootnoteText"/>
      </w:pPr>
      <w:r>
        <w:rPr>
          <w:rStyle w:val="FootnoteReference"/>
        </w:rPr>
        <w:footnoteRef/>
      </w:r>
      <w:r>
        <w:t xml:space="preserve"> </w:t>
      </w:r>
      <w:r>
        <w:t xml:space="preserve">Subscribing to notifications about newly available data means that you don’t need to continually to poll the data server to check for updates.</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the Global Discovery Catalogues.</w:t>
      </w:r>
    </w:p>
  </w:footnote>
  <w:footnote w:id="41">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RFC 7946 - The GeoJSON Format:</w:t>
      </w:r>
      <w:r>
        <w:t xml:space="preserve"> </w:t>
      </w:r>
      <w:hyperlink r:id="rId49">
        <w:r>
          <w:rPr>
            <w:rStyle w:val="Hyperlink"/>
          </w:rPr>
          <w:t xml:space="preserve">https://datatracker.ietf.org/doc/html/rfc7946</w:t>
        </w:r>
      </w:hyperlink>
    </w:p>
  </w:footnote>
  <w:footnote w:id="50">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51">
    <w:p>
      <w:pPr>
        <w:pStyle w:val="FootnoteText"/>
      </w:pPr>
      <w:r>
        <w:rPr>
          <w:rStyle w:val="FootnoteReference"/>
        </w:rPr>
        <w:footnoteRef/>
      </w:r>
      <w:r>
        <w:t xml:space="preserve"> </w:t>
      </w:r>
      <w:r>
        <w:t xml:space="preserve">OGC API - Records - Part 1: Core</w:t>
      </w:r>
      <w:r>
        <w:t xml:space="preserve"> </w:t>
      </w:r>
      <w:hyperlink r:id="rId52">
        <w:r>
          <w:rPr>
            <w:rStyle w:val="Hyperlink"/>
          </w:rPr>
          <w:t xml:space="preserve">https://docs.ogc.org/DRAFTS/20-004.html</w:t>
        </w:r>
      </w:hyperlink>
    </w:p>
  </w:footnote>
  <w:footnote w:id="53">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5">
    <w:p>
      <w:pPr>
        <w:pStyle w:val="FootnoteText"/>
      </w:pPr>
      <w:r>
        <w:rPr>
          <w:rStyle w:val="FootnoteReference"/>
        </w:rPr>
        <w:footnoteRef/>
      </w:r>
      <w:r>
        <w:t xml:space="preserve"> </w:t>
      </w:r>
      <w:r>
        <w:t xml:space="preserve">Architecture of the World Wide Web</w:t>
      </w:r>
      <w:r>
        <w:t xml:space="preserve"> </w:t>
      </w:r>
      <w:hyperlink r:id="rId56">
        <w:r>
          <w:rPr>
            <w:rStyle w:val="Hyperlink"/>
          </w:rPr>
          <w:t xml:space="preserve">https://www.w3.org/TR/webarch/</w:t>
        </w:r>
      </w:hyperlink>
    </w:p>
  </w:footnote>
  <w:footnote w:id="57">
    <w:p>
      <w:pPr>
        <w:pStyle w:val="FootnoteText"/>
      </w:pPr>
      <w:r>
        <w:rPr>
          <w:rStyle w:val="FootnoteReference"/>
        </w:rPr>
        <w:footnoteRef/>
      </w:r>
      <w:r>
        <w:t xml:space="preserve"> </w:t>
      </w:r>
      <w:r>
        <w:t xml:space="preserve">RFC 3986 - Uniform Resource Identifier (URI) - Generic Syntax:</w:t>
      </w:r>
      <w:r>
        <w:t xml:space="preserve"> </w:t>
      </w:r>
      <w:hyperlink r:id="rId58">
        <w:r>
          <w:rPr>
            <w:rStyle w:val="Hyperlink"/>
          </w:rPr>
          <w:t xml:space="preserve">https://datatracker.ietf.org/doc/html/rfc3986</w:t>
        </w:r>
      </w:hyperlink>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60">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3">
    <w:p>
      <w:pPr>
        <w:pStyle w:val="FootnoteText"/>
      </w:pPr>
      <w:r>
        <w:rPr>
          <w:rStyle w:val="FootnoteReference"/>
        </w:rPr>
        <w:footnoteRef/>
      </w:r>
      <w:r>
        <w:t xml:space="preserve"> </w:t>
      </w:r>
      <w:r>
        <w:t xml:space="preserve">Spatio Temporal Asset Catalogue (STAC)</w:t>
      </w:r>
      <w:r>
        <w:t xml:space="preserve"> </w:t>
      </w:r>
      <w:hyperlink r:id="rId64">
        <w:r>
          <w:rPr>
            <w:rStyle w:val="Hyperlink"/>
          </w:rPr>
          <w:t xml:space="preserve">https://stacspec.org/en</w:t>
        </w:r>
      </w:hyperlink>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 end of</w:t>
      </w:r>
      <w:r>
        <w:t xml:space="preserve"> </w:t>
      </w:r>
      <w:hyperlink r:id="rId67">
        <w:r>
          <w:rPr>
            <w:rStyle w:val="Hyperlink"/>
          </w:rPr>
          <w:t xml:space="preserve">https://www.eumetsat.int/formats</w:t>
        </w:r>
      </w:hyperlink>
    </w:p>
  </w:footnote>
  <w:footnote w:id="69">
    <w:p>
      <w:pPr>
        <w:pStyle w:val="FootnoteText"/>
      </w:pPr>
      <w:r>
        <w:rPr>
          <w:rStyle w:val="FootnoteReference"/>
        </w:rPr>
        <w:footnoteRef/>
      </w:r>
      <w:r>
        <w:t xml:space="preserve"> </w:t>
      </w:r>
      <w:r>
        <w:t xml:space="preserve">OpenAPI Specification</w:t>
      </w:r>
      <w:r>
        <w:t xml:space="preserve"> </w:t>
      </w:r>
      <w:hyperlink r:id="rId70">
        <w:r>
          <w:rPr>
            <w:rStyle w:val="Hyperlink"/>
          </w:rPr>
          <w:t xml:space="preserve">https://spec.openapis.org/oas/v3.1.0</w:t>
        </w:r>
      </w:hyperlink>
    </w:p>
  </w:footnote>
  <w:footnote w:id="71">
    <w:p>
      <w:pPr>
        <w:pStyle w:val="FootnoteText"/>
      </w:pPr>
      <w:r>
        <w:rPr>
          <w:rStyle w:val="FootnoteReference"/>
        </w:rPr>
        <w:footnoteRef/>
      </w:r>
      <w:r>
        <w:t xml:space="preserve"> </w:t>
      </w:r>
      <w:r>
        <w:t xml:space="preserve">Open Geospatial Consortium OGC API</w:t>
      </w:r>
      <w:r>
        <w:t xml:space="preserve"> </w:t>
      </w:r>
      <w:hyperlink r:id="rId72">
        <w:r>
          <w:rPr>
            <w:rStyle w:val="Hyperlink"/>
          </w:rPr>
          <w:t xml:space="preserve">https://ogcapi.ogc.org/</w:t>
        </w:r>
      </w:hyperlink>
    </w:p>
  </w:footnote>
  <w:footnote w:id="73">
    <w:p>
      <w:pPr>
        <w:pStyle w:val="FootnoteText"/>
      </w:pPr>
      <w:r>
        <w:rPr>
          <w:rStyle w:val="FootnoteReference"/>
        </w:rPr>
        <w:footnoteRef/>
      </w:r>
      <w:r>
        <w:t xml:space="preserve"> </w:t>
      </w:r>
      <w:r>
        <w:t xml:space="preserve">OGC API - Environmental Data Retrieval (EDR)</w:t>
      </w:r>
      <w:r>
        <w:t xml:space="preserve"> </w:t>
      </w:r>
      <w:hyperlink r:id="rId74">
        <w:r>
          <w:rPr>
            <w:rStyle w:val="Hyperlink"/>
          </w:rPr>
          <w:t xml:space="preserve">https://ogcapi.ogc.org/edr</w:t>
        </w:r>
      </w:hyperlink>
    </w:p>
  </w:footnote>
  <w:footnote w:id="75">
    <w:p>
      <w:pPr>
        <w:pStyle w:val="FootnoteText"/>
      </w:pPr>
      <w:r>
        <w:rPr>
          <w:rStyle w:val="FootnoteReference"/>
        </w:rPr>
        <w:footnoteRef/>
      </w:r>
      <w:r>
        <w:t xml:space="preserve"> </w:t>
      </w:r>
      <w:r>
        <w:t xml:space="preserve">OGC API - Features</w:t>
      </w:r>
      <w:r>
        <w:t xml:space="preserve"> </w:t>
      </w:r>
      <w:hyperlink r:id="rId76">
        <w:r>
          <w:rPr>
            <w:rStyle w:val="Hyperlink"/>
          </w:rPr>
          <w:t xml:space="preserve">https://ogcapi.ogc.org/features</w:t>
        </w:r>
      </w:hyperlink>
    </w:p>
  </w:footnote>
  <w:footnote w:id="77">
    <w:p>
      <w:pPr>
        <w:pStyle w:val="FootnoteText"/>
      </w:pPr>
      <w:r>
        <w:rPr>
          <w:rStyle w:val="FootnoteReference"/>
        </w:rPr>
        <w:footnoteRef/>
      </w:r>
      <w:r>
        <w:t xml:space="preserve"> </w:t>
      </w:r>
      <w:r>
        <w:t xml:space="preserve">OGC API - Coverages</w:t>
      </w:r>
      <w:r>
        <w:t xml:space="preserve"> </w:t>
      </w:r>
      <w:hyperlink r:id="rId78">
        <w:r>
          <w:rPr>
            <w:rStyle w:val="Hyperlink"/>
          </w:rPr>
          <w:t xml:space="preserve">https://ogcapi.ogc.org/coverages</w:t>
        </w:r>
      </w:hyperlink>
    </w:p>
  </w:footnote>
  <w:footnote w:id="80">
    <w:p>
      <w:pPr>
        <w:pStyle w:val="FootnoteText"/>
      </w:pPr>
      <w:r>
        <w:rPr>
          <w:rStyle w:val="FootnoteReference"/>
        </w:rPr>
        <w:footnoteRef/>
      </w:r>
      <w:r>
        <w:t xml:space="preserve"> </w:t>
      </w:r>
      <w:r>
        <w:t xml:space="preserve">WMO World Weather Watch</w:t>
      </w:r>
      <w:r>
        <w:t xml:space="preserve"> </w:t>
      </w:r>
      <w:hyperlink r:id="rId81">
        <w:r>
          <w:rPr>
            <w:rStyle w:val="Hyperlink"/>
          </w:rPr>
          <w:t xml:space="preserve">https://wmo.int/world-weather-watch</w:t>
        </w:r>
      </w:hyperlink>
    </w:p>
  </w:footnote>
  <w:footnote w:id="82">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4">
    <w:p>
      <w:pPr>
        <w:pStyle w:val="FootnoteText"/>
      </w:pPr>
      <w:r>
        <w:rPr>
          <w:rStyle w:val="FootnoteReference"/>
        </w:rPr>
        <w:footnoteRef/>
      </w:r>
      <w:r>
        <w:t xml:space="preserve"> </w:t>
      </w:r>
      <w:r>
        <w:t xml:space="preserve">IANA Link Relations</w:t>
      </w:r>
      <w:r>
        <w:t xml:space="preserve"> </w:t>
      </w:r>
      <w:hyperlink r:id="rId42">
        <w:r>
          <w:rPr>
            <w:rStyle w:val="Hyperlink"/>
          </w:rPr>
          <w:t xml:space="preserve">https://www.iana.org/assignments/link-relations/link-relations.xhtml</w:t>
        </w:r>
      </w:hyperlink>
    </w:p>
  </w:footnote>
  <w:footnote w:id="85">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90">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2">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94">
    <w:p>
      <w:pPr>
        <w:pStyle w:val="FootnoteText"/>
      </w:pPr>
      <w:r>
        <w:rPr>
          <w:rStyle w:val="FootnoteReference"/>
        </w:rPr>
        <w:footnoteRef/>
      </w:r>
      <w:r>
        <w:t xml:space="preserve"> </w:t>
      </w:r>
      <w:r>
        <w:t xml:space="preserve">A specific API key should be used for data publication via WIS2 so that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6">
    <w:p>
      <w:pPr>
        <w:pStyle w:val="FootnoteText"/>
      </w:pPr>
      <w:r>
        <w:rPr>
          <w:rStyle w:val="FootnoteReference"/>
        </w:rPr>
        <w:footnoteRef/>
      </w:r>
      <w:r>
        <w:t xml:space="preserve"> </w:t>
      </w:r>
      <w:r>
        <w:t xml:space="preserve">Working with presigned URLs on Amazon S3</w:t>
      </w:r>
      <w:r>
        <w:t xml:space="preserve"> </w:t>
      </w:r>
      <w:hyperlink r:id="rId97">
        <w:r>
          <w:rPr>
            <w:rStyle w:val="Hyperlink"/>
          </w:rPr>
          <w:t xml:space="preserve">https://docs.aws.amazon.com/AmazonS3/latest/userguide/using-presigned-url.html</w:t>
        </w:r>
      </w:hyperlink>
    </w:p>
  </w:footnote>
  <w:footnote w:id="99">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7">
    <w:p>
      <w:pPr>
        <w:pStyle w:val="FootnoteText"/>
      </w:pPr>
      <w:r>
        <w:rPr>
          <w:rStyle w:val="FootnoteReference"/>
        </w:rPr>
        <w:footnoteRef/>
      </w:r>
      <w:r>
        <w:t xml:space="preserve"> </w:t>
      </w:r>
      <w:r>
        <w:t xml:space="preserve">MQTT Specifications:</w:t>
      </w:r>
      <w:r>
        <w:t xml:space="preserve"> </w:t>
      </w:r>
      <w:hyperlink r:id="rId118">
        <w:r>
          <w:rPr>
            <w:rStyle w:val="Hyperlink"/>
          </w:rPr>
          <w:t xml:space="preserve">https://mqtt.org/mqtt-specification/</w:t>
        </w:r>
      </w:hyperlink>
    </w:p>
  </w:footnote>
  <w:footnote w:id="120">
    <w:p>
      <w:pPr>
        <w:pStyle w:val="FootnoteText"/>
      </w:pPr>
      <w:r>
        <w:rPr>
          <w:rStyle w:val="FootnoteReference"/>
        </w:rPr>
        <w:footnoteRef/>
      </w:r>
      <w:r>
        <w:t xml:space="preserve"> </w:t>
      </w:r>
      <w:r>
        <w:t xml:space="preserve">TFC 7231 - Hypertext Transfer Protocol (HTTP/1.1):</w:t>
      </w:r>
      <w:r>
        <w:t xml:space="preserve"> </w:t>
      </w:r>
      <w:hyperlink r:id="rId121">
        <w:r>
          <w:rPr>
            <w:rStyle w:val="Hyperlink"/>
          </w:rPr>
          <w:t xml:space="preserve">https://datatracker.ietf.org/doc/html/rfc7231</w:t>
        </w:r>
      </w:hyperlink>
    </w:p>
  </w:footnote>
  <w:footnote w:id="127">
    <w:p>
      <w:pPr>
        <w:pStyle w:val="FootnoteText"/>
      </w:pPr>
      <w:r>
        <w:rPr>
          <w:rStyle w:val="FootnoteReference"/>
        </w:rPr>
        <w:footnoteRef/>
      </w:r>
      <w:r>
        <w:t xml:space="preserve"> </w:t>
      </w:r>
      <w:r>
        <w:t xml:space="preserve">IANA Top Level Domains</w:t>
      </w:r>
      <w:r>
        <w:t xml:space="preserve"> </w:t>
      </w:r>
      <w:hyperlink r:id="rId128">
        <w:r>
          <w:rPr>
            <w:rStyle w:val="Hyperlink"/>
          </w:rPr>
          <w:t xml:space="preserve">https://data.iana.org/TLD</w:t>
        </w:r>
      </w:hyperlink>
    </w:p>
  </w:footnote>
  <w:footnote w:id="130">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2">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3">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4">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5">
    <w:p>
      <w:pPr>
        <w:pStyle w:val="FootnoteText"/>
      </w:pPr>
      <w:r>
        <w:rPr>
          <w:rStyle w:val="FootnoteReference"/>
        </w:rPr>
        <w:footnoteRef/>
      </w:r>
      <w:r>
        <w:t xml:space="preserve"> </w:t>
      </w:r>
      <w:r>
        <w:t xml:space="preserve">OpenAPI Security Scheme Object:</w:t>
      </w:r>
      <w:r>
        <w:t xml:space="preserve"> </w:t>
      </w:r>
      <w:hyperlink r:id="rId93">
        <w:r>
          <w:rPr>
            <w:rStyle w:val="Hyperlink"/>
          </w:rPr>
          <w:t xml:space="preserve">https://spec.openapis.org/oas/v3.1.0#security-scheme-object</w:t>
        </w:r>
      </w:hyperlink>
    </w:p>
  </w:footnote>
  <w:footnote w:id="145">
    <w:p>
      <w:pPr>
        <w:pStyle w:val="FootnoteText"/>
      </w:pPr>
      <w:r>
        <w:rPr>
          <w:rStyle w:val="FootnoteReference"/>
        </w:rPr>
        <w:footnoteRef/>
      </w:r>
      <w:r>
        <w:t xml:space="preserve"> </w:t>
      </w:r>
      <w:r>
        <w:t xml:space="preserve">OpenMetrics is proposed as a draft standard within IETF.</w:t>
      </w:r>
    </w:p>
  </w:footnote>
  <w:footnote w:id="146">
    <w:p>
      <w:pPr>
        <w:pStyle w:val="FootnoteText"/>
      </w:pPr>
      <w:r>
        <w:rPr>
          <w:rStyle w:val="FootnoteReference"/>
        </w:rPr>
        <w:footnoteRef/>
      </w:r>
      <w:r>
        <w:t xml:space="preserve"> </w:t>
      </w:r>
      <w:hyperlink r:id="rId147">
        <w:r>
          <w:rPr>
            <w:rStyle w:val="Hyperlink"/>
          </w:rPr>
          <w:t xml:space="preserve">https://openmetrics.io</w:t>
        </w:r>
      </w:hyperlink>
    </w:p>
  </w:footnote>
  <w:footnote w:id="148">
    <w:p>
      <w:pPr>
        <w:pStyle w:val="FootnoteText"/>
      </w:pPr>
      <w:r>
        <w:rPr>
          <w:rStyle w:val="FootnoteReference"/>
        </w:rPr>
        <w:footnoteRef/>
      </w:r>
      <w:r>
        <w:t xml:space="preserve"> </w:t>
      </w:r>
      <w:hyperlink r:id="rId149">
        <w:r>
          <w:rPr>
            <w:rStyle w:val="Hyperlink"/>
          </w:rPr>
          <w:t xml:space="preserve">https://github.com/wmo-im/wis2-metric-hierarchy</w:t>
        </w:r>
      </w:hyperlink>
    </w:p>
  </w:footnote>
  <w:footnote w:id="157">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0">
    <w:p>
      <w:pPr>
        <w:pStyle w:val="FootnoteText"/>
      </w:pPr>
      <w:r>
        <w:rPr>
          <w:rStyle w:val="FootnoteReference"/>
        </w:rPr>
        <w:footnoteRef/>
      </w:r>
      <w:r>
        <w:t xml:space="preserve"> </w:t>
      </w:r>
      <w:r>
        <w:t xml:space="preserve">OGC-API Records - Part 1</w:t>
      </w:r>
      <w:r>
        <w:t xml:space="preserve"> </w:t>
      </w:r>
      <w:hyperlink r:id="rId52">
        <w:r>
          <w:rPr>
            <w:rStyle w:val="Hyperlink"/>
          </w:rPr>
          <w:t xml:space="preserve">https://docs.ogc.org/DRAFTS/20-004.html</w:t>
        </w:r>
      </w:hyperlink>
    </w:p>
  </w:footnote>
  <w:footnote w:id="168">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9">
    <w:p>
      <w:pPr>
        <w:pStyle w:val="FootnoteText"/>
      </w:pPr>
      <w:r>
        <w:rPr>
          <w:rStyle w:val="FootnoteReference"/>
        </w:rPr>
        <w:footnoteRef/>
      </w:r>
      <w:r>
        <w:t xml:space="preserve"> </w:t>
      </w:r>
      <w:r>
        <w:t xml:space="preserve">AMQP 1.0 is proposed in the draft PANS-IM</w:t>
      </w:r>
    </w:p>
  </w:footnote>
  <w:footnote w:id="173">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5">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p>
  </w:footnote>
  <w:footnote w:id="176">
    <w:p>
      <w:pPr>
        <w:pStyle w:val="FootnoteText"/>
      </w:pPr>
      <w:r>
        <w:rPr>
          <w:rStyle w:val="FootnoteReference"/>
        </w:rPr>
        <w:footnoteRef/>
      </w:r>
      <w:r>
        <w:t xml:space="preserve"> </w:t>
      </w:r>
      <w:r>
        <w:t xml:space="preserve">WIS2 does not provide any guidance on use of Public Key Infrastructure (PKI).</w:t>
      </w:r>
    </w:p>
  </w:footnote>
  <w:footnote w:id="177">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8">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80">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2">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3">
    <w:p>
      <w:pPr>
        <w:pStyle w:val="FootnoteText"/>
      </w:pPr>
      <w:r>
        <w:rPr>
          <w:rStyle w:val="FootnoteReference"/>
        </w:rPr>
        <w:footnoteRef/>
      </w:r>
      <w:r>
        <w:t xml:space="preserve"> </w:t>
      </w:r>
      <w:r>
        <w:t xml:space="preserve">The WIS2 Node may control access to data - the Gateway will need to be implemented accordingly.</w:t>
      </w:r>
    </w:p>
  </w:footnote>
  <w:footnote w:id="184">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5">
    <w:p>
      <w:pPr>
        <w:pStyle w:val="FootnoteText"/>
      </w:pPr>
      <w:r>
        <w:rPr>
          <w:rStyle w:val="FootnoteReference"/>
        </w:rPr>
        <w:footnoteRef/>
      </w:r>
      <w:r>
        <w:t xml:space="preserve"> </w:t>
      </w:r>
      <w:r>
        <w:t xml:space="preserve">OpenMetrics:</w:t>
      </w:r>
      <w:r>
        <w:t xml:space="preserve"> </w:t>
      </w:r>
      <w:hyperlink r:id="rId147">
        <w:r>
          <w:rPr>
            <w:rStyle w:val="Hyperlink"/>
          </w:rPr>
          <w:t xml:space="preserve">https://openmetrics.io</w:t>
        </w:r>
      </w:hyperlink>
    </w:p>
  </w:footnote>
  <w:footnote w:id="187">
    <w:p>
      <w:pPr>
        <w:pStyle w:val="FootnoteText"/>
      </w:pPr>
      <w:r>
        <w:rPr>
          <w:rStyle w:val="FootnoteReference"/>
        </w:rPr>
        <w:footnoteRef/>
      </w:r>
      <w:r>
        <w:t xml:space="preserve"> </w:t>
      </w:r>
      <w:r>
        <w:t xml:space="preserve">AMQP 1.0:</w:t>
      </w:r>
      <w:r>
        <w:t xml:space="preserve"> </w:t>
      </w:r>
      <w:hyperlink r:id="rId188">
        <w:r>
          <w:rPr>
            <w:rStyle w:val="Hyperlink"/>
          </w:rPr>
          <w:t xml:space="preserve">https://www.amqp.org/resources/specifications</w:t>
        </w:r>
      </w:hyperlink>
    </w:p>
  </w:footnote>
  <w:footnote w:id="190">
    <w:p>
      <w:pPr>
        <w:pStyle w:val="FootnoteText"/>
      </w:pPr>
      <w:r>
        <w:rPr>
          <w:rStyle w:val="FootnoteReference"/>
        </w:rPr>
        <w:footnoteRef/>
      </w:r>
      <w:r>
        <w:t xml:space="preserve"> </w:t>
      </w:r>
      <w:hyperlink r:id="rId191">
        <w:r>
          <w:rPr>
            <w:rStyle w:val="Hyperlink"/>
          </w:rPr>
          <w:t xml:space="preserve">https://schema.org</w:t>
        </w:r>
      </w:hyperlink>
    </w:p>
  </w:footnote>
  <w:footnote w:id="208">
    <w:p>
      <w:pPr>
        <w:pStyle w:val="FootnoteText"/>
      </w:pPr>
      <w:r>
        <w:rPr>
          <w:rStyle w:val="FootnoteReference"/>
        </w:rPr>
        <w:footnoteRef/>
      </w:r>
      <w:r>
        <w:t xml:space="preserve"> </w:t>
      </w:r>
      <w:hyperlink r:id="rId209">
        <w:r>
          <w:rPr>
            <w:rStyle w:val="Hyperlink"/>
          </w:rPr>
          <w:t xml:space="preserve">https://go-fair.org</w:t>
        </w:r>
      </w:hyperlink>
    </w:p>
  </w:footnote>
  <w:footnote w:id="228">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9">
        <w:r>
          <w:rPr>
            <w:rStyle w:val="Hyperlink"/>
          </w:rPr>
          <w:t xml:space="preserve">https://library.wmo.int/records/item/51145-guide-to-information-technology-security</w:t>
        </w:r>
      </w:hyperlink>
    </w:p>
  </w:footnote>
  <w:footnote w:id="230">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 w:id="234">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1">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193" Target="media/rId193.png" /><Relationship Type="http://schemas.openxmlformats.org/officeDocument/2006/relationships/image" Id="rId181" Target="media/rId181.png" /><Relationship Type="http://schemas.openxmlformats.org/officeDocument/2006/relationships/image" Id="rId171" Target="media/rId171.png" /><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9"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0"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8"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0" Target="https://docs.wis2box.wis.wmo.int" TargetMode="External" /><Relationship Type="http://schemas.openxmlformats.org/officeDocument/2006/relationships/hyperlink" Id="rId162" Target="https://github.com/wmo-im/wis2-gdc" TargetMode="External" /><Relationship Type="http://schemas.openxmlformats.org/officeDocument/2006/relationships/hyperlink" Id="rId149" Target="https://github.com/wmo-im/wis2-metric-hierarchy" TargetMode="External" /><Relationship Type="http://schemas.openxmlformats.org/officeDocument/2006/relationships/hyperlink" Id="rId209" Target="https://go-fair.org" TargetMode="External" /><Relationship Type="http://schemas.openxmlformats.org/officeDocument/2006/relationships/hyperlink" Id="rId231" Target="https://library.wmo.int/records/item/28988-guide-to-the-wmo-information-system" TargetMode="External" /><Relationship Type="http://schemas.openxmlformats.org/officeDocument/2006/relationships/hyperlink" Id="rId229" Target="https://library.wmo.int/records/item/51145-guide-to-information-technology-security" TargetMode="External" /><Relationship Type="http://schemas.openxmlformats.org/officeDocument/2006/relationships/hyperlink" Id="rId118"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47" Target="https://openmetrics.io" TargetMode="External" /><Relationship Type="http://schemas.openxmlformats.org/officeDocument/2006/relationships/hyperlink" Id="rId191"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81" Target="https://wmo.int/world-weather-watch" TargetMode="External" /><Relationship Type="http://schemas.openxmlformats.org/officeDocument/2006/relationships/hyperlink" Id="rId188" Target="https://www.amqp.org/resources/specifications" TargetMode="External" /><Relationship Type="http://schemas.openxmlformats.org/officeDocument/2006/relationships/hyperlink" Id="rId67" Target="https://www.eumetsat.int/format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2024-02-08T12:34:07Z</dcterms:created>
  <dcterms:modified xsi:type="dcterms:W3CDTF">2024-02-08T12:34:07Z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2024-02-08</vt:lpwstr>
  </property>
</Properties>
</file>