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Override PartName="/word/media/rId177.png" ContentType="image/png"/>
  <Override PartName="/word/media/rId1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2024-02-05</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52f54d185094e52cec04272711b3ea995c484a"/>
      <w:r>
        <w:t xml:space="preserve">Introduction to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 (TODO CROSSREF)</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 (TODO CROSSREF)</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If Data Consumers need to use data rapidly once it has been published (e.g., for input to a weather prediction model), they should subscribe to notifications using an application that supports the MQTT protocol.</w:t>
      </w:r>
    </w:p>
    <w:p>
      <w:pPr>
        <w:pStyle w:val="BodyText"/>
      </w:pPr>
      <w:r>
        <w:t xml:space="preserve">In WIS2, notifications are re-published by Global Brokers to ensure resilient distribution. Consequently, there will by multiple places where one can subscribe. Data Consumers should subscribe to receive notifications from Global Brokers because they are designed to handle large loads. A Data Consumer should subscribe to more than one Global Broker, thereby ensuring that notifications continue to be received in the event that a Global Broker instance fails.</w:t>
      </w:r>
    </w:p>
    <w:p>
      <w:pPr>
        <w:pStyle w:val="BodyText"/>
      </w:pPr>
      <w:r>
        <w:t xml:space="preserve">Exceptionally, a Data Consumer may choose to subscribe directly to the local message broker at the originating WIS2 Node. However, note that a WIS2 Node is not required to provide public access to its local message broker.</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WIS2 Topic Hierarchy TODO: crossref).</w:t>
      </w:r>
    </w:p>
    <w:p>
      <w:pPr>
        <w:pStyle w:val="BodyText"/>
      </w:pPr>
      <w:r>
        <w:t xml:space="preserve">A Data Consumer can find the appropriate topic to subscribe to either by searching the Global Discovery Catalogue,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from the Manual on WIS, Vol II, Data Consumers should access data from the Global Cache.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 WIS2 Notification Message (WNM) specification (TODO CROSSREF) for details.</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(and, exceptionally, the local message broker at the WIS2 Node),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Also, note that Data Consumers should download from a Global Cache in preference to the originating WIS2 Node because Global Caches are designed to handle large loads.</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0" w:name="X495ea6ae192f774a020b79fc072e970bf919ae2"/>
      <w:r>
        <w:t xml:space="preserve">How to download data</w:t>
      </w:r>
      <w:bookmarkEnd w:id="40"/>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1"/>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3" w:name="X9fd58ee7f9ab1d79a413d5aafbf85877822b869"/>
      <w:r>
        <w:t xml:space="preserve">How to use data</w:t>
      </w:r>
      <w:bookmarkEnd w:id="43"/>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plus any rights or licenses associated with data are provided in the discovery metadata that accompanies the data. Discovery metadata records are available from the Global Discovery Catalogue.</w:t>
      </w:r>
    </w:p>
    <w:p>
      <w:pPr>
        <w:pStyle w:val="BodyText"/>
      </w:pPr>
      <w:r>
        <w:t xml:space="preserve">The WMO Core Metadata Profile 2 specification, section 7.1.17. Properties / WMO data policy (TODO CROSSREF - WCMP2/7.1.17)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4" w:name="X924432c79be1e639f1f2c4a8c47f89286aa2ce4"/>
      <w:r>
        <w:t xml:space="preserve">Further reading for data consumers</w:t>
      </w:r>
      <w:bookmarkEnd w:id="44"/>
    </w:p>
    <w:p>
      <w:pPr>
        <w:pStyle w:val="SourceCode"/>
      </w:pPr>
      <w:r>
        <w:rPr>
          <w:rStyle w:val="VerbatimChar"/>
        </w:rPr>
        <w:t xml:space="preserve">(TODO CROSSREF for the referenced sections)</w:t>
      </w:r>
    </w:p>
    <w:p>
      <w:pPr>
        <w:pStyle w:val="FirstParagraph"/>
      </w:pPr>
      <w:r>
        <w:t xml:space="preserve">As a Data Publisher planning to operate a WIS2 Node, as a minimum you should read the following sections:</w:t>
      </w:r>
    </w:p>
    <w:p>
      <w:pPr>
        <w:numPr>
          <w:ilvl w:val="0"/>
          <w:numId w:val="1009"/>
        </w:numPr>
      </w:pPr>
      <w:r>
        <w:t xml:space="preserve">1.1. Introduction to WIS2</w:t>
      </w:r>
    </w:p>
    <w:p>
      <w:pPr>
        <w:numPr>
          <w:ilvl w:val="0"/>
          <w:numId w:val="1009"/>
        </w:numPr>
      </w:pPr>
      <w:r>
        <w:t xml:space="preserve">2.1. WIS2 Architecture</w:t>
      </w:r>
    </w:p>
    <w:p>
      <w:pPr>
        <w:numPr>
          <w:ilvl w:val="0"/>
          <w:numId w:val="1009"/>
        </w:numPr>
      </w:pPr>
      <w:r>
        <w:t xml:space="preserve">2.2. Roles in WIS2</w:t>
      </w:r>
    </w:p>
    <w:p>
      <w:pPr>
        <w:numPr>
          <w:ilvl w:val="0"/>
          <w:numId w:val="1009"/>
        </w:numPr>
      </w:pPr>
      <w:r>
        <w:t xml:space="preserve">2.4. Components of WIS2</w:t>
      </w:r>
    </w:p>
    <w:p>
      <w:pPr>
        <w:pStyle w:val="FirstParagraph"/>
      </w:pPr>
      <w:r>
        <w:t xml:space="preserve">The following specifications are useful for further reading:</w:t>
      </w:r>
    </w:p>
    <w:p>
      <w:pPr>
        <w:numPr>
          <w:ilvl w:val="0"/>
          <w:numId w:val="1010"/>
        </w:numPr>
      </w:pPr>
      <w:r>
        <w:t xml:space="preserve">WMO Core Metadata Profile 2 (WCMP2) specification</w:t>
      </w:r>
    </w:p>
    <w:p>
      <w:pPr>
        <w:numPr>
          <w:ilvl w:val="0"/>
          <w:numId w:val="1010"/>
        </w:numPr>
      </w:pPr>
      <w:r>
        <w:t xml:space="preserve">WIS2 Notification Message (WNM) specification</w:t>
      </w:r>
    </w:p>
    <w:p>
      <w:pPr>
        <w:pStyle w:val="Heading2"/>
      </w:pPr>
      <w:bookmarkStart w:id="45" w:name="X6cb1def057f1992ce4f8f7eebf9044ec834d943"/>
      <w:r>
        <w:t xml:space="preserve">Data publisher</w:t>
      </w:r>
      <w:bookmarkEnd w:id="45"/>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BodyText"/>
      </w:pPr>
      <w:r>
        <w:t xml:space="preserve">(TODO - MAYBE; add Guidance on "coarser resource publication with interactive links" - see WNM issue #41)</w:t>
      </w:r>
      <w:r>
        <w:t xml:space="preserve"> </w:t>
      </w:r>
      <w:r>
        <w:t xml:space="preserve">(TODO - MAYBE; add Guidance on linking to external provenance objects - see WCMP2 issue #161)</w:t>
      </w:r>
      <w:r>
        <w:t xml:space="preserve"> </w:t>
      </w:r>
      <w:r>
        <w:t xml:space="preserve">(TODO - MAYBE; add Guidance on referencing WIGOS stations and observing networks - see WCMP2 issue #19)</w:t>
      </w:r>
    </w:p>
    <w:p>
      <w:pPr>
        <w:pStyle w:val="Heading3"/>
      </w:pPr>
      <w:bookmarkStart w:id="46" w:name="Xb38a9c58e093ef1a0571fa3b455563c0520b159"/>
      <w:r>
        <w:t xml:space="preserve">How to get started</w:t>
      </w:r>
      <w:bookmarkEnd w:id="46"/>
    </w:p>
    <w:p>
      <w:pPr>
        <w:pStyle w:val="FirstParagraph"/>
      </w:pPr>
      <w:r>
        <w:t xml:space="preserve">The first thing you need to do is consider your data, how it can be conceptually grouped into one or more datasets (see section 1.1.4. Why are datasets so important? (TODO CROSSREF)),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the WMO Information System</w:t>
      </w:r>
      <w:r>
        <w:t xml:space="preserve"> </w:t>
      </w:r>
      <w:r>
        <w:t xml:space="preserve">(WMO-No. 1060), Vol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 section 2.4.1. WIS2 Node (TODO CROSSREF)). The procedure for registering a new WIS2 Node is provided in Section 2.6.1.1. Registration and decommissioning of a WIS2 Node (TODO CROSSREF).</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7" w:name="X5a8c56bdb90b874d4815ac6596e3356b5d6efcc"/>
      <w:r>
        <w:t xml:space="preserve">How to provide discovery metadata to WIS2</w:t>
      </w:r>
      <w:bookmarkEnd w:id="47"/>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48"/>
      </w:r>
      <w:r>
        <w:t xml:space="preserve">) must conform to the WMO Core Metadata Profile 2 (WCMP2) specification (TODO CROSSREF).</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0"/>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1"/>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3"/>
      </w:r>
      <w:r>
        <w:t xml:space="preserve">. The notification messages shall conform to the WIS2 Notification Message (WNM) specification (TODO CROSSREF). Furthermore, the notification message must be published on topic that conforms to the WIS2 Topic Hierarchy (WTH) specification (TODO CROSSREF). For example, metadata published by Deutscher Wetterdienst would use the following topic:</w:t>
      </w:r>
    </w:p>
    <w:p>
      <w:pPr>
        <w:pStyle w:val="BodyText"/>
      </w:pP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 section 2.4.4. Global Discovery Catalogue (TODO CROSSREF)) will validate, assess, ingest, and publish the record. Validation ensures that your discovery metadata record complies with the specification. Assessment examines your discovery metadata record against good practice (TODO CROSSREF WCMP2 KPIs).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4" w:name="Xbcd0ad231af43760e89b10173d3a0f64ce1daee"/>
      <w:r>
        <w:t xml:space="preserve">How to provide data to WIS2</w:t>
      </w:r>
      <w:bookmarkEnd w:id="54"/>
    </w:p>
    <w:p>
      <w:pPr>
        <w:pStyle w:val="FirstParagraph"/>
      </w:pPr>
      <w:r>
        <w:t xml:space="preserve">WIS2 is based on the Web architecture</w:t>
      </w:r>
      <w:r>
        <w:rPr>
          <w:rStyle w:val="FootnoteReference"/>
        </w:rPr>
        <w:footnoteReference w:id="55"/>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7"/>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59"/>
      </w:r>
      <w:r>
        <w:t xml:space="preserve">, and making it available via a data server - most typically a Web server using the HTTP protocol</w:t>
      </w:r>
      <w:r>
        <w:rPr>
          <w:rStyle w:val="FootnoteReference"/>
        </w:rPr>
        <w:footnoteReference w:id="60"/>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1" w:name="X977aeff84469f7f317af595774c67f79c8e92ec"/>
      <w:r>
        <w:t xml:space="preserve">Data formats and encodings</w:t>
      </w:r>
      <w:bookmarkEnd w:id="61"/>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should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2" w:name="Xf06a8613489485c8f94034e44c1d964b0646367"/>
      <w:r>
        <w:t xml:space="preserve">Providing data as files</w:t>
      </w:r>
      <w:bookmarkEnd w:id="62"/>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5"/>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68" w:name="X7b7a0fd622b21e67b01ff07778217f80a4d47a3"/>
      <w:r>
        <w:t xml:space="preserve">Providing interactive access to data with APIs</w:t>
      </w:r>
      <w:bookmarkEnd w:id="68"/>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iii. 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1"/>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79" w:name="Xb132b820f5a9176a28c7400eac7c436297058ae"/>
      <w:r>
        <w:t xml:space="preserve">Providing data in (near) real-time</w:t>
      </w:r>
      <w:bookmarkEnd w:id="79"/>
    </w:p>
    <w:p>
      <w:pPr>
        <w:pStyle w:val="FirstParagraph"/>
      </w:pPr>
      <w:r>
        <w:t xml:space="preserve">WIS2 is designed to support the data sharing needs of all WMO programmes.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3"/>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 WIS2 Notification Message (WNM) specification (TODO CROSSREF).</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4"/>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 WIS2 Topic Hierarchy (WTH) specification (TODO CROSSREF).</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5"/>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 WIS2 Topic Hierarchy section 7.1.2 Publishing guidelines (TODO CROSSREF).</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6"/>
      </w:r>
      <w:r>
        <w:t xml:space="preserve">. The Global Broker will only republish notification messages on topics specified in your discovery metadata records.</w:t>
      </w:r>
    </w:p>
    <w:p>
      <w:pPr>
        <w:pStyle w:val="Heading4"/>
      </w:pPr>
      <w:bookmarkStart w:id="87" w:name="Xc870f25786e5740db4e2f991f5983704ebfcba0"/>
      <w:r>
        <w:t xml:space="preserve">Considerations when providing Core data in WIS2</w:t>
      </w:r>
      <w:bookmarkEnd w:id="87"/>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 section 2.4.3. Global Cache (TODO CROSSREF)).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88"/>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89"/>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0"/>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1" w:name="Xa684fcc376d271e1cc17fe50bbb15b721d51b92"/>
      <w:r>
        <w:t xml:space="preserve">Implementing access control</w:t>
      </w:r>
      <w:bookmarkEnd w:id="91"/>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2"/>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6"/>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98" w:name="X0b7a5ffb13d7a4fe82af2002d4d672f15b4ca83"/>
      <w:r>
        <w:t xml:space="preserve">Providing access to data archives</w:t>
      </w:r>
      <w:bookmarkEnd w:id="98"/>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99"/>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0" w:name="X3a4552e730719a1c498aa97fcf1d5ef177fb6ee"/>
      <w:r>
        <w:t xml:space="preserve">Further reading for data publishers</w:t>
      </w:r>
      <w:bookmarkEnd w:id="100"/>
    </w:p>
    <w:p>
      <w:pPr>
        <w:pStyle w:val="FirstParagraph"/>
      </w:pPr>
      <w:r>
        <w:t xml:space="preserve">(TODO CROSSREF for the referenced sections)</w:t>
      </w:r>
    </w:p>
    <w:p>
      <w:pPr>
        <w:pStyle w:val="BodyText"/>
      </w:pPr>
      <w:r>
        <w:t xml:space="preserve">As a Data Publisher planning to operate a WIS2 Node, as a minimum you should read the following sections:</w:t>
      </w:r>
    </w:p>
    <w:p>
      <w:pPr>
        <w:numPr>
          <w:ilvl w:val="0"/>
          <w:numId w:val="1016"/>
        </w:numPr>
      </w:pPr>
      <w:r>
        <w:t xml:space="preserve">1.1. Introduction to WIS2</w:t>
      </w:r>
    </w:p>
    <w:p>
      <w:pPr>
        <w:numPr>
          <w:ilvl w:val="0"/>
          <w:numId w:val="1016"/>
        </w:numPr>
      </w:pPr>
      <w:r>
        <w:t xml:space="preserve">2.1. WIS2 Architecture</w:t>
      </w:r>
    </w:p>
    <w:p>
      <w:pPr>
        <w:numPr>
          <w:ilvl w:val="0"/>
          <w:numId w:val="1016"/>
        </w:numPr>
      </w:pPr>
      <w:r>
        <w:t xml:space="preserve">2.2. Roles in WIS2</w:t>
      </w:r>
    </w:p>
    <w:p>
      <w:pPr>
        <w:numPr>
          <w:ilvl w:val="0"/>
          <w:numId w:val="1016"/>
        </w:numPr>
      </w:pPr>
      <w:r>
        <w:t xml:space="preserve">2.4. Components of WIS2</w:t>
      </w:r>
    </w:p>
    <w:p>
      <w:pPr>
        <w:numPr>
          <w:ilvl w:val="0"/>
          <w:numId w:val="1016"/>
        </w:numPr>
      </w:pPr>
      <w:r>
        <w:t xml:space="preserve">2.6. Implementation and operation of WIS2 Node</w:t>
      </w:r>
    </w:p>
    <w:p>
      <w:pPr>
        <w:pStyle w:val="FirstParagraph"/>
      </w:pPr>
      <w:r>
        <w:t xml:space="preserve">The following sections are useful for further reading:</w:t>
      </w:r>
    </w:p>
    <w:p>
      <w:pPr>
        <w:numPr>
          <w:ilvl w:val="0"/>
          <w:numId w:val="1017"/>
        </w:numPr>
      </w:pPr>
      <w:r>
        <w:t xml:space="preserve">3.1. Information management</w:t>
      </w:r>
    </w:p>
    <w:p>
      <w:pPr>
        <w:numPr>
          <w:ilvl w:val="0"/>
          <w:numId w:val="1017"/>
        </w:numPr>
      </w:pPr>
      <w:r>
        <w:t xml:space="preserve">4.1. Security</w:t>
      </w:r>
    </w:p>
    <w:p>
      <w:pPr>
        <w:numPr>
          <w:ilvl w:val="0"/>
          <w:numId w:val="1017"/>
        </w:numPr>
      </w:pPr>
      <w:r>
        <w:t xml:space="preserve">5.1. Competencies</w:t>
      </w:r>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r>
        <w:t xml:space="preserve">2.8.1.1. Publishing aviation weather data through WIS2 into ICAO SWIM</w:t>
      </w:r>
    </w:p>
    <w:p>
      <w:pPr>
        <w:pStyle w:val="Heading1"/>
      </w:pPr>
      <w:bookmarkStart w:id="101" w:name="X27c3714cbd41941b233815ec66585da0909fd6e"/>
      <w:r>
        <w:t xml:space="preserve">PART II</w:t>
      </w:r>
      <w:bookmarkEnd w:id="101"/>
    </w:p>
    <w:p>
      <w:pPr>
        <w:pStyle w:val="Heading2"/>
      </w:pPr>
      <w:bookmarkStart w:id="102" w:name="Xee31e45694d178744a29089d70d1cd98c260b58"/>
      <w:r>
        <w:t xml:space="preserve">WIS2 Architecture</w:t>
      </w:r>
      <w:bookmarkEnd w:id="102"/>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103" w:name="Xf3fcf64578ae63c909403c87ace898a0d40b853"/>
      <w:r>
        <w:t xml:space="preserve">Roles in WIS2</w:t>
      </w:r>
      <w:bookmarkEnd w:id="103"/>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p>
      <w:pPr>
        <w:pStyle w:val="Heading3"/>
      </w:pPr>
      <w:bookmarkStart w:id="104" w:name="Xf4bb3307fe8469253cd7ca852fef5c83d1fe8a5"/>
      <w:r>
        <w:t xml:space="preserve">Data Publisher</w:t>
      </w:r>
      <w:bookmarkEnd w:id="104"/>
    </w:p>
    <w:p>
      <w:pPr>
        <w:numPr>
          <w:ilvl w:val="0"/>
          <w:numId w:val="1020"/>
        </w:numPr>
      </w:pPr>
      <w:r>
        <w:t xml:space="preserve">This role is fulfilled by NC and DCPC.</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provide details on how it can be accessed, and under what conditions.</w:t>
      </w:r>
    </w:p>
    <w:p>
      <w:pPr>
        <w:numPr>
          <w:ilvl w:val="1"/>
          <w:numId w:val="1021"/>
        </w:numPr>
      </w:pPr>
      <w:r>
        <w:t xml:space="preserve">An API or Web-service to access (or interact with) the Dataset.</w:t>
      </w:r>
    </w:p>
    <w:p>
      <w:pPr>
        <w:numPr>
          <w:ilvl w:val="1"/>
          <w:numId w:val="1021"/>
        </w:numPr>
      </w:pPr>
      <w:r>
        <w:t xml:space="preserve">Notification messages advertising the availability of new data and metadata.</w:t>
      </w:r>
    </w:p>
    <w:p>
      <w:pPr>
        <w:pStyle w:val="Heading3"/>
      </w:pPr>
      <w:bookmarkStart w:id="105" w:name="Xc0611752d8a6c0f785a97ddd2d396d99c16b126"/>
      <w:r>
        <w:t xml:space="preserve">Global Coordinator</w:t>
      </w:r>
      <w:bookmarkEnd w:id="105"/>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p>
      <w:pPr>
        <w:pStyle w:val="Heading3"/>
      </w:pPr>
      <w:bookmarkStart w:id="106" w:name="X36ff8ac78eae6a2fa832e9cc3b0b7981aef981e"/>
      <w:r>
        <w:t xml:space="preserve">Global Service operator</w:t>
      </w:r>
      <w:bookmarkEnd w:id="106"/>
    </w:p>
    <w:p>
      <w:pPr>
        <w:numPr>
          <w:ilvl w:val="0"/>
          <w:numId w:val="1023"/>
        </w:numPr>
      </w:pPr>
      <w:r>
        <w:t xml:space="preserve">To ensure highly available global data exchange, a WIS Centre may operate one or more Global Services:</w:t>
      </w:r>
    </w:p>
    <w:p>
      <w:pPr>
        <w:numPr>
          <w:ilvl w:val="1"/>
          <w:numId w:val="1024"/>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4"/>
        </w:numPr>
      </w:pPr>
      <w:r>
        <w:t xml:space="preserve">Global Broker: provides highly available messaging services where users may subscribe to notifications about all Datasets provided by Data Publishers.</w:t>
      </w:r>
    </w:p>
    <w:p>
      <w:pPr>
        <w:numPr>
          <w:ilvl w:val="1"/>
          <w:numId w:val="1024"/>
        </w:numPr>
      </w:pPr>
      <w:r>
        <w:t xml:space="preserve">Global Cache: provides highly available download service for cached copies of core data downloaded from Data Publishers’ Web-services.</w:t>
      </w:r>
    </w:p>
    <w:p>
      <w:pPr>
        <w:numPr>
          <w:ilvl w:val="1"/>
          <w:numId w:val="1024"/>
        </w:numPr>
      </w:pPr>
      <w:r>
        <w:t xml:space="preserve">Global Monitor: gathers and displays system performance, data availability, and other metrics from all WIS2 Nodes and Global Services.</w:t>
      </w:r>
    </w:p>
    <w:p>
      <w:pPr>
        <w:pStyle w:val="Heading3"/>
      </w:pPr>
      <w:bookmarkStart w:id="107" w:name="X1a4539aae2056893b0f4c21aa9ca0ae9441812a"/>
      <w:r>
        <w:t xml:space="preserve">Data Consumer</w:t>
      </w:r>
      <w:bookmarkEnd w:id="107"/>
    </w:p>
    <w:p>
      <w:pPr>
        <w:numPr>
          <w:ilvl w:val="0"/>
          <w:numId w:val="1025"/>
        </w:numPr>
      </w:pPr>
      <w:r>
        <w:t xml:space="preserve">This role represents anyone wanting to find, access, and use data from WIS2 – examples include (but are not limited to): NMHS, government agency, research institution, private sector organisation, etc.</w:t>
      </w:r>
    </w:p>
    <w:p>
      <w:pPr>
        <w:numPr>
          <w:ilvl w:val="0"/>
          <w:numId w:val="1025"/>
        </w:numPr>
      </w:pPr>
      <w:r>
        <w:t xml:space="preserve">Searches or browses the Global Discovery Catalogue (or other search engine) to discover the Dataset(s) that meet their needs (i.e., "Datasets of interest").</w:t>
      </w:r>
    </w:p>
    <w:p>
      <w:pPr>
        <w:numPr>
          <w:ilvl w:val="0"/>
          <w:numId w:val="1025"/>
        </w:numPr>
      </w:pPr>
      <w:r>
        <w:t xml:space="preserve">Subscribes via the Global Broker to receive notification messages about the availability of data or metadata associated with Datasets of interest.</w:t>
      </w:r>
    </w:p>
    <w:p>
      <w:pPr>
        <w:numPr>
          <w:ilvl w:val="0"/>
          <w:numId w:val="1025"/>
        </w:numPr>
      </w:pPr>
      <w:r>
        <w:t xml:space="preserve">Determines whether the data or metadata referenced in notification messages is required.</w:t>
      </w:r>
    </w:p>
    <w:p>
      <w:pPr>
        <w:numPr>
          <w:ilvl w:val="0"/>
          <w:numId w:val="1025"/>
        </w:numPr>
      </w:pPr>
      <w:r>
        <w:t xml:space="preserve">Downloads data from Global Cache or WIS2 Node.</w:t>
      </w:r>
    </w:p>
    <w:p>
      <w:pPr>
        <w:pStyle w:val="Heading2"/>
      </w:pPr>
      <w:bookmarkStart w:id="108" w:name="X4377534b50509c858737c0b074d5a3307b7fcf9"/>
      <w:r>
        <w:t xml:space="preserve">Specifications of WIS2</w:t>
      </w:r>
      <w:bookmarkEnd w:id="10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109" w:name="X77c8859ec5b5e85b166da5d11960b4ec9fd10d4"/>
      <w:r>
        <w:t xml:space="preserve">Components of WIS2</w:t>
      </w:r>
      <w:bookmarkEnd w:id="109"/>
    </w:p>
    <w:p>
      <w:pPr>
        <w:pStyle w:val="Heading3"/>
      </w:pPr>
      <w:bookmarkStart w:id="110" w:name="X9809bf7de22c5a6f5ac4993d8ceb0a366b28036"/>
      <w:r>
        <w:t xml:space="preserve">WIS2 Node</w:t>
      </w:r>
      <w:bookmarkEnd w:id="110"/>
    </w:p>
    <w:p>
      <w:pPr>
        <w:numPr>
          <w:ilvl w:val="0"/>
          <w:numId w:val="1026"/>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6"/>
        </w:numPr>
      </w:pPr>
      <w:r>
        <w:t xml:space="preserve">WIS2 adopts Web technologies and open standards enabling WIS2 Nodes to be implemented using freely-available software components and common industry practices.</w:t>
      </w:r>
    </w:p>
    <w:p>
      <w:pPr>
        <w:numPr>
          <w:ilvl w:val="0"/>
          <w:numId w:val="1026"/>
        </w:numPr>
      </w:pPr>
      <w:r>
        <w:t xml:space="preserve">WIS2 Nodes publish data as files of a Web server or using an interactive Web service.</w:t>
      </w:r>
    </w:p>
    <w:p>
      <w:pPr>
        <w:numPr>
          <w:ilvl w:val="0"/>
          <w:numId w:val="1026"/>
        </w:numPr>
      </w:pPr>
      <w:r>
        <w:t xml:space="preserve">WIS2 Nodes describe the data they publish using discovery metadata [TODO: ref. WIS Core Metadata Profile 2].</w:t>
      </w:r>
    </w:p>
    <w:p>
      <w:pPr>
        <w:numPr>
          <w:ilvl w:val="0"/>
          <w:numId w:val="1026"/>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26"/>
        </w:numPr>
      </w:pPr>
      <w:r>
        <w:t xml:space="preserve">WIS2 Nodes may implement controlled access for the data they publish. Global Services will operate with fixed IP addresses, enabling WIS2 Nodes to easily distinguish their requests.</w:t>
      </w:r>
    </w:p>
    <w:p>
      <w:pPr>
        <w:pStyle w:val="Heading3"/>
      </w:pPr>
      <w:bookmarkStart w:id="111" w:name="X457e87df81e20dd60341813f33917c04b732591"/>
      <w:r>
        <w:t xml:space="preserve">Global Broker</w:t>
      </w:r>
      <w:bookmarkEnd w:id="111"/>
    </w:p>
    <w:p>
      <w:pPr>
        <w:numPr>
          <w:ilvl w:val="0"/>
          <w:numId w:val="1027"/>
        </w:numPr>
      </w:pPr>
      <w:r>
        <w:t xml:space="preserve">WIS2 incorporates several Global Brokers, ensuring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a Data Consumer to easily find topics relevant to their needs.</w:t>
      </w:r>
    </w:p>
    <w:p>
      <w:pPr>
        <w:numPr>
          <w:ilvl w:val="0"/>
          <w:numId w:val="1027"/>
        </w:numPr>
      </w:pPr>
      <w:r>
        <w:t xml:space="preserve">Data Consumers should subscribe to notifications from a Global Broker not directly to the message brokers operated by WIS2 Nodes.</w:t>
      </w:r>
    </w:p>
    <w:p>
      <w:pPr>
        <w:pStyle w:val="Heading3"/>
      </w:pPr>
      <w:bookmarkStart w:id="112" w:name="X3757fd838d3368c80e2243a833cf028c5b7f1b3"/>
      <w:r>
        <w:t xml:space="preserve">Global Cache</w:t>
      </w:r>
      <w:bookmarkEnd w:id="112"/>
    </w:p>
    <w:p>
      <w:pPr>
        <w:numPr>
          <w:ilvl w:val="0"/>
          <w:numId w:val="1028"/>
        </w:numPr>
      </w:pPr>
      <w:r>
        <w:t xml:space="preserve">WIS2 incorporates several Global Caches, ensuring highly resilient distribution of data across the globe.</w:t>
      </w:r>
    </w:p>
    <w:p>
      <w:pPr>
        <w:numPr>
          <w:ilvl w:val="0"/>
          <w:numId w:val="1028"/>
        </w:numPr>
      </w:pPr>
      <w:r>
        <w:t xml:space="preserve">A Global Cache provides a highly available data server from which a Data Consumer can download Core data, as specified in the WMO Unified Data Policy, Resolution 1 (Cg-Ext(2021)).</w:t>
      </w:r>
    </w:p>
    <w:p>
      <w:pPr>
        <w:numPr>
          <w:ilvl w:val="0"/>
          <w:numId w:val="1028"/>
        </w:numPr>
      </w:pPr>
      <w:r>
        <w:t xml:space="preserve">A Global Cache subscribes to notification messages via a Global Broker.</w:t>
      </w:r>
    </w:p>
    <w:p>
      <w:pPr>
        <w:numPr>
          <w:ilvl w:val="0"/>
          <w:numId w:val="1028"/>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8"/>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8"/>
        </w:numPr>
      </w:pPr>
      <w:r>
        <w:t xml:space="preserve">A Global Cache shall retain a copy of core data for a duration compatible with the real-time or near real-time schedule of the data and not less than 24-hours.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available.</w:t>
      </w:r>
    </w:p>
    <w:p>
      <w:pPr>
        <w:pStyle w:val="Heading3"/>
      </w:pPr>
      <w:bookmarkStart w:id="113" w:name="X7afed62fce9c77dc9763966ede44c55358b9618"/>
      <w:r>
        <w:t xml:space="preserve">Global Discovery Catalogue</w:t>
      </w:r>
      <w:bookmarkEnd w:id="113"/>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29"/>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29"/>
        </w:numPr>
      </w:pPr>
      <w:r>
        <w:t xml:space="preserve">A Global Discovery Catalogue will amend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p>
      <w:pPr>
        <w:pStyle w:val="Heading3"/>
      </w:pPr>
      <w:bookmarkStart w:id="114" w:name="X4e88c05a27e698b3d133af3a43b16886494a2e2"/>
      <w:r>
        <w:t xml:space="preserve">Global Monitor</w:t>
      </w:r>
      <w:bookmarkEnd w:id="114"/>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data can be effectively accessed by Data Consumers.</w:t>
      </w:r>
    </w:p>
    <w:p>
      <w:pPr>
        <w:numPr>
          <w:ilvl w:val="1"/>
          <w:numId w:val="1031"/>
        </w:numPr>
      </w:pPr>
      <w:r>
        <w:t xml:space="preserve">The performance of components in the WIS2 system.</w:t>
      </w:r>
    </w:p>
    <w:p>
      <w:pPr>
        <w:pStyle w:val="Heading2"/>
      </w:pPr>
      <w:bookmarkStart w:id="115" w:name="Xee8f00d4b5d32ea81dee296c05c3047c4b44548"/>
      <w:r>
        <w:t xml:space="preserve">Protocols configuration</w:t>
      </w:r>
      <w:bookmarkEnd w:id="115"/>
    </w:p>
    <w:p>
      <w:pPr>
        <w:pStyle w:val="Heading3"/>
      </w:pPr>
      <w:bookmarkStart w:id="116" w:name="X24a7c06ed7dc4cc495cbe882209559321d9907a"/>
      <w:r>
        <w:t xml:space="preserve">Publish-Subscribe protocol (MQTT)</w:t>
      </w:r>
      <w:bookmarkEnd w:id="116"/>
    </w:p>
    <w:p>
      <w:pPr>
        <w:numPr>
          <w:ilvl w:val="0"/>
          <w:numId w:val="1032"/>
        </w:numPr>
      </w:pPr>
      <w:r>
        <w:t xml:space="preserve">The MQTT protocol is to be used for all WIS2 Publish-Subscribe workflow (publication and subscription).</w:t>
      </w:r>
    </w:p>
    <w:p>
      <w:pPr>
        <w:numPr>
          <w:ilvl w:val="0"/>
          <w:numId w:val="1032"/>
        </w:numPr>
      </w:pPr>
      <w:r>
        <w:t xml:space="preserve">MQTT v3.1.1 and v5.0 are the chosen protocols for the WIS2 Notification Messages publication and subscription.</w:t>
      </w:r>
    </w:p>
    <w:p>
      <w:pPr>
        <w:numPr>
          <w:ilvl w:val="1"/>
          <w:numId w:val="1033"/>
        </w:numPr>
      </w:pPr>
      <w:r>
        <w:t xml:space="preserve">To connect to Global Brokers, MQTT v5.0 is preferred as it provides additional features such as the ability to used shared subscription.</w:t>
      </w:r>
    </w:p>
    <w:p>
      <w:pPr>
        <w:numPr>
          <w:ilvl w:val="0"/>
          <w:numId w:val="1032"/>
        </w:numPr>
      </w:pPr>
      <w:r>
        <w:t xml:space="preserve">The following parameters are to be used for all MQTT client/server connectivity and subscription:</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In order to permit authentication and authorization for users, WIS2 Node, Global Cache, Global Discovery Catalogue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TCP ports to be used are 8883 for Secure MQTT (MQTTS) and 443 for Secure Web Socket (WSS).</w:t>
      </w:r>
    </w:p>
    <w:p>
      <w:pPr>
        <w:pStyle w:val="Heading3"/>
      </w:pPr>
      <w:bookmarkStart w:id="117" w:name="X5c2c63cbe773be7ffd5fb93b0614b441ffbec41"/>
      <w:r>
        <w:t xml:space="preserve">Download protocol (HTTP)</w:t>
      </w:r>
      <w:bookmarkEnd w:id="117"/>
    </w:p>
    <w:p>
      <w:pPr>
        <w:numPr>
          <w:ilvl w:val="0"/>
          <w:numId w:val="1035"/>
        </w:numPr>
      </w:pPr>
      <w:r>
        <w:t xml:space="preserve">The HTTP protocol is to be used for all WIS2 download workflow.</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p>
      <w:pPr>
        <w:pStyle w:val="Heading2"/>
      </w:pPr>
      <w:bookmarkStart w:id="118" w:name="Xff31a5d1aa87fc988a72aaf109f7c8e748ad4b1"/>
      <w:r>
        <w:t xml:space="preserve">Implementation and operation of a WIS2 Node</w:t>
      </w:r>
      <w:bookmarkEnd w:id="118"/>
    </w:p>
    <w:p>
      <w:pPr>
        <w:pStyle w:val="Heading3"/>
      </w:pPr>
      <w:bookmarkStart w:id="119" w:name="X2dc45f7e3308f894d44a9e549266f7a5068a5e5"/>
      <w:r>
        <w:t xml:space="preserve">Practices and procedures</w:t>
      </w:r>
      <w:bookmarkEnd w:id="119"/>
    </w:p>
    <w:p>
      <w:pPr>
        <w:pStyle w:val="Heading4"/>
      </w:pPr>
      <w:bookmarkStart w:id="120" w:name="X8e028573dd812516e98f10b49ed38e5e61384e5"/>
      <w:r>
        <w:t xml:space="preserve">Registration and decommissioning of a WIS2 Node</w:t>
      </w:r>
      <w:bookmarkEnd w:id="120"/>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w:t>
      </w:r>
    </w:p>
    <w:p>
      <w:pPr>
        <w:pStyle w:val="BodyText"/>
      </w:pPr>
      <w:r>
        <w:t xml:space="preserve">The registration of a WIS2 Node involves the following steps:</w:t>
      </w:r>
    </w:p>
    <w:p>
      <w:pPr>
        <w:numPr>
          <w:ilvl w:val="0"/>
          <w:numId w:val="1036"/>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6"/>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WIS2 Topic Hierarchy (WTH) specification (TODO CROSSREF)). See below for guidance on assigning a centre identifier.</w:t>
      </w:r>
    </w:p>
    <w:p>
      <w:pPr>
        <w:numPr>
          <w:ilvl w:val="0"/>
          <w:numId w:val="1036"/>
        </w:numPr>
      </w:pPr>
      <w:r>
        <w:t xml:space="preserve">Complete the WIS2 Register: The WIS National Focal Point shall complete the WIS2 Register operated by the WMO Secretariat.</w:t>
      </w:r>
    </w:p>
    <w:p>
      <w:pPr>
        <w:numPr>
          <w:ilvl w:val="0"/>
          <w:numId w:val="1036"/>
        </w:numPr>
      </w:pPr>
      <w:r>
        <w:t xml:space="preserve">Provide Global Service details: The WMO Secretariat provides connection details for the Global Services (e.g., IP addresses) so that the WIS2 Node can be configured to provide the access.</w:t>
      </w:r>
    </w:p>
    <w:p>
      <w:pPr>
        <w:numPr>
          <w:ilvl w:val="0"/>
          <w:numId w:val="1036"/>
        </w:numPr>
      </w:pPr>
      <w:r>
        <w:t xml:space="preserve">WIS2 Node assessment: The principal GISC verifies that the WIS2 Node is compliant with WIS2 requirements. The assessment includes:</w:t>
      </w:r>
    </w:p>
    <w:p>
      <w:pPr>
        <w:numPr>
          <w:ilvl w:val="1"/>
          <w:numId w:val="1037"/>
        </w:numPr>
      </w:pPr>
      <w:r>
        <w:t xml:space="preserve">verification of the compliance of the topics used by the centre with the WIS2 Topic Hierarchy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6"/>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1"/>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 section 1.3.x How to provide discovery metadata to WIS2 (TODO CROSSREF).</w:t>
      </w:r>
    </w:p>
    <w:p>
      <w:pPr>
        <w:pStyle w:val="BodyText"/>
      </w:pPr>
      <w:r>
        <w:t xml:space="preserve">Once the dataset has successfully been registered, the WIS2 Node can procede to exchange data - see section 1.3.x How to provide data in WIS2 (TODO CROSSREF).</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2" w:name="Xb8e0be8b6c37b07d112a8a99be8be37f3f9c9b4"/>
      <w:r>
        <w:t xml:space="preserve">Guidance on assigning a Centre Identifier for a WIS2 Node</w:t>
      </w:r>
      <w:bookmarkEnd w:id="122"/>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 WIS2 Topic Hierarchy (WTH), section 7.1.6 Centre identification (TODO CROSSREF).</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3"/>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La Reunion is a proper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NMS is the Met Office (</w:t>
      </w:r>
      <w:hyperlink r:id="rId125">
        <w:r>
          <w:rPr>
            <w:rStyle w:val="Hyperlink"/>
          </w:rPr>
          <w:t xml:space="preserve">http://www.metoffice.gov.uk</w:t>
        </w:r>
      </w:hyperlink>
      <w:r>
        <w:t xml:space="preserve">), so “metoffice” is better than “ukmo”</w:t>
      </w:r>
      <w:r>
        <w:rPr>
          <w:rStyle w:val="FootnoteReference"/>
        </w:rPr>
        <w:footnoteReference w:id="126"/>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NMC, 9 DCPCs and some WIS2 functions, so it’s important to split them out. For example:</w:t>
      </w:r>
    </w:p>
    <w:p>
      <w:pPr>
        <w:numPr>
          <w:ilvl w:val="0"/>
          <w:numId w:val="1038"/>
        </w:numPr>
      </w:pPr>
      <w:r>
        <w:rPr>
          <w:rStyle w:val="VerbatimChar"/>
        </w:rPr>
        <w:t xml:space="preserve">uk-metoffice-nmc</w:t>
      </w:r>
    </w:p>
    <w:p>
      <w:pPr>
        <w:numPr>
          <w:ilvl w:val="0"/>
          <w:numId w:val="1038"/>
        </w:numPr>
      </w:pPr>
      <w:r>
        <w:rPr>
          <w:rStyle w:val="VerbatimChar"/>
        </w:rPr>
        <w:t xml:space="preserve">uk-metoffice-vaac</w:t>
      </w:r>
    </w:p>
    <w:p>
      <w:pPr>
        <w:numPr>
          <w:ilvl w:val="0"/>
          <w:numId w:val="1038"/>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 I don’t think we need that right now, because the whole of WIS2 is in test mode.</w:t>
      </w:r>
    </w:p>
    <w:p>
      <w:pPr>
        <w:pStyle w:val="Heading4"/>
      </w:pPr>
      <w:bookmarkStart w:id="127" w:name="X2efa4b3c7f11b5869994d3f39fb42c00bf9526c"/>
      <w:r>
        <w:t xml:space="preserve">Authentication, authorization, and access control for a WIS2 Node</w:t>
      </w:r>
      <w:bookmarkEnd w:id="127"/>
    </w:p>
    <w:p>
      <w:pPr>
        <w:pStyle w:val="FirstParagraph"/>
      </w:pPr>
      <w:r>
        <w:t xml:space="preserve">When configuring your WIS2 Node you need to consider how it will accessed by other components in WIS2 - Global Services and Data Consumers.</w:t>
      </w:r>
    </w:p>
    <w:p>
      <w:pPr>
        <w:pStyle w:val="BodyText"/>
      </w:pPr>
      <w:r>
        <w:t xml:space="preserve">Global Brokers must authenticate when they connect to the MQTT message broker in your WIS2 Node. Simple username and password credentials are used</w:t>
      </w:r>
      <w:r>
        <w:rPr>
          <w:rStyle w:val="FootnoteReference"/>
        </w:rPr>
        <w:footnoteReference w:id="128"/>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29"/>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0"/>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1"/>
      </w:r>
      <w:r>
        <w:t xml:space="preserve">.</w:t>
      </w:r>
    </w:p>
    <w:p>
      <w:pPr>
        <w:pStyle w:val="Heading3"/>
      </w:pPr>
      <w:bookmarkStart w:id="132" w:name="X88471e81d2325170fe741992b384283916f363b"/>
      <w:r>
        <w:t xml:space="preserve">Performance management</w:t>
      </w:r>
      <w:bookmarkEnd w:id="132"/>
    </w:p>
    <w:p>
      <w:pPr>
        <w:pStyle w:val="Heading4"/>
      </w:pPr>
      <w:bookmarkStart w:id="133" w:name="Xe6d7c72f985dadd42293bc857d52add7d42ea2b"/>
      <w:r>
        <w:t xml:space="preserve">Service levels and performance indicators</w:t>
      </w:r>
      <w:bookmarkEnd w:id="133"/>
    </w:p>
    <w:p>
      <w:pPr>
        <w:pStyle w:val="FirstParagraph"/>
      </w:pPr>
      <w:r>
        <w:t xml:space="preserve">A WIS2 Node must be able to:</w:t>
      </w:r>
    </w:p>
    <w:p>
      <w:pPr>
        <w:numPr>
          <w:ilvl w:val="0"/>
          <w:numId w:val="1039"/>
        </w:numPr>
      </w:pPr>
      <w:r>
        <w:t xml:space="preserve">Publish datasets and compliant metadata and discovery metadata</w:t>
      </w:r>
    </w:p>
    <w:p>
      <w:pPr>
        <w:numPr>
          <w:ilvl w:val="1"/>
          <w:numId w:val="1040"/>
        </w:numPr>
      </w:pPr>
      <w:r>
        <w:t xml:space="preserve">Publish metadata to the Global Data Catalogue</w:t>
      </w:r>
    </w:p>
    <w:p>
      <w:pPr>
        <w:numPr>
          <w:ilvl w:val="1"/>
          <w:numId w:val="1040"/>
        </w:numPr>
      </w:pPr>
      <w:r>
        <w:t xml:space="preserve">Publish core data to the Global Cache</w:t>
      </w:r>
    </w:p>
    <w:p>
      <w:pPr>
        <w:numPr>
          <w:ilvl w:val="1"/>
          <w:numId w:val="1040"/>
        </w:numPr>
      </w:pPr>
      <w:r>
        <w:t xml:space="preserve">Publish data for consumer access</w:t>
      </w:r>
    </w:p>
    <w:p>
      <w:pPr>
        <w:numPr>
          <w:ilvl w:val="1"/>
          <w:numId w:val="1040"/>
        </w:numPr>
      </w:pPr>
      <w:r>
        <w:t xml:space="preserve">Publish data embedded in a message (i.e., CAP warnings)</w:t>
      </w:r>
    </w:p>
    <w:p>
      <w:pPr>
        <w:numPr>
          <w:ilvl w:val="1"/>
          <w:numId w:val="1040"/>
        </w:numPr>
      </w:pPr>
      <w:r>
        <w:t xml:space="preserve">Receive metadata publication errors from the Global Data Catalogue</w:t>
      </w:r>
    </w:p>
    <w:p>
      <w:pPr>
        <w:numPr>
          <w:ilvl w:val="1"/>
          <w:numId w:val="1040"/>
        </w:numPr>
      </w:pPr>
      <w:r>
        <w:t xml:space="preserve">Provide metadata with topics to Global Brokers</w:t>
      </w:r>
    </w:p>
    <w:p>
      <w:pPr>
        <w:pStyle w:val="Heading4"/>
      </w:pPr>
      <w:bookmarkStart w:id="134" w:name="X8bf05b2e0d10427f62345612d639c55cc744267"/>
      <w:r>
        <w:t xml:space="preserve">Provision of system performance metrics</w:t>
      </w:r>
      <w:bookmarkEnd w:id="134"/>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35" w:name="X0fb30a4311a2f4b49b867218c927e6ebb4ef16d"/>
      <w:r>
        <w:t xml:space="preserve">WIS2 Node reference implementation: wis2box</w:t>
      </w:r>
      <w:bookmarkEnd w:id="135"/>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1"/>
        </w:numPr>
      </w:pPr>
      <w:r>
        <w:t xml:space="preserve">Configuration, generation and publication of data (real-time or archive) and metadata to WIS2, compliant to WIS2 Node requirements</w:t>
      </w:r>
    </w:p>
    <w:p>
      <w:pPr>
        <w:numPr>
          <w:ilvl w:val="0"/>
          <w:numId w:val="1041"/>
        </w:numPr>
      </w:pPr>
      <w:r>
        <w:t xml:space="preserve">MQTT Message Broker and notification message publication (Subscribe)</w:t>
      </w:r>
    </w:p>
    <w:p>
      <w:pPr>
        <w:numPr>
          <w:ilvl w:val="0"/>
          <w:numId w:val="1041"/>
        </w:numPr>
      </w:pPr>
      <w:r>
        <w:t xml:space="preserve">HTTP object storage and raw data access (Download)</w:t>
      </w:r>
    </w:p>
    <w:p>
      <w:pPr>
        <w:numPr>
          <w:ilvl w:val="0"/>
          <w:numId w:val="1041"/>
        </w:numPr>
      </w:pPr>
      <w:r>
        <w:t xml:space="preserve">Station metadata curation / editing tools (user interface)</w:t>
      </w:r>
    </w:p>
    <w:p>
      <w:pPr>
        <w:numPr>
          <w:ilvl w:val="0"/>
          <w:numId w:val="1041"/>
        </w:numPr>
      </w:pPr>
      <w:r>
        <w:t xml:space="preserve">Discovery metadata curation / editing tools (user interface)</w:t>
      </w:r>
    </w:p>
    <w:p>
      <w:pPr>
        <w:numPr>
          <w:ilvl w:val="0"/>
          <w:numId w:val="1041"/>
        </w:numPr>
      </w:pPr>
      <w:r>
        <w:t xml:space="preserve">Data entry tools (user interfaces)</w:t>
      </w:r>
    </w:p>
    <w:p>
      <w:pPr>
        <w:numPr>
          <w:ilvl w:val="0"/>
          <w:numId w:val="1041"/>
        </w:numPr>
      </w:pPr>
      <w:r>
        <w:t xml:space="preserve">OGC API server, providing dynamic APIs for discovery, access, visualization and processing functionality (APIs)</w:t>
      </w:r>
    </w:p>
    <w:p>
      <w:pPr>
        <w:numPr>
          <w:ilvl w:val="0"/>
          <w:numId w:val="1041"/>
        </w:numPr>
      </w:pPr>
      <w:r>
        <w:t xml:space="preserve">Extensible data "pipelines", allowing for transformation, processing and publishing of additional data types</w:t>
      </w:r>
    </w:p>
    <w:p>
      <w:pPr>
        <w:numPr>
          <w:ilvl w:val="0"/>
          <w:numId w:val="1041"/>
        </w:numPr>
      </w:pPr>
      <w:r>
        <w:t xml:space="preserve">Provision of system performance and data availability metrics</w:t>
      </w:r>
    </w:p>
    <w:p>
      <w:pPr>
        <w:numPr>
          <w:ilvl w:val="0"/>
          <w:numId w:val="1041"/>
        </w:numPr>
      </w:pPr>
      <w:r>
        <w:t xml:space="preserve">Access control for recommended data publication, as required</w:t>
      </w:r>
    </w:p>
    <w:p>
      <w:pPr>
        <w:numPr>
          <w:ilvl w:val="0"/>
          <w:numId w:val="1041"/>
        </w:numPr>
      </w:pPr>
      <w:r>
        <w:t xml:space="preserve">Subscription to notifications and and download of WIS data from Global Services</w:t>
      </w:r>
    </w:p>
    <w:p>
      <w:pPr>
        <w:numPr>
          <w:ilvl w:val="0"/>
          <w:numId w:val="1041"/>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36">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36">
        <w:r>
          <w:rPr>
            <w:rStyle w:val="Hyperlink"/>
          </w:rPr>
          <w:t xml:space="preserve">https://docs.wis2box.wis.wmo.int</w:t>
        </w:r>
      </w:hyperlink>
      <w:r>
        <w:t xml:space="preserve">.</w:t>
      </w:r>
    </w:p>
    <w:p>
      <w:pPr>
        <w:pStyle w:val="Heading2"/>
      </w:pPr>
      <w:bookmarkStart w:id="137" w:name="X9e72a2ecfcdde13f98188c11fb151050efd6b8e"/>
      <w:r>
        <w:t xml:space="preserve">Implementation and operation of a Global Service</w:t>
      </w:r>
      <w:bookmarkEnd w:id="137"/>
    </w:p>
    <w:p>
      <w:pPr>
        <w:pStyle w:val="Heading3"/>
      </w:pPr>
      <w:bookmarkStart w:id="138" w:name="X2413b2167533c41decb1d7ad264ee77ac10f5b8"/>
      <w:r>
        <w:t xml:space="preserve">Procedure for registration of a new Global Service</w:t>
      </w:r>
      <w:bookmarkEnd w:id="138"/>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2"/>
        </w:numPr>
      </w:pPr>
      <w:r>
        <w:t xml:space="preserve">Three (3) Global Brokers: Each Global Broker connected to at least two (2) other Global Brokers</w:t>
      </w:r>
    </w:p>
    <w:p>
      <w:pPr>
        <w:numPr>
          <w:ilvl w:val="0"/>
          <w:numId w:val="1042"/>
        </w:numPr>
      </w:pPr>
      <w:r>
        <w:t xml:space="preserve">Three (3) Global Caches: Each Global Cache connected to at least two (2) Global Broker and should be able to download the data from all WIS2 Nodes providing Core data</w:t>
      </w:r>
    </w:p>
    <w:p>
      <w:pPr>
        <w:numPr>
          <w:ilvl w:val="0"/>
          <w:numId w:val="1042"/>
        </w:numPr>
      </w:pPr>
      <w:r>
        <w:t xml:space="preserve">Two (2) Global Discovery Catalogues: Each Global Discovery Catalogue connected to at least one (1) Global Broker</w:t>
      </w:r>
    </w:p>
    <w:p>
      <w:pPr>
        <w:numPr>
          <w:ilvl w:val="0"/>
          <w:numId w:val="1042"/>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39" w:name="X92a574e92bd468929fa857fcf361addb0e19130"/>
      <w:r>
        <w:t xml:space="preserve">Performance management and monitoring of a Global Service</w:t>
      </w:r>
      <w:bookmarkEnd w:id="139"/>
    </w:p>
    <w:p>
      <w:pPr>
        <w:pStyle w:val="Heading4"/>
      </w:pPr>
      <w:bookmarkStart w:id="140" w:name="X5e314926e6c38d8253e74ca9c7c0b4c5d26b707"/>
      <w:r>
        <w:t xml:space="preserve">Monitoring and metrics for WIS2 operations</w:t>
      </w:r>
      <w:bookmarkEnd w:id="140"/>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1"/>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2"/>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44"/>
      </w:r>
    </w:p>
    <w:p>
      <w:pPr>
        <w:pStyle w:val="Heading4"/>
      </w:pPr>
      <w:bookmarkStart w:id="146" w:name="X61b468b8bf7d4308bcaac71a7f66d738b5d312d"/>
      <w:r>
        <w:t xml:space="preserve">Service levels, performance indicators, and fair-usage policies</w:t>
      </w:r>
      <w:bookmarkEnd w:id="146"/>
    </w:p>
    <w:p>
      <w:pPr>
        <w:numPr>
          <w:ilvl w:val="0"/>
          <w:numId w:val="1043"/>
        </w:numPr>
      </w:pPr>
      <w:r>
        <w:t xml:space="preserve">Each WIS Centre operating a WIS2 Node will be responsible in achieving the highest possible level of service based on their resources and capabilities.</w:t>
      </w:r>
    </w:p>
    <w:p>
      <w:pPr>
        <w:numPr>
          <w:ilvl w:val="0"/>
          <w:numId w:val="1043"/>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3"/>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3"/>
        </w:numPr>
      </w:pPr>
      <w:r>
        <w:t xml:space="preserve">A Global Broker:</w:t>
      </w:r>
    </w:p>
    <w:p>
      <w:pPr>
        <w:numPr>
          <w:ilvl w:val="1"/>
          <w:numId w:val="1044"/>
        </w:numPr>
      </w:pPr>
      <w:r>
        <w:t xml:space="preserve">should support a minimum of 200 WIS2 Nodes or Global Services</w:t>
      </w:r>
    </w:p>
    <w:p>
      <w:pPr>
        <w:numPr>
          <w:ilvl w:val="1"/>
          <w:numId w:val="1044"/>
        </w:numPr>
      </w:pPr>
      <w:r>
        <w:t xml:space="preserve">should support a minimum of 1000 subscribers.</w:t>
      </w:r>
    </w:p>
    <w:p>
      <w:pPr>
        <w:numPr>
          <w:ilvl w:val="1"/>
          <w:numId w:val="1044"/>
        </w:numPr>
      </w:pPr>
      <w:r>
        <w:t xml:space="preserve">should support processing of a minimum of 10000 messages per second</w:t>
      </w:r>
    </w:p>
    <w:p>
      <w:pPr>
        <w:numPr>
          <w:ilvl w:val="0"/>
          <w:numId w:val="1043"/>
        </w:numPr>
      </w:pPr>
      <w:r>
        <w:t xml:space="preserve">A Global Cache:</w:t>
      </w:r>
    </w:p>
    <w:p>
      <w:pPr>
        <w:numPr>
          <w:ilvl w:val="1"/>
          <w:numId w:val="1045"/>
        </w:numPr>
      </w:pPr>
      <w:r>
        <w:t xml:space="preserve">should support a mimimum of 100 GB of data in the cache</w:t>
      </w:r>
    </w:p>
    <w:p>
      <w:pPr>
        <w:numPr>
          <w:ilvl w:val="1"/>
          <w:numId w:val="1045"/>
        </w:numPr>
      </w:pPr>
      <w:r>
        <w:t xml:space="preserve">should support a minimum of 1000 simultaneous downloads</w:t>
      </w:r>
    </w:p>
    <w:p>
      <w:pPr>
        <w:numPr>
          <w:ilvl w:val="1"/>
          <w:numId w:val="1045"/>
        </w:numPr>
      </w:pPr>
      <w:r>
        <w:t xml:space="preserve">could limit the number of simultaneous connections from a user (known by its originating source IP) to 5</w:t>
      </w:r>
    </w:p>
    <w:p>
      <w:pPr>
        <w:numPr>
          <w:ilvl w:val="1"/>
          <w:numId w:val="1045"/>
        </w:numPr>
      </w:pPr>
      <w:r>
        <w:t xml:space="preserve">could limit the bandwidth usage of the service to 1Gb/s</w:t>
      </w:r>
    </w:p>
    <w:p>
      <w:pPr>
        <w:numPr>
          <w:ilvl w:val="0"/>
          <w:numId w:val="1043"/>
        </w:numPr>
      </w:pPr>
      <w:r>
        <w:t xml:space="preserve">A Global Monitor:</w:t>
      </w:r>
    </w:p>
    <w:p>
      <w:pPr>
        <w:numPr>
          <w:ilvl w:val="1"/>
          <w:numId w:val="1046"/>
        </w:numPr>
      </w:pPr>
      <w:r>
        <w:t xml:space="preserve">should support a minimum of 50 metrics providers</w:t>
      </w:r>
    </w:p>
    <w:p>
      <w:pPr>
        <w:numPr>
          <w:ilvl w:val="1"/>
          <w:numId w:val="1046"/>
        </w:numPr>
      </w:pPr>
      <w:r>
        <w:t xml:space="preserve">should support 200 simultaneous access to the dashboard</w:t>
      </w:r>
    </w:p>
    <w:p>
      <w:pPr>
        <w:numPr>
          <w:ilvl w:val="1"/>
          <w:numId w:val="1046"/>
        </w:numPr>
      </w:pPr>
      <w:r>
        <w:t xml:space="preserve">could limit the bandwidth usage of the service to 100Mb/s</w:t>
      </w:r>
    </w:p>
    <w:p>
      <w:pPr>
        <w:numPr>
          <w:ilvl w:val="0"/>
          <w:numId w:val="1043"/>
        </w:numPr>
      </w:pPr>
      <w:r>
        <w:t xml:space="preserve">A Global Discovery Catalogue:</w:t>
      </w:r>
    </w:p>
    <w:p>
      <w:pPr>
        <w:numPr>
          <w:ilvl w:val="1"/>
          <w:numId w:val="1047"/>
        </w:numPr>
      </w:pPr>
      <w:r>
        <w:t xml:space="preserve">should support a minimum of 20000 metadata records</w:t>
      </w:r>
    </w:p>
    <w:p>
      <w:pPr>
        <w:numPr>
          <w:ilvl w:val="1"/>
          <w:numId w:val="1047"/>
        </w:numPr>
      </w:pPr>
      <w:r>
        <w:t xml:space="preserve">should support a minimum of 50 requests per second to the API endpoint</w:t>
      </w:r>
    </w:p>
    <w:p>
      <w:pPr>
        <w:pStyle w:val="Heading4"/>
      </w:pPr>
      <w:bookmarkStart w:id="147" w:name="X9f81c9ccadcb1a687a8114ac1ba77ad17867978"/>
      <w:r>
        <w:t xml:space="preserve">Metrics for Global Services</w:t>
      </w:r>
      <w:bookmarkEnd w:id="147"/>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48" w:name="Xe0eab1aae4f0a18f4dcba102bbc5cb0f1021ecf"/>
      <w:r>
        <w:t xml:space="preserve">Global Broker</w:t>
      </w:r>
      <w:bookmarkEnd w:id="148"/>
    </w:p>
    <w:p>
      <w:pPr>
        <w:pStyle w:val="Heading4"/>
      </w:pPr>
      <w:bookmarkStart w:id="149" w:name="Xffd6385210ddd18d3a42c4b75583b265bf38983"/>
      <w:r>
        <w:t xml:space="preserve">Technical considerations</w:t>
      </w:r>
      <w:bookmarkEnd w:id="149"/>
    </w:p>
    <w:p>
      <w:pPr>
        <w:numPr>
          <w:ilvl w:val="0"/>
          <w:numId w:val="1048"/>
        </w:numPr>
      </w:pPr>
      <w:r>
        <w:t xml:space="preserve">As detailed above, there will be at least three (3) instances of Global Broker to ensure highly available, low latency global provision of messages within WIS.</w:t>
      </w:r>
    </w:p>
    <w:p>
      <w:pPr>
        <w:numPr>
          <w:ilvl w:val="0"/>
          <w:numId w:val="1048"/>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8"/>
        </w:numPr>
      </w:pPr>
      <w:r>
        <w:t xml:space="preserve">Every WIS Centre or Global Service must have subscriptions from at least two Global Brokers.</w:t>
      </w:r>
    </w:p>
    <w:p>
      <w:pPr>
        <w:numPr>
          <w:ilvl w:val="0"/>
          <w:numId w:val="1048"/>
        </w:numPr>
      </w:pPr>
      <w:r>
        <w:t xml:space="preserve">For full global coverage, a Global Broker instance will subscribe to messages from at least two (2) other Global Brokers.</w:t>
      </w:r>
    </w:p>
    <w:p>
      <w:pPr>
        <w:numPr>
          <w:ilvl w:val="0"/>
          <w:numId w:val="1048"/>
        </w:numPr>
      </w:pPr>
      <w:r>
        <w:t xml:space="preserve">When subscribing to messages from WIS Centres and other Global Services, a Global Broker must authenticate using the valid credentials managed by the WIS Centre and available at WMO Secretariat.</w:t>
      </w:r>
    </w:p>
    <w:p>
      <w:pPr>
        <w:numPr>
          <w:ilvl w:val="0"/>
          <w:numId w:val="1048"/>
        </w:numPr>
      </w:pPr>
      <w:r>
        <w:t xml:space="preserve">A Global Broker is built around two software components:</w:t>
      </w:r>
    </w:p>
    <w:p>
      <w:pPr>
        <w:numPr>
          <w:ilvl w:val="1"/>
          <w:numId w:val="1049"/>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9"/>
        </w:numPr>
      </w:pPr>
      <w:r>
        <w:t xml:space="preserve">Additional features including anti-loop detection, notification message format compliance, validation of the published topic, and provision of metrics are required.</w:t>
      </w:r>
    </w:p>
    <w:p>
      <w:pPr>
        <w:numPr>
          <w:ilvl w:val="0"/>
          <w:numId w:val="1048"/>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8"/>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8"/>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8"/>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8"/>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8"/>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8"/>
        </w:numPr>
      </w:pPr>
      <w:r>
        <w:t xml:space="preserve">All aboved defined metrics will be made avalaible on HTTPS endpoints that the Global Monitor will ingest from regularly.</w:t>
      </w:r>
    </w:p>
    <w:p>
      <w:pPr>
        <w:numPr>
          <w:ilvl w:val="0"/>
          <w:numId w:val="1048"/>
        </w:numPr>
      </w:pPr>
      <w:r>
        <w:t xml:space="preserve">As a convention Global Broker centre-id will be</w:t>
      </w:r>
      <w:r>
        <w:t xml:space="preserve"> </w:t>
      </w:r>
      <w:r>
        <w:rPr>
          <w:rStyle w:val="VerbatimChar"/>
        </w:rPr>
        <w:t xml:space="preserve">tld-{centre-name}-global-broker</w:t>
      </w:r>
      <w:r>
        <w:t xml:space="preserve">.</w:t>
      </w:r>
    </w:p>
    <w:p>
      <w:pPr>
        <w:numPr>
          <w:ilvl w:val="0"/>
          <w:numId w:val="1048"/>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0" w:name="X743200c472f9d0375e2986f5890dff3da599269"/>
      <w:r>
        <w:t xml:space="preserve">Global Cache</w:t>
      </w:r>
      <w:bookmarkEnd w:id="150"/>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1" w:name="X786d3f3a1e3b20eb2f4f60f868fc4d4fcbe1071"/>
      <w:r>
        <w:t xml:space="preserve">Technical considerations</w:t>
      </w:r>
      <w:bookmarkEnd w:id="151"/>
    </w:p>
    <w:p>
      <w:pPr>
        <w:numPr>
          <w:ilvl w:val="0"/>
          <w:numId w:val="1050"/>
        </w:numPr>
      </w:pPr>
      <w:r>
        <w:t xml:space="preserve">A Global Cache is built around three software components:</w:t>
      </w:r>
    </w:p>
    <w:p>
      <w:pPr>
        <w:numPr>
          <w:ilvl w:val="1"/>
          <w:numId w:val="1051"/>
        </w:numPr>
      </w:pPr>
      <w:r>
        <w:t xml:space="preserve">A highly available data server allowing data consumers to download cache resources with high bandwidth and low latency.</w:t>
      </w:r>
    </w:p>
    <w:p>
      <w:pPr>
        <w:numPr>
          <w:ilvl w:val="1"/>
          <w:numId w:val="1051"/>
        </w:numPr>
      </w:pPr>
      <w:r>
        <w:t xml:space="preserve">A message broker implementing both MQTTv3.1.1 and MQTTv5 for publishing notification messages about resources that are available from the Global Cache</w:t>
      </w:r>
    </w:p>
    <w:p>
      <w:pPr>
        <w:numPr>
          <w:ilvl w:val="1"/>
          <w:numId w:val="1051"/>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0"/>
        </w:numPr>
      </w:pPr>
      <w:r>
        <w:t xml:space="preserve">The Global Cache will aim at containing copies of real-time and near real-time data designated as "core" within the WMO Unified Data Policy, Resolution 1 (Cg-Ext(2021)).</w:t>
      </w:r>
    </w:p>
    <w:p>
      <w:pPr>
        <w:numPr>
          <w:ilvl w:val="0"/>
          <w:numId w:val="1050"/>
        </w:numPr>
      </w:pPr>
      <w:r>
        <w:t xml:space="preserve">A Global Cache instance will host data objects copied from NC/DCPCs.</w:t>
      </w:r>
    </w:p>
    <w:p>
      <w:pPr>
        <w:numPr>
          <w:ilvl w:val="0"/>
          <w:numId w:val="1050"/>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50"/>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50"/>
        </w:numPr>
      </w:pPr>
      <w:r>
        <w:t xml:space="preserve">A Global Cache instance will publish on topic</w:t>
      </w:r>
      <w:r>
        <w:t xml:space="preserve"> </w:t>
      </w:r>
      <w:r>
        <w:rPr>
          <w:rStyle w:val="VerbatimChar"/>
        </w:rPr>
        <w:t xml:space="preserve">cache/a/wis2/…​</w:t>
      </w:r>
      <w:r>
        <w:t xml:space="preserve">.</w:t>
      </w:r>
    </w:p>
    <w:p>
      <w:pPr>
        <w:numPr>
          <w:ilvl w:val="0"/>
          <w:numId w:val="1050"/>
        </w:numPr>
      </w:pPr>
      <w:r>
        <w:t xml:space="preserve">There will be multiple Global Cache instances to ensure highly available, low latency global provision of real-time and near real-time "core" data within WIS2.</w:t>
      </w:r>
    </w:p>
    <w:p>
      <w:pPr>
        <w:numPr>
          <w:ilvl w:val="0"/>
          <w:numId w:val="1050"/>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0"/>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0"/>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0"/>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0"/>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0"/>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0"/>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0"/>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0"/>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0"/>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0"/>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2" w:name="Xc6a761dae7c2ab8ca53d55e2bb6a1eee7d9f700"/>
      <w:r>
        <w:t xml:space="preserve">Practices and procedures</w:t>
      </w:r>
      <w:bookmarkEnd w:id="152"/>
    </w:p>
    <w:p>
      <w:pPr>
        <w:numPr>
          <w:ilvl w:val="0"/>
          <w:numId w:val="1052"/>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2"/>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3"/>
      </w:r>
    </w:p>
    <w:p>
      <w:pPr>
        <w:numPr>
          <w:ilvl w:val="0"/>
          <w:numId w:val="1052"/>
        </w:numPr>
      </w:pPr>
      <w:r>
        <w:t xml:space="preserve">A Global Cache shall retain the data and metadata they receive for a minimum period of 24 hours. Requirements relating varying retention times for different types of data may be added later.</w:t>
      </w:r>
    </w:p>
    <w:p>
      <w:pPr>
        <w:numPr>
          <w:ilvl w:val="0"/>
          <w:numId w:val="1052"/>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3"/>
        </w:numPr>
      </w:pPr>
      <w:r>
        <w:t xml:space="preserve">If the message contains the property</w:t>
      </w:r>
      <w:r>
        <w:t xml:space="preserve"> </w:t>
      </w:r>
      <w:r>
        <w:rPr>
          <w:rStyle w:val="VerbatimChar"/>
        </w:rPr>
        <w:t xml:space="preserve">"properties.cache": false</w:t>
      </w:r>
    </w:p>
    <w:p>
      <w:pPr>
        <w:numPr>
          <w:ilvl w:val="2"/>
          <w:numId w:val="1054"/>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3"/>
        </w:numPr>
      </w:pPr>
      <w:r>
        <w:t xml:space="preserve">else</w:t>
      </w:r>
    </w:p>
    <w:p>
      <w:pPr>
        <w:numPr>
          <w:ilvl w:val="2"/>
          <w:numId w:val="1055"/>
        </w:numPr>
      </w:pPr>
      <w:r>
        <w:t xml:space="preserve">Maintain a list of data_ids already downloaded.</w:t>
      </w:r>
    </w:p>
    <w:p>
      <w:pPr>
        <w:numPr>
          <w:ilvl w:val="2"/>
          <w:numId w:val="1055"/>
        </w:numPr>
      </w:pPr>
      <w:r>
        <w:t xml:space="preserve">Verify if the message points to new or updated data by comparing the pubtime value of the notification message with the list of data_ids.</w:t>
      </w:r>
    </w:p>
    <w:p>
      <w:pPr>
        <w:numPr>
          <w:ilvl w:val="2"/>
          <w:numId w:val="1055"/>
        </w:numPr>
      </w:pPr>
      <w:r>
        <w:t xml:space="preserve">If the message is new or updated</w:t>
      </w:r>
    </w:p>
    <w:p>
      <w:pPr>
        <w:numPr>
          <w:ilvl w:val="3"/>
          <w:numId w:val="1056"/>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6"/>
        </w:numPr>
      </w:pPr>
      <w:r>
        <w:t xml:space="preserve">If the message contains an integrity value for the data, verify the integrity of the data.</w:t>
      </w:r>
    </w:p>
    <w:p>
      <w:pPr>
        <w:numPr>
          <w:ilvl w:val="3"/>
          <w:numId w:val="1056"/>
        </w:numPr>
      </w:pPr>
      <w:r>
        <w:t xml:space="preserve">If data is downloaded successfully, move the data to the HTTP endpoint of the Global Cache.</w:t>
      </w:r>
    </w:p>
    <w:p>
      <w:pPr>
        <w:numPr>
          <w:ilvl w:val="3"/>
          <w:numId w:val="1056"/>
        </w:numPr>
      </w:pPr>
      <w:r>
        <w:t xml:space="preserve">Wait until the data becomes available at the endpoint.</w:t>
      </w:r>
    </w:p>
    <w:p>
      <w:pPr>
        <w:numPr>
          <w:ilvl w:val="3"/>
          <w:numId w:val="1056"/>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6"/>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6"/>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5"/>
        </w:numPr>
      </w:pPr>
      <w:r>
        <w:t xml:space="preserve">else</w:t>
      </w:r>
    </w:p>
    <w:p>
      <w:pPr>
        <w:numPr>
          <w:ilvl w:val="3"/>
          <w:numId w:val="1057"/>
        </w:numPr>
      </w:pPr>
      <w:r>
        <w:t xml:space="preserve">Drop the messages for data already present on the Cache.</w:t>
      </w:r>
    </w:p>
    <w:p>
      <w:pPr>
        <w:numPr>
          <w:ilvl w:val="0"/>
          <w:numId w:val="1052"/>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2"/>
        </w:numPr>
      </w:pPr>
      <w:r>
        <w:t xml:space="preserve">A Global Cache shall provide the metric defined in this Guide at an http(s) endpoint</w:t>
      </w:r>
    </w:p>
    <w:p>
      <w:pPr>
        <w:numPr>
          <w:ilvl w:val="0"/>
          <w:numId w:val="1052"/>
        </w:numPr>
      </w:pPr>
      <w:r>
        <w:t xml:space="preserve">A Global Cache should make sure that data is downloaded in parallel and downloads are not blocking each other</w:t>
      </w:r>
    </w:p>
    <w:p>
      <w:pPr>
        <w:numPr>
          <w:ilvl w:val="0"/>
          <w:numId w:val="1052"/>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54" w:name="X98dc1b7aeea0d58f8b8d679247b663e1f86c3af"/>
      <w:r>
        <w:t xml:space="preserve">Global Discovery Catalogue</w:t>
      </w:r>
      <w:bookmarkEnd w:id="154"/>
    </w:p>
    <w:p>
      <w:pPr>
        <w:pStyle w:val="Heading4"/>
      </w:pPr>
      <w:bookmarkStart w:id="155" w:name="Xfb2e666548741befe53fbe311ab83706f224432"/>
      <w:r>
        <w:t xml:space="preserve">Technical considerations</w:t>
      </w:r>
      <w:bookmarkEnd w:id="155"/>
    </w:p>
    <w:p>
      <w:pPr>
        <w:numPr>
          <w:ilvl w:val="0"/>
          <w:numId w:val="1058"/>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8"/>
        </w:numPr>
      </w:pPr>
      <w:r>
        <w:t xml:space="preserve">The Global Discovery Catalogue implements the OGC API – Records – Part 1: Core standard</w:t>
      </w:r>
      <w:r>
        <w:rPr>
          <w:rStyle w:val="FootnoteReference"/>
        </w:rPr>
        <w:footnoteReference w:id="156"/>
      </w:r>
      <w:r>
        <w:t xml:space="preserve">, adhering to the following conformance classes and their dependencies:</w:t>
      </w:r>
    </w:p>
    <w:p>
      <w:pPr>
        <w:numPr>
          <w:ilvl w:val="1"/>
          <w:numId w:val="1059"/>
        </w:numPr>
      </w:pPr>
      <w:r>
        <w:t xml:space="preserve">Searchable Catalog (Deployment)</w:t>
      </w:r>
    </w:p>
    <w:p>
      <w:pPr>
        <w:numPr>
          <w:ilvl w:val="1"/>
          <w:numId w:val="1059"/>
        </w:numPr>
      </w:pPr>
      <w:r>
        <w:t xml:space="preserve">Searchable Catalog - Sorting (Deployment)</w:t>
      </w:r>
    </w:p>
    <w:p>
      <w:pPr>
        <w:numPr>
          <w:ilvl w:val="1"/>
          <w:numId w:val="1059"/>
        </w:numPr>
      </w:pPr>
      <w:r>
        <w:t xml:space="preserve">Searchable Catalog - Filtering (Deployment)</w:t>
      </w:r>
    </w:p>
    <w:p>
      <w:pPr>
        <w:numPr>
          <w:ilvl w:val="1"/>
          <w:numId w:val="1059"/>
        </w:numPr>
      </w:pPr>
      <w:r>
        <w:t xml:space="preserve">JSON (Building Block)</w:t>
      </w:r>
    </w:p>
    <w:p>
      <w:pPr>
        <w:numPr>
          <w:ilvl w:val="1"/>
          <w:numId w:val="1059"/>
        </w:numPr>
      </w:pPr>
      <w:r>
        <w:t xml:space="preserve">HTML (Building Block)</w:t>
      </w:r>
    </w:p>
    <w:p>
      <w:pPr>
        <w:numPr>
          <w:ilvl w:val="0"/>
          <w:numId w:val="1058"/>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8"/>
        </w:numPr>
      </w:pPr>
      <w:r>
        <w:t xml:space="preserve">The Global Discovery Catalogue advertises the availability of Datasets and how to access them or subscribe to updates.</w:t>
      </w:r>
    </w:p>
    <w:p>
      <w:pPr>
        <w:numPr>
          <w:ilvl w:val="0"/>
          <w:numId w:val="1058"/>
        </w:numPr>
      </w:pPr>
      <w:r>
        <w:t xml:space="preserve">The Global Discovery Catalogue does not advertise or list the availability of individual Data Objects that comprise a Dataset (i.e. data files).</w:t>
      </w:r>
    </w:p>
    <w:p>
      <w:pPr>
        <w:numPr>
          <w:ilvl w:val="0"/>
          <w:numId w:val="1058"/>
        </w:numPr>
      </w:pPr>
      <w:r>
        <w:t xml:space="preserve">A single Global Discovery Catalogue instance is sufficient for WIS2.</w:t>
      </w:r>
    </w:p>
    <w:p>
      <w:pPr>
        <w:numPr>
          <w:ilvl w:val="0"/>
          <w:numId w:val="1058"/>
        </w:numPr>
      </w:pPr>
      <w:r>
        <w:t xml:space="preserve">Multiple Global Discovery Catalogue instances may be deployed for resilience.</w:t>
      </w:r>
    </w:p>
    <w:p>
      <w:pPr>
        <w:numPr>
          <w:ilvl w:val="0"/>
          <w:numId w:val="1058"/>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8"/>
        </w:numPr>
      </w:pPr>
      <w:r>
        <w:t xml:space="preserve">A Global Discovery Catalogue is populated with discovery metadata records from a Global Cache instance, receiving messages about the availability of discovery metadata records via a Global Broker.</w:t>
      </w:r>
    </w:p>
    <w:p>
      <w:pPr>
        <w:numPr>
          <w:ilvl w:val="0"/>
          <w:numId w:val="1058"/>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8"/>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8"/>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8"/>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8"/>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8"/>
        </w:numPr>
      </w:pPr>
      <w:r>
        <w:t xml:space="preserve">A Global Discovery Catalogue will remove discovery metadata that is marked for deletion as specified in the data notification message.</w:t>
      </w:r>
    </w:p>
    <w:p>
      <w:pPr>
        <w:numPr>
          <w:ilvl w:val="0"/>
          <w:numId w:val="1058"/>
        </w:numPr>
      </w:pPr>
      <w:r>
        <w:t xml:space="preserve">A Global Discovery Catalogue should apply faceting capability as specified in the cataloguing considerations of the WCMP2 specification, as defined in OGC API - Records.</w:t>
      </w:r>
    </w:p>
    <w:p>
      <w:pPr>
        <w:numPr>
          <w:ilvl w:val="0"/>
          <w:numId w:val="1058"/>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8"/>
        </w:numPr>
      </w:pPr>
      <w:r>
        <w:t xml:space="preserve">A Global Discovery Catalogue will generate and store a zipfile of all WCMP2 records once a day, that will be made be accessible via HTTP.</w:t>
      </w:r>
    </w:p>
    <w:p>
      <w:pPr>
        <w:numPr>
          <w:ilvl w:val="0"/>
          <w:numId w:val="1058"/>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8"/>
        </w:numPr>
      </w:pPr>
      <w:r>
        <w:t xml:space="preserve">A Global Discovery Catalogue may initialize itself (cold start) from a zipfile of all WCMP2 records published.</w:t>
      </w:r>
    </w:p>
    <w:p>
      <w:pPr>
        <w:numPr>
          <w:ilvl w:val="0"/>
          <w:numId w:val="1058"/>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57" w:name="X6065a0bce40360a3246dd1925c599c3bfa3e21a"/>
      <w:r>
        <w:t xml:space="preserve">Global Discovery Catalogue reference implementation: wis2-gdc</w:t>
      </w:r>
      <w:bookmarkEnd w:id="157"/>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(key performance indicators TODO CROSSREF - WCMP2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58">
        <w:r>
          <w:rPr>
            <w:rStyle w:val="Hyperlink"/>
          </w:rPr>
          <w:t xml:space="preserve">https://github.com/wmo-im/wis2-gdc</w:t>
        </w:r>
      </w:hyperlink>
      <w:r>
        <w:t xml:space="preserve">.</w:t>
      </w:r>
    </w:p>
    <w:p>
      <w:pPr>
        <w:pStyle w:val="Heading3"/>
      </w:pPr>
      <w:bookmarkStart w:id="159" w:name="Xcc01d2686e89c463d7923a65ea7a9e03e587af8"/>
      <w:r>
        <w:t xml:space="preserve">Global Monitor</w:t>
      </w:r>
      <w:bookmarkEnd w:id="159"/>
    </w:p>
    <w:p>
      <w:pPr>
        <w:pStyle w:val="Heading4"/>
      </w:pPr>
      <w:bookmarkStart w:id="160" w:name="Xd139f35e1c8e20bb300c6e70a06e779eeaccbe8"/>
      <w:r>
        <w:t xml:space="preserve">Technical Considerations</w:t>
      </w:r>
      <w:bookmarkEnd w:id="160"/>
    </w:p>
    <w:p>
      <w:pPr>
        <w:numPr>
          <w:ilvl w:val="0"/>
          <w:numId w:val="1061"/>
        </w:numPr>
      </w:pPr>
      <w:r>
        <w:t xml:space="preserve">WIS standardises how system performance and data availability metrics are published from WIS2 Nodes and Global Services.</w:t>
      </w:r>
    </w:p>
    <w:p>
      <w:pPr>
        <w:numPr>
          <w:ilvl w:val="0"/>
          <w:numId w:val="1061"/>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(i.e., performance) of components at NC/DCPC as well as Global Service instances.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1" w:name="Xeeabc229dc8912ba5f974878e5a5a11961b3b62"/>
      <w:r>
        <w:t xml:space="preserve">Operations</w:t>
      </w:r>
      <w:bookmarkEnd w:id="161"/>
    </w:p>
    <w:p>
      <w:pPr>
        <w:pStyle w:val="Heading3"/>
      </w:pPr>
      <w:bookmarkStart w:id="162" w:name="X5c617aa2ee6751c4b95283e47cb4b5ee7ac3c61"/>
      <w:r>
        <w:t xml:space="preserve">Interoperability with external systems</w:t>
      </w:r>
      <w:bookmarkEnd w:id="162"/>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3" w:name="X9a4ce0d19d67477e2e98a434de760aa481811e6"/>
      <w:r>
        <w:t xml:space="preserve">Publishing meteorological data through WIS2 into ICAO SWIM</w:t>
      </w:r>
      <w:bookmarkEnd w:id="16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64"/>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65"/>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is automatically propagated to SWIM.</w:t>
      </w:r>
    </w:p>
    <w:p>
      <w:pPr>
        <w:pStyle w:val="BodyText"/>
      </w:pPr>
      <w:r>
        <w:t xml:space="preserve">This Guide covers only how data from WIS2 is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 of the SWIM data message.</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66" w:name="X14ff1e968629101d51c4e96198c1e3ef5ed75df"/>
      <w:r>
        <w:t xml:space="preserve">WIS2 to SWIM Gateway</w:t>
      </w:r>
      <w:bookmarkEnd w:id="166"/>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6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meteorological data from WIS2 and re-publishing it</w:t>
      </w:r>
      <w:r>
        <w:t xml:space="preserve"> </w:t>
      </w:r>
      <w:r>
        <w:t xml:space="preserve">to SWIM.</w:t>
      </w:r>
    </w:p>
    <w:p>
      <w:pPr>
        <w:pStyle w:val="Heading5"/>
      </w:pPr>
      <w:bookmarkStart w:id="168" w:name="X32503eef144b6f9e5340fc09f6b6729dde1508a"/>
      <w:r>
        <w:t xml:space="preserve">Data types and format</w:t>
      </w:r>
      <w:bookmarkEnd w:id="168"/>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69"/>
      </w:r>
      <w:r>
        <w:t xml:space="preserve"> </w:t>
      </w:r>
      <w:r>
        <w:t xml:space="preserve">is to be used for encoding aeronautical meteorological information in SWIM.</w:t>
      </w:r>
    </w:p>
    <w:p>
      <w:pPr>
        <w:pStyle w:val="Heading5"/>
      </w:pPr>
      <w:bookmarkStart w:id="170" w:name="X4e8addac518048f267b87b8f17249bc74446b43"/>
      <w:r>
        <w:t xml:space="preserve">Publishing meteorological data via WIS2</w:t>
      </w:r>
      <w:bookmarkEnd w:id="170"/>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the</w:t>
      </w:r>
      <w:r>
        <w:t xml:space="preserve"> </w:t>
      </w:r>
      <w:r>
        <w:t xml:space="preserve">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 section 2.6.x Registration and decommissioning of a WIS2 Node (TODO CROSSREF).</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71"/>
      </w:r>
      <w:r>
        <w:rPr>
          <w:rStyle w:val="FootnoteReference"/>
        </w:rPr>
        <w:footnoteReference w:id="172"/>
      </w:r>
      <w:r>
        <w:t xml:space="preserve"> </w:t>
      </w:r>
      <w:r>
        <w:t xml:space="preserve">applied at the WIS2 Node.</w:t>
      </w:r>
    </w:p>
    <w:p>
      <w:pPr>
        <w:numPr>
          <w:ilvl w:val="0"/>
          <w:numId w:val="1063"/>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3"/>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w:t>
      </w:r>
    </w:p>
    <w:p>
      <w:pPr>
        <w:pStyle w:val="BodyText"/>
      </w:pPr>
      <w:r>
        <w:t xml:space="preserve">The responsible organisation must publish discovery metadata for each dataset. Note that:</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t xml:space="preserve">Manual on WIS (WMO-No. 1060), Volume II, Appendix F (TODO CROSSREF).</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74"/>
      </w:r>
      <w:r>
        <w:t xml:space="preserve">.</w:t>
      </w:r>
    </w:p>
    <w:p>
      <w:pPr>
        <w:pStyle w:val="BodyText"/>
      </w:pPr>
      <w:r>
        <w:t xml:space="preserve">For more details on the WIS2 Notification Message, see the Manual on WIS</w:t>
      </w:r>
      <w:r>
        <w:t xml:space="preserve"> </w:t>
      </w:r>
      <w:r>
        <w:t xml:space="preserve">(WMO-No. 1060), Volume II, Appendix F (TODO CROSSREF).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 (TODO CROSSREF).</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75" w:name="Xac9fa0d706a584b25e8ed536b901df2da5c4019"/>
      <w:r>
        <w:t xml:space="preserve">Gateway implementation</w:t>
      </w:r>
      <w:bookmarkEnd w:id="175"/>
    </w:p>
    <w:p>
      <w:pPr>
        <w:pStyle w:val="FirstParagraph"/>
      </w:pPr>
      <w:r>
        <w:t xml:space="preserve">The relationships between the Gateway component, WIS2 and SWIM are</w:t>
      </w:r>
      <w:r>
        <w:t xml:space="preserve"> </w:t>
      </w:r>
      <w:r>
        <w:t xml:space="preserve">illustrated in the figure below</w:t>
      </w:r>
      <w:r>
        <w:rPr>
          <w:rStyle w:val="FootnoteReference"/>
        </w:rPr>
        <w:footnoteReference w:id="176"/>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7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78"/>
      </w:r>
      <w:r>
        <w:t xml:space="preserve">.</w:t>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 previously;</w:t>
      </w:r>
    </w:p>
    <w:p>
      <w:pPr>
        <w:numPr>
          <w:ilvl w:val="1"/>
          <w:numId w:val="1067"/>
        </w:numPr>
      </w:pPr>
      <w:r>
        <w:t xml:space="preserve">download the data resource from the WIS2</w:t>
      </w:r>
      <w:r>
        <w:t xml:space="preserve"> </w:t>
      </w:r>
      <w:r>
        <w:t xml:space="preserve">Node</w:t>
      </w:r>
      <w:r>
        <w:rPr>
          <w:rStyle w:val="FootnoteReference"/>
        </w:rPr>
        <w:footnoteReference w:id="179"/>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0"/>
      </w:r>
      <w:r>
        <w:t xml:space="preserve">, and embedding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2" w:name="X8ab0215de29d7e2030f4813a9a0181844a790ad"/>
      <w:r>
        <w:t xml:space="preserve">SWIM service</w:t>
      </w:r>
      <w:bookmarkEnd w:id="182"/>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8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85" w:name="X727e67723c58a063171b532754bb63b85d88703"/>
      <w:r>
        <w:t xml:space="preserve">The Ocean Data and Information System (ODIS)</w:t>
      </w:r>
      <w:bookmarkEnd w:id="185"/>
    </w:p>
    <w:p>
      <w:pPr>
        <w:pStyle w:val="FirstParagraph"/>
      </w:pPr>
      <w:r>
        <w:t xml:space="preserve">TODO: Tom</w:t>
      </w:r>
    </w:p>
    <w:p>
      <w:pPr>
        <w:pStyle w:val="Heading1"/>
      </w:pPr>
      <w:bookmarkStart w:id="186" w:name="X50d015487b8112b45846fafc9cb4c294f9c1543"/>
      <w:r>
        <w:t xml:space="preserve">PART III</w:t>
      </w:r>
      <w:bookmarkEnd w:id="186"/>
    </w:p>
    <w:p>
      <w:pPr>
        <w:pStyle w:val="Heading2"/>
      </w:pPr>
      <w:bookmarkStart w:id="187" w:name="Xf663b84f8b08bef805756b15e1319003d76fa52"/>
      <w:r>
        <w:t xml:space="preserve">Information management</w:t>
      </w:r>
      <w:bookmarkEnd w:id="187"/>
    </w:p>
    <w:p>
      <w:pPr>
        <w:pStyle w:val="Heading3"/>
      </w:pPr>
      <w:bookmarkStart w:id="188" w:name="X1ea7cbd003469405f98a7976943980a7b23bcee"/>
      <w:r>
        <w:t xml:space="preserve">Introduction</w:t>
      </w:r>
      <w:bookmarkEnd w:id="188"/>
    </w:p>
    <w:p>
      <w:pPr>
        <w:pStyle w:val="Heading4"/>
      </w:pPr>
      <w:bookmarkStart w:id="189" w:name="Xca774f64942a7f7563fb94bb05ba7dab3a26d69"/>
      <w:r>
        <w:t xml:space="preserve">Background</w:t>
      </w:r>
      <w:bookmarkEnd w:id="18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90" w:name="Xc8210088bf4711be4456d26326179eb58b8f5b4"/>
      <w:r>
        <w:t xml:space="preserve">Scope</w:t>
      </w:r>
      <w:bookmarkEnd w:id="19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8"/>
        </w:numPr>
      </w:pPr>
      <w:r>
        <w:t xml:space="preserve">Planning, information creation and acquisition. Creation of information using internal and external data sources and the acquisition of information from various sources.</w:t>
      </w:r>
    </w:p>
    <w:p>
      <w:pPr>
        <w:numPr>
          <w:ilvl w:val="0"/>
          <w:numId w:val="1068"/>
        </w:numPr>
      </w:pPr>
      <w:r>
        <w:t xml:space="preserve">Representation and metadata. Standards to represent metadata, data and information are of primary importance to enable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Publication of guidance material on the use of published information, including on the limitations and suitability of the information and any licensing terms.</w:t>
      </w:r>
    </w:p>
    <w:p>
      <w:pPr>
        <w:numPr>
          <w:ilvl w:val="0"/>
          <w:numId w:val="1068"/>
        </w:numPr>
      </w:pPr>
      <w:r>
        <w:t xml:space="preserve">Storage, archival and disposal. Policies and procedures for business continuity and disaster recovery, as well as retention and disposal.</w:t>
      </w:r>
    </w:p>
    <w:p>
      <w:pPr>
        <w:pStyle w:val="Heading4"/>
      </w:pPr>
      <w:bookmarkStart w:id="191" w:name="Xc4a1ede03be40f12a45db53a22503ecdd576f28"/>
      <w:r>
        <w:t xml:space="preserve">Intended audience</w:t>
      </w:r>
      <w:bookmarkEnd w:id="19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92" w:name="Xc94de5166ce838056d764e2813060631f45545e"/>
      <w:r>
        <w:t xml:space="preserve">Principles of information management</w:t>
      </w:r>
      <w:bookmarkEnd w:id="19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93" w:name="Xced3bf5985e11d5bf9ea318c067f81c51dd90bb"/>
      <w:r>
        <w:t xml:space="preserve">Principle 1: Information is a valued asset</w:t>
      </w:r>
      <w:bookmarkEnd w:id="193"/>
    </w:p>
    <w:p>
      <w:pPr>
        <w:numPr>
          <w:ilvl w:val="0"/>
          <w:numId w:val="1070"/>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0"/>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94" w:name="X2b4305e580dff0ab586fbedd336c10ae1a05bc9"/>
      <w:r>
        <w:t xml:space="preserve">Principle 2: Information must be managed</w:t>
      </w:r>
      <w:bookmarkEnd w:id="194"/>
    </w:p>
    <w:p>
      <w:pPr>
        <w:numPr>
          <w:ilvl w:val="0"/>
          <w:numId w:val="1071"/>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95" w:name="X24cab0a09ccdca3e752f0ecd6d0ff5456c284f3"/>
      <w:r>
        <w:t xml:space="preserve">Principle 3: Information must be fit for purpose</w:t>
      </w:r>
      <w:bookmarkEnd w:id="195"/>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processes, procedures, and documentation are adequate.</w:t>
      </w:r>
    </w:p>
    <w:p>
      <w:pPr>
        <w:numPr>
          <w:ilvl w:val="0"/>
          <w:numId w:val="1072"/>
        </w:numPr>
      </w:pPr>
      <w:r>
        <w:t xml:space="preserve">Processes should be consistent with the general provisions and principles of quality management as described in the WMO Technical Regulations (WMO-No. 49).</w:t>
      </w:r>
    </w:p>
    <w:p>
      <w:pPr>
        <w:pStyle w:val="Heading4"/>
      </w:pPr>
      <w:bookmarkStart w:id="196" w:name="X6a00b6457f0c1f3361b337f694a28b174d7bdda"/>
      <w:r>
        <w:t xml:space="preserve">Principle 4: Information must be standardized and interoperable</w:t>
      </w:r>
      <w:bookmarkEnd w:id="196"/>
    </w:p>
    <w:p>
      <w:pPr>
        <w:numPr>
          <w:ilvl w:val="0"/>
          <w:numId w:val="1073"/>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p>
      <w:pPr>
        <w:pStyle w:val="Heading4"/>
      </w:pPr>
      <w:bookmarkStart w:id="197" w:name="X7a72b7a348aceb0a6c3eeef09fd9dc18fc224a0"/>
      <w:r>
        <w:t xml:space="preserve">Principle 5: Information must be well documented</w:t>
      </w:r>
      <w:bookmarkEnd w:id="197"/>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98" w:name="Xf201bbec5eea25bb7367115a98b8129aa22d6b9"/>
      <w:r>
        <w:t xml:space="preserve">Principle 6: Information must be discoverable, accessible and retrievable</w:t>
      </w:r>
      <w:bookmarkEnd w:id="198"/>
    </w:p>
    <w:p>
      <w:pPr>
        <w:numPr>
          <w:ilvl w:val="0"/>
          <w:numId w:val="1075"/>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p>
      <w:pPr>
        <w:pStyle w:val="Heading4"/>
      </w:pPr>
      <w:bookmarkStart w:id="199" w:name="Xad9a69e02a46804a1cafca89aee5aabe4560385"/>
      <w:r>
        <w:t xml:space="preserve">Principle 7: Information should be reusable</w:t>
      </w:r>
      <w:bookmarkEnd w:id="199"/>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00"/>
      </w:r>
    </w:p>
    <w:p>
      <w:pPr>
        <w:pStyle w:val="Heading4"/>
      </w:pPr>
      <w:bookmarkStart w:id="202" w:name="X985b53b52432ebd6bb65899337d26b4ccfeefb9"/>
      <w:r>
        <w:t xml:space="preserve">Principle 8: Information management is subject to accountability and governance.</w:t>
      </w:r>
      <w:bookmarkEnd w:id="202"/>
    </w:p>
    <w:p>
      <w:pPr>
        <w:numPr>
          <w:ilvl w:val="0"/>
          <w:numId w:val="1077"/>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7"/>
        </w:numPr>
      </w:pPr>
      <w:r>
        <w:t xml:space="preserve">information management practices, procedures and protocols, including well-defined roles, responsibilities and restrictions on managing the information;</w:t>
      </w:r>
    </w:p>
    <w:p>
      <w:pPr>
        <w:numPr>
          <w:ilvl w:val="0"/>
          <w:numId w:val="1077"/>
        </w:numPr>
      </w:pPr>
      <w:r>
        <w:t xml:space="preserve">definition and enforcement of appropriate retention policy, taking into account stakeholder needs and variations in value over the information lifecycle;</w:t>
      </w:r>
    </w:p>
    <w:p>
      <w:pPr>
        <w:numPr>
          <w:ilvl w:val="0"/>
          <w:numId w:val="1077"/>
        </w:numPr>
      </w:pPr>
      <w:r>
        <w:t xml:space="preserve">licensing and defining and enforcing any access restrictions.</w:t>
      </w:r>
    </w:p>
    <w:p>
      <w:pPr>
        <w:numPr>
          <w:ilvl w:val="0"/>
          <w:numId w:val="1077"/>
        </w:numPr>
      </w:pPr>
      <w:r>
        <w:t xml:space="preserve">The designated owner should have budget and decision-making authority about preservation and data usage, including passing ownership to another authority.</w:t>
      </w:r>
    </w:p>
    <w:p>
      <w:pPr>
        <w:pStyle w:val="Heading3"/>
      </w:pPr>
      <w:bookmarkStart w:id="203" w:name="X78a249a2cf11ac86cd7d6d498271963ba9dd080"/>
      <w:r>
        <w:t xml:space="preserve">The information management lifecycle</w:t>
      </w:r>
      <w:bookmarkEnd w:id="203"/>
    </w:p>
    <w:p>
      <w:pPr>
        <w:pStyle w:val="Heading4"/>
      </w:pPr>
      <w:bookmarkStart w:id="204" w:name="X43f9398da9c2eb974194c1e60a2fdc80e1bfc87"/>
      <w:r>
        <w:t xml:space="preserve">Overview</w:t>
      </w:r>
      <w:bookmarkEnd w:id="20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8"/>
        </w:numPr>
      </w:pPr>
      <w:r>
        <w:t xml:space="preserve">Planning, creation and acquisition</w:t>
      </w:r>
    </w:p>
    <w:p>
      <w:pPr>
        <w:numPr>
          <w:ilvl w:val="0"/>
          <w:numId w:val="1078"/>
        </w:numPr>
      </w:pPr>
      <w:r>
        <w:t xml:space="preserve">Representation and metadata</w:t>
      </w:r>
    </w:p>
    <w:p>
      <w:pPr>
        <w:numPr>
          <w:ilvl w:val="0"/>
          <w:numId w:val="1078"/>
        </w:numPr>
      </w:pPr>
      <w:r>
        <w:t xml:space="preserve">Publication and exchange</w:t>
      </w:r>
    </w:p>
    <w:p>
      <w:pPr>
        <w:numPr>
          <w:ilvl w:val="0"/>
          <w:numId w:val="1078"/>
        </w:numPr>
      </w:pPr>
      <w:r>
        <w:t xml:space="preserve">Usage and communication</w:t>
      </w:r>
    </w:p>
    <w:p>
      <w:pPr>
        <w:numPr>
          <w:ilvl w:val="0"/>
          <w:numId w:val="1078"/>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05" w:name="Xb3f0671d8925fa193cc843a6c5ac3eb64409810"/>
      <w:r>
        <w:t xml:space="preserve">Overarching requirements</w:t>
      </w:r>
      <w:bookmarkEnd w:id="205"/>
    </w:p>
    <w:p>
      <w:pPr>
        <w:pStyle w:val="Heading5"/>
      </w:pPr>
      <w:bookmarkStart w:id="206" w:name="X46bef04a53b25a1a07899f714aadd7ab888e2c5"/>
      <w:r>
        <w:t xml:space="preserve">Governance</w:t>
      </w:r>
      <w:bookmarkEnd w:id="206"/>
    </w:p>
    <w:p>
      <w:pPr>
        <w:numPr>
          <w:ilvl w:val="0"/>
          <w:numId w:val="1079"/>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9"/>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9"/>
        </w:numPr>
      </w:pPr>
      <w:r>
        <w:t xml:space="preserve">WMO centres should establish a board or leadership group to develop and regularly review such a governance structure and ensure compliance with its requirements.</w:t>
      </w:r>
    </w:p>
    <w:p>
      <w:pPr>
        <w:pStyle w:val="Heading5"/>
      </w:pPr>
      <w:bookmarkStart w:id="207" w:name="X983d5959bc8486b1ce731c329c055fcbbc55a03"/>
      <w:r>
        <w:t xml:space="preserve">Documentation</w:t>
      </w:r>
      <w:bookmarkEnd w:id="207"/>
    </w:p>
    <w:p>
      <w:pPr>
        <w:numPr>
          <w:ilvl w:val="0"/>
          <w:numId w:val="1080"/>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0"/>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08" w:name="Xc1748e8f7038b0e2d79f80c2501fb09e121bdc5"/>
      <w:r>
        <w:t xml:space="preserve">Aspects of the information management lifecycle</w:t>
      </w:r>
      <w:bookmarkEnd w:id="208"/>
    </w:p>
    <w:p>
      <w:pPr>
        <w:pStyle w:val="Heading5"/>
      </w:pPr>
      <w:bookmarkStart w:id="209" w:name="Xb3fb7be77fcbfe5935f83c52aa59c7c4f68f9ed"/>
      <w:r>
        <w:t xml:space="preserve">Planning, information creation and acquisition</w:t>
      </w:r>
      <w:bookmarkEnd w:id="20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1"/>
        </w:numPr>
      </w:pPr>
      <w:r>
        <w:t xml:space="preserve">Why the information is required</w:t>
      </w:r>
    </w:p>
    <w:p>
      <w:pPr>
        <w:numPr>
          <w:ilvl w:val="0"/>
          <w:numId w:val="1081"/>
        </w:numPr>
      </w:pPr>
      <w:r>
        <w:t xml:space="preserve">How it will be collected or created</w:t>
      </w:r>
    </w:p>
    <w:p>
      <w:pPr>
        <w:numPr>
          <w:ilvl w:val="0"/>
          <w:numId w:val="1081"/>
        </w:numPr>
      </w:pPr>
      <w:r>
        <w:t xml:space="preserve">How it will be stored</w:t>
      </w:r>
    </w:p>
    <w:p>
      <w:pPr>
        <w:numPr>
          <w:ilvl w:val="0"/>
          <w:numId w:val="1081"/>
        </w:numPr>
      </w:pPr>
      <w:r>
        <w:t xml:space="preserve">Whether it will be exchanged with other users and under what policy</w:t>
      </w:r>
    </w:p>
    <w:p>
      <w:pPr>
        <w:numPr>
          <w:ilvl w:val="0"/>
          <w:numId w:val="1081"/>
        </w:numPr>
      </w:pPr>
      <w:r>
        <w:t xml:space="preserve">Where it should be submitted for long term archival</w:t>
      </w:r>
    </w:p>
    <w:p>
      <w:pPr>
        <w:numPr>
          <w:ilvl w:val="0"/>
          <w:numId w:val="1081"/>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10" w:name="X0fb41f5d69e3c0e08742406b46184bce7272db1"/>
      <w:r>
        <w:t xml:space="preserve">Representation and metadata</w:t>
      </w:r>
      <w:bookmarkEnd w:id="21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11" w:name="X9141f665603210a069fd950d3a70a10fce81a4b"/>
      <w:r>
        <w:t xml:space="preserve">Publication and exchange of information</w:t>
      </w:r>
      <w:bookmarkEnd w:id="21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212">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13">
        <w:r>
          <w:rPr>
            <w:rStyle w:val="Hyperlink"/>
          </w:rPr>
          <w:t xml:space="preserve">https://community.wmo.int/news/operational-newsletter</w:t>
        </w:r>
      </w:hyperlink>
    </w:p>
    <w:p>
      <w:pPr>
        <w:pStyle w:val="Heading5"/>
      </w:pPr>
      <w:bookmarkStart w:id="214" w:name="X3943a915dab0acd14a551cc23fe1ab4fc5b6d08"/>
      <w:r>
        <w:t xml:space="preserve">Usage and communication</w:t>
      </w:r>
      <w:bookmarkEnd w:id="214"/>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2"/>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82"/>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15" w:name="Xc49f3d2ac2c1a4985f413e4e33375d67ca4edae"/>
      <w:r>
        <w:t xml:space="preserve">Storage, archival and disposal</w:t>
      </w:r>
      <w:bookmarkEnd w:id="215"/>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16" w:name="Xcde52b855ebe88b41febf339572171c6eff9f00"/>
      <w:r>
        <w:t xml:space="preserve">Other considerations</w:t>
      </w:r>
      <w:bookmarkEnd w:id="216"/>
    </w:p>
    <w:p>
      <w:pPr>
        <w:pStyle w:val="Heading4"/>
      </w:pPr>
      <w:bookmarkStart w:id="217" w:name="Xaaae0965b9c1bfef7ff2e90d054b0b5d3ba2f74"/>
      <w:r>
        <w:t xml:space="preserve">Technology and technology migration</w:t>
      </w:r>
      <w:bookmarkEnd w:id="217"/>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218" w:name="X4be09f68f287a055be5a28deacf8bb1b4bf1904"/>
      <w:r>
        <w:t xml:space="preserve">Information security</w:t>
      </w:r>
      <w:bookmarkEnd w:id="218"/>
    </w:p>
    <w:p>
      <w:pPr>
        <w:pStyle w:val="FirstParagraph"/>
      </w:pPr>
      <w:r>
        <w:t xml:space="preserve">Further information on information security and best practices can be found in the WMO Guide to Information Technology Security (WMO-No. 1115).</w:t>
      </w:r>
    </w:p>
    <w:p>
      <w:pPr>
        <w:pStyle w:val="Heading1"/>
      </w:pPr>
      <w:bookmarkStart w:id="219" w:name="X21cd127bd20f258a1e62ea9ca51972219f0b892"/>
      <w:r>
        <w:t xml:space="preserve">PART IV</w:t>
      </w:r>
      <w:bookmarkEnd w:id="219"/>
    </w:p>
    <w:p>
      <w:pPr>
        <w:pStyle w:val="Heading2"/>
      </w:pPr>
      <w:bookmarkStart w:id="220" w:name="X450d2800ceddee769150bb96f748c14ec1a5fef"/>
      <w:r>
        <w:t xml:space="preserve">Security</w:t>
      </w:r>
      <w:bookmarkEnd w:id="220"/>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3"/>
        </w:numPr>
      </w:pPr>
      <w:r>
        <w:rPr>
          <w:i/>
        </w:rPr>
        <w:t xml:space="preserve">Guide to Information Technology Security</w:t>
      </w:r>
      <w:r>
        <w:t xml:space="preserve"> </w:t>
      </w:r>
      <w:r>
        <w:t xml:space="preserve">(WMO-No. 1115)</w:t>
      </w:r>
      <w:r>
        <w:rPr>
          <w:rStyle w:val="FootnoteReference"/>
        </w:rPr>
        <w:footnoteReference w:id="221"/>
      </w:r>
    </w:p>
    <w:p>
      <w:pPr>
        <w:numPr>
          <w:ilvl w:val="0"/>
          <w:numId w:val="1083"/>
        </w:numPr>
      </w:pPr>
      <w:r>
        <w:rPr>
          <w:i/>
        </w:rPr>
        <w:t xml:space="preserve">Guide to the WMO Information System</w:t>
      </w:r>
      <w:r>
        <w:t xml:space="preserve"> </w:t>
      </w:r>
      <w:r>
        <w:t xml:space="preserve">(WMO-No. 1061), Vol I</w:t>
      </w:r>
      <w:r>
        <w:rPr>
          <w:rStyle w:val="FootnoteReference"/>
        </w:rPr>
        <w:footnoteReference w:id="223"/>
      </w:r>
      <w:r>
        <w:t xml:space="preserve">, Appendix E - Annex To Paragraph 7.8 (ICT Service Incident Management), and Appendix F - WIS IT Security Incident Response Process</w:t>
      </w:r>
    </w:p>
    <w:p>
      <w:pPr>
        <w:pStyle w:val="Heading1"/>
      </w:pPr>
      <w:bookmarkStart w:id="225" w:name="X3305ea5abe6b1fb2cabf7a817df7b030491936b"/>
      <w:r>
        <w:t xml:space="preserve">PART V</w:t>
      </w:r>
      <w:bookmarkEnd w:id="225"/>
    </w:p>
    <w:p>
      <w:pPr>
        <w:pStyle w:val="Heading2"/>
      </w:pPr>
      <w:bookmarkStart w:id="226" w:name="Xb01b72941e106f40026e8313cebe8325cd24f8c"/>
      <w:r>
        <w:t xml:space="preserve">Competencies</w:t>
      </w:r>
      <w:bookmarkEnd w:id="226"/>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27"/>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41">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RFC 7946 - The GeoJSON Format</w:t>
      </w:r>
      <w:r>
        <w:t xml:space="preserve"> </w:t>
      </w:r>
      <w:hyperlink r:id="rId49">
        <w:r>
          <w:rPr>
            <w:rStyle w:val="Hyperlink"/>
          </w:rPr>
          <w:t xml:space="preserve">https://www.rfc-editor.org/rfc/rfc7946</w:t>
        </w:r>
      </w:hyperlink>
    </w:p>
  </w:footnote>
  <w:footnote w:id="50">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1">
    <w:p>
      <w:pPr>
        <w:pStyle w:val="FootnoteText"/>
      </w:pPr>
      <w:r>
        <w:rPr>
          <w:rStyle w:val="FootnoteReference"/>
        </w:rPr>
        <w:footnoteRef/>
      </w:r>
      <w:r>
        <w:t xml:space="preserve"> </w:t>
      </w:r>
      <w:r>
        <w:t xml:space="preserve">OGC API - Records - Part 1: Core</w:t>
      </w:r>
      <w:r>
        <w:t xml:space="preserve"> </w:t>
      </w:r>
      <w:hyperlink r:id="rId52">
        <w:r>
          <w:rPr>
            <w:rStyle w:val="Hyperlink"/>
          </w:rPr>
          <w:t xml:space="preserve">https://docs.ogc.org/DRAFTS/20-004.html</w:t>
        </w:r>
      </w:hyperlink>
    </w:p>
  </w:footnote>
  <w:footnote w:id="53">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5">
    <w:p>
      <w:pPr>
        <w:pStyle w:val="FootnoteText"/>
      </w:pPr>
      <w:r>
        <w:rPr>
          <w:rStyle w:val="FootnoteReference"/>
        </w:rPr>
        <w:footnoteRef/>
      </w:r>
      <w:r>
        <w:t xml:space="preserve"> </w:t>
      </w:r>
      <w:r>
        <w:t xml:space="preserve">Architecture of the World Wide Web</w:t>
      </w:r>
      <w:r>
        <w:t xml:space="preserve"> </w:t>
      </w:r>
      <w:hyperlink r:id="rId56">
        <w:r>
          <w:rPr>
            <w:rStyle w:val="Hyperlink"/>
          </w:rPr>
          <w:t xml:space="preserve">https://www.w3.org/TR/webarch/</w:t>
        </w:r>
      </w:hyperlink>
    </w:p>
  </w:footnote>
  <w:footnote w:id="57">
    <w:p>
      <w:pPr>
        <w:pStyle w:val="FootnoteText"/>
      </w:pPr>
      <w:r>
        <w:rPr>
          <w:rStyle w:val="FootnoteReference"/>
        </w:rPr>
        <w:footnoteRef/>
      </w:r>
      <w:r>
        <w:t xml:space="preserve"> </w:t>
      </w:r>
      <w:r>
        <w:t xml:space="preserve">RFC3986 Uniform Resource Identifier (URI) - Generic Syntax</w:t>
      </w:r>
      <w:r>
        <w:t xml:space="preserve"> </w:t>
      </w:r>
      <w:hyperlink r:id="rId58">
        <w:r>
          <w:rPr>
            <w:rStyle w:val="Hyperlink"/>
          </w:rPr>
          <w:t xml:space="preserve">https://www.rfc-editor.org/rfc/rfc3986</w:t>
        </w:r>
      </w:hyperlink>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0">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3">
    <w:p>
      <w:pPr>
        <w:pStyle w:val="FootnoteText"/>
      </w:pPr>
      <w:r>
        <w:rPr>
          <w:rStyle w:val="FootnoteReference"/>
        </w:rPr>
        <w:footnoteRef/>
      </w:r>
      <w:r>
        <w:t xml:space="preserve"> </w:t>
      </w:r>
      <w:r>
        <w:t xml:space="preserve">Spatio Temporal Asset Catalogue (STAC)</w:t>
      </w:r>
      <w:r>
        <w:t xml:space="preserve"> </w:t>
      </w:r>
      <w:hyperlink r:id="rId64">
        <w:r>
          <w:rPr>
            <w:rStyle w:val="Hyperlink"/>
          </w:rPr>
          <w:t xml:space="preserve">https://stacspec.org/en</w:t>
        </w:r>
      </w:hyperlink>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 end of</w:t>
      </w:r>
      <w:r>
        <w:t xml:space="preserve"> </w:t>
      </w:r>
      <w:hyperlink r:id="rId67">
        <w:r>
          <w:rPr>
            <w:rStyle w:val="Hyperlink"/>
          </w:rPr>
          <w:t xml:space="preserve">https://www.eumetsat.int/formats</w:t>
        </w:r>
      </w:hyperlink>
    </w:p>
  </w:footnote>
  <w:footnote w:id="69">
    <w:p>
      <w:pPr>
        <w:pStyle w:val="FootnoteText"/>
      </w:pPr>
      <w:r>
        <w:rPr>
          <w:rStyle w:val="FootnoteReference"/>
        </w:rPr>
        <w:footnoteRef/>
      </w:r>
      <w:r>
        <w:t xml:space="preserve"> </w:t>
      </w:r>
      <w:r>
        <w:t xml:space="preserve">OpenAPI Specification</w:t>
      </w:r>
      <w:r>
        <w:t xml:space="preserve"> </w:t>
      </w:r>
      <w:hyperlink r:id="rId70">
        <w:r>
          <w:rPr>
            <w:rStyle w:val="Hyperlink"/>
          </w:rPr>
          <w:t xml:space="preserve">https://spec.openapis.org/oas/v3.1.0</w:t>
        </w:r>
      </w:hyperlink>
    </w:p>
  </w:footnote>
  <w:footnote w:id="71">
    <w:p>
      <w:pPr>
        <w:pStyle w:val="FootnoteText"/>
      </w:pPr>
      <w:r>
        <w:rPr>
          <w:rStyle w:val="FootnoteReference"/>
        </w:rPr>
        <w:footnoteRef/>
      </w:r>
      <w:r>
        <w:t xml:space="preserve"> </w:t>
      </w:r>
      <w:r>
        <w:t xml:space="preserve">Open Geospatial Consortium OGC API</w:t>
      </w:r>
      <w:r>
        <w:t xml:space="preserve"> </w:t>
      </w:r>
      <w:hyperlink r:id="rId72">
        <w:r>
          <w:rPr>
            <w:rStyle w:val="Hyperlink"/>
          </w:rPr>
          <w:t xml:space="preserve">https://ogcapi.ogc.org/</w:t>
        </w:r>
      </w:hyperlink>
    </w:p>
  </w:footnote>
  <w:footnote w:id="73">
    <w:p>
      <w:pPr>
        <w:pStyle w:val="FootnoteText"/>
      </w:pPr>
      <w:r>
        <w:rPr>
          <w:rStyle w:val="FootnoteReference"/>
        </w:rPr>
        <w:footnoteRef/>
      </w:r>
      <w:r>
        <w:t xml:space="preserve"> </w:t>
      </w:r>
      <w:r>
        <w:t xml:space="preserve">OGC API - Environmental Data Retrieval (EDR)</w:t>
      </w:r>
      <w:r>
        <w:t xml:space="preserve"> </w:t>
      </w:r>
      <w:hyperlink r:id="rId74">
        <w:r>
          <w:rPr>
            <w:rStyle w:val="Hyperlink"/>
          </w:rPr>
          <w:t xml:space="preserve">https://ogcapi.ogc.org/edr</w:t>
        </w:r>
      </w:hyperlink>
    </w:p>
  </w:footnote>
  <w:footnote w:id="75">
    <w:p>
      <w:pPr>
        <w:pStyle w:val="FootnoteText"/>
      </w:pPr>
      <w:r>
        <w:rPr>
          <w:rStyle w:val="FootnoteReference"/>
        </w:rPr>
        <w:footnoteRef/>
      </w:r>
      <w:r>
        <w:t xml:space="preserve"> </w:t>
      </w:r>
      <w:r>
        <w:t xml:space="preserve">OGC API - Features</w:t>
      </w:r>
      <w:r>
        <w:t xml:space="preserve"> </w:t>
      </w:r>
      <w:hyperlink r:id="rId76">
        <w:r>
          <w:rPr>
            <w:rStyle w:val="Hyperlink"/>
          </w:rPr>
          <w:t xml:space="preserve">https://ogcapi.ogc.org/features</w:t>
        </w:r>
      </w:hyperlink>
    </w:p>
  </w:footnote>
  <w:footnote w:id="77">
    <w:p>
      <w:pPr>
        <w:pStyle w:val="FootnoteText"/>
      </w:pPr>
      <w:r>
        <w:rPr>
          <w:rStyle w:val="FootnoteReference"/>
        </w:rPr>
        <w:footnoteRef/>
      </w:r>
      <w:r>
        <w:t xml:space="preserve"> </w:t>
      </w:r>
      <w:r>
        <w:t xml:space="preserve">OGC API - Coverages</w:t>
      </w:r>
      <w:r>
        <w:t xml:space="preserve"> </w:t>
      </w:r>
      <w:hyperlink r:id="rId78">
        <w:r>
          <w:rPr>
            <w:rStyle w:val="Hyperlink"/>
          </w:rPr>
          <w:t xml:space="preserve">https://ogcapi.ogc.org/coverages</w:t>
        </w:r>
      </w:hyperlink>
    </w:p>
  </w:footnote>
  <w:footnote w:id="80">
    <w:p>
      <w:pPr>
        <w:pStyle w:val="FootnoteText"/>
      </w:pPr>
      <w:r>
        <w:rPr>
          <w:rStyle w:val="FootnoteReference"/>
        </w:rPr>
        <w:footnoteRef/>
      </w:r>
      <w:r>
        <w:t xml:space="preserve"> </w:t>
      </w:r>
      <w:r>
        <w:t xml:space="preserve">WMO World Weather Watch</w:t>
      </w:r>
      <w:r>
        <w:t xml:space="preserve"> </w:t>
      </w:r>
      <w:hyperlink r:id="rId81">
        <w:r>
          <w:rPr>
            <w:rStyle w:val="Hyperlink"/>
          </w:rPr>
          <w:t xml:space="preserve">https://wmo.int/world-weather-watch</w:t>
        </w:r>
      </w:hyperlink>
    </w:p>
  </w:footnote>
  <w:footnote w:id="82">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 section 2.4.2. Global Broker (TODO CROSSREF)).</w:t>
      </w:r>
    </w:p>
  </w:footnote>
  <w:footnote w:id="84">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85">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0">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2">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94">
    <w:p>
      <w:pPr>
        <w:pStyle w:val="FootnoteText"/>
      </w:pPr>
      <w:r>
        <w:rPr>
          <w:rStyle w:val="FootnoteReference"/>
        </w:rPr>
        <w:footnoteRef/>
      </w:r>
      <w:r>
        <w:t xml:space="preserve"> </w:t>
      </w:r>
      <w:r>
        <w:t xml:space="preserve">A specific API key should be used for data publication via WIS2 so that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w:t>
      </w:r>
    </w:p>
  </w:footnote>
  <w:footnote w:id="96">
    <w:p>
      <w:pPr>
        <w:pStyle w:val="FootnoteText"/>
      </w:pPr>
      <w:r>
        <w:rPr>
          <w:rStyle w:val="FootnoteReference"/>
        </w:rPr>
        <w:footnoteRef/>
      </w:r>
      <w:r>
        <w:t xml:space="preserve"> </w:t>
      </w:r>
      <w:r>
        <w:t xml:space="preserve">Working with presigned URLs on Amazon S3</w:t>
      </w:r>
      <w:r>
        <w:t xml:space="preserve"> </w:t>
      </w:r>
      <w:hyperlink r:id="rId97">
        <w:r>
          <w:rPr>
            <w:rStyle w:val="Hyperlink"/>
          </w:rPr>
          <w:t xml:space="preserve">https://docs.aws.amazon.com/AmazonS3/latest/userguide/using-presigned-url.html</w:t>
        </w:r>
      </w:hyperlink>
    </w:p>
  </w:footnote>
  <w:footnote w:id="99">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23">
    <w:p>
      <w:pPr>
        <w:pStyle w:val="FootnoteText"/>
      </w:pPr>
      <w:r>
        <w:rPr>
          <w:rStyle w:val="FootnoteReference"/>
        </w:rPr>
        <w:footnoteRef/>
      </w:r>
      <w:r>
        <w:t xml:space="preserve"> </w:t>
      </w:r>
      <w:r>
        <w:t xml:space="preserve">IANA Top Level Domains</w:t>
      </w:r>
      <w:r>
        <w:t xml:space="preserve"> </w:t>
      </w:r>
      <w:hyperlink r:id="rId124">
        <w:r>
          <w:rPr>
            <w:rStyle w:val="Hyperlink"/>
          </w:rPr>
          <w:t xml:space="preserve">https://data.iana.org/TLD</w:t>
        </w:r>
      </w:hyperlink>
    </w:p>
  </w:footnote>
  <w:footnote w:id="126">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28">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29">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0">
    <w:p>
      <w:pPr>
        <w:pStyle w:val="FootnoteText"/>
      </w:pPr>
      <w:r>
        <w:rPr>
          <w:rStyle w:val="FootnoteReference"/>
        </w:rPr>
        <w:footnoteRef/>
      </w:r>
      <w:r>
        <w:t xml:space="preserve"> </w:t>
      </w:r>
      <w:r>
        <w:t xml:space="preserve">In some cases, WIS2 Nodes will need to serve Core data directly (see section 1.3.x Considerations when providing Core data in WIS2 (TODO CROSSREF)). In these situations, the WIS2 Node data server must remain publicly accessible.</w:t>
      </w:r>
    </w:p>
  </w:footnote>
  <w:footnote w:id="131">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141">
    <w:p>
      <w:pPr>
        <w:pStyle w:val="FootnoteText"/>
      </w:pPr>
      <w:r>
        <w:rPr>
          <w:rStyle w:val="FootnoteReference"/>
        </w:rPr>
        <w:footnoteRef/>
      </w:r>
      <w:r>
        <w:t xml:space="preserve"> </w:t>
      </w:r>
      <w:r>
        <w:t xml:space="preserve">OpenMetrics is proposed as a draft standard within IETF.</w:t>
      </w:r>
    </w:p>
  </w:footnote>
  <w:footnote w:id="142">
    <w:p>
      <w:pPr>
        <w:pStyle w:val="FootnoteText"/>
      </w:pPr>
      <w:r>
        <w:rPr>
          <w:rStyle w:val="FootnoteReference"/>
        </w:rPr>
        <w:footnoteRef/>
      </w:r>
      <w:r>
        <w:t xml:space="preserve"> </w:t>
      </w:r>
      <w:hyperlink r:id="rId143">
        <w:r>
          <w:rPr>
            <w:rStyle w:val="Hyperlink"/>
          </w:rPr>
          <w:t xml:space="preserve">https://openmetrics.io</w:t>
        </w:r>
      </w:hyperlink>
    </w:p>
  </w:footnote>
  <w:footnote w:id="144">
    <w:p>
      <w:pPr>
        <w:pStyle w:val="FootnoteText"/>
      </w:pPr>
      <w:r>
        <w:rPr>
          <w:rStyle w:val="FootnoteReference"/>
        </w:rPr>
        <w:footnoteRef/>
      </w:r>
      <w:r>
        <w:t xml:space="preserve"> </w:t>
      </w:r>
      <w:hyperlink r:id="rId145">
        <w:r>
          <w:rPr>
            <w:rStyle w:val="Hyperlink"/>
          </w:rPr>
          <w:t xml:space="preserve">https://github.com/wmo-im/wis2-metric-hierarchy</w:t>
        </w:r>
      </w:hyperlink>
    </w:p>
  </w:footnote>
  <w:footnote w:id="153">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56">
    <w:p>
      <w:pPr>
        <w:pStyle w:val="FootnoteText"/>
      </w:pPr>
      <w:r>
        <w:rPr>
          <w:rStyle w:val="FootnoteReference"/>
        </w:rPr>
        <w:footnoteRef/>
      </w:r>
      <w:r>
        <w:t xml:space="preserve"> </w:t>
      </w:r>
      <w:r>
        <w:t xml:space="preserve">OGC-API Records - Part 1</w:t>
      </w:r>
      <w:r>
        <w:t xml:space="preserve"> </w:t>
      </w:r>
      <w:hyperlink r:id="rId52">
        <w:r>
          <w:rPr>
            <w:rStyle w:val="Hyperlink"/>
          </w:rPr>
          <w:t xml:space="preserve">https://docs.ogc.org/DRAFTS/20-004.html</w:t>
        </w:r>
      </w:hyperlink>
    </w:p>
  </w:footnote>
  <w:footnote w:id="164">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65">
    <w:p>
      <w:pPr>
        <w:pStyle w:val="FootnoteText"/>
      </w:pPr>
      <w:r>
        <w:rPr>
          <w:rStyle w:val="FootnoteReference"/>
        </w:rPr>
        <w:footnoteRef/>
      </w:r>
      <w:r>
        <w:t xml:space="preserve"> </w:t>
      </w:r>
      <w:r>
        <w:t xml:space="preserve">AMQP 1.0 is proposed in the draft PANS-IM</w:t>
      </w:r>
    </w:p>
  </w:footnote>
  <w:footnote w:id="169">
    <w:p>
      <w:pPr>
        <w:pStyle w:val="FootnoteText"/>
      </w:pPr>
      <w:r>
        <w:rPr>
          <w:rStyle w:val="FootnoteReference"/>
        </w:rPr>
        <w:footnoteRef/>
      </w:r>
      <w:r>
        <w:t xml:space="preserve"> </w:t>
      </w:r>
      <w:r>
        <w:t xml:space="preserve">IWXXM (FM205) is defined in the Manual on Codes (WMO-No. 306), Volume I.3 – International Codes</w:t>
      </w:r>
    </w:p>
  </w:footnote>
  <w:footnote w:id="17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p>
  </w:footnote>
  <w:footnote w:id="172">
    <w:p>
      <w:pPr>
        <w:pStyle w:val="FootnoteText"/>
      </w:pPr>
      <w:r>
        <w:rPr>
          <w:rStyle w:val="FootnoteReference"/>
        </w:rPr>
        <w:footnoteRef/>
      </w:r>
      <w:r>
        <w:t xml:space="preserve"> </w:t>
      </w:r>
      <w:r>
        <w:t xml:space="preserve">WIS2 does not provide any guidance on use of Public Key Infrastructure (PKI).</w:t>
      </w:r>
    </w:p>
  </w:footnote>
  <w:footnote w:id="17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74">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76">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78">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79">
    <w:p>
      <w:pPr>
        <w:pStyle w:val="FootnoteText"/>
      </w:pPr>
      <w:r>
        <w:rPr>
          <w:rStyle w:val="FootnoteReference"/>
        </w:rPr>
        <w:footnoteRef/>
      </w:r>
      <w:r>
        <w:t xml:space="preserve"> </w:t>
      </w:r>
      <w:r>
        <w:t xml:space="preserve">The WIS2 Node may control access to data - the Gateway will need to be implemented accordingly.</w:t>
      </w:r>
    </w:p>
  </w:footnote>
  <w:footnote w:id="18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1">
    <w:p>
      <w:pPr>
        <w:pStyle w:val="FootnoteText"/>
      </w:pPr>
      <w:r>
        <w:rPr>
          <w:rStyle w:val="FootnoteReference"/>
        </w:rPr>
        <w:footnoteRef/>
      </w:r>
      <w:r>
        <w:t xml:space="preserve"> </w:t>
      </w:r>
      <w:r>
        <w:t xml:space="preserve">OpenMetrics:</w:t>
      </w:r>
      <w:r>
        <w:t xml:space="preserve"> </w:t>
      </w:r>
      <w:hyperlink r:id="rId143">
        <w:r>
          <w:rPr>
            <w:rStyle w:val="Hyperlink"/>
          </w:rPr>
          <w:t xml:space="preserve">https://openmetrics.io</w:t>
        </w:r>
      </w:hyperlink>
    </w:p>
  </w:footnote>
  <w:footnote w:id="183">
    <w:p>
      <w:pPr>
        <w:pStyle w:val="FootnoteText"/>
      </w:pPr>
      <w:r>
        <w:rPr>
          <w:rStyle w:val="FootnoteReference"/>
        </w:rPr>
        <w:footnoteRef/>
      </w:r>
      <w:r>
        <w:t xml:space="preserve"> </w:t>
      </w:r>
      <w:r>
        <w:t xml:space="preserve">AMQP 1.0:</w:t>
      </w:r>
      <w:r>
        <w:t xml:space="preserve"> </w:t>
      </w:r>
      <w:hyperlink r:id="rId184">
        <w:r>
          <w:rPr>
            <w:rStyle w:val="Hyperlink"/>
          </w:rPr>
          <w:t xml:space="preserve">https://www.amqp.org/resources/specifications</w:t>
        </w:r>
      </w:hyperlink>
    </w:p>
  </w:footnote>
  <w:footnote w:id="200">
    <w:p>
      <w:pPr>
        <w:pStyle w:val="FootnoteText"/>
      </w:pPr>
      <w:r>
        <w:rPr>
          <w:rStyle w:val="FootnoteReference"/>
        </w:rPr>
        <w:footnoteRef/>
      </w:r>
      <w:r>
        <w:t xml:space="preserve"> </w:t>
      </w:r>
      <w:hyperlink r:id="rId201">
        <w:r>
          <w:rPr>
            <w:rStyle w:val="Hyperlink"/>
          </w:rPr>
          <w:t xml:space="preserve">https://go-fair.org</w:t>
        </w:r>
      </w:hyperlink>
    </w:p>
  </w:footnote>
  <w:footnote w:id="221">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22">
        <w:r>
          <w:rPr>
            <w:rStyle w:val="Hyperlink"/>
          </w:rPr>
          <w:t xml:space="preserve">https://library.wmo.int/records/item/51145-guide-to-information-technology-security</w:t>
        </w:r>
      </w:hyperlink>
    </w:p>
  </w:footnote>
  <w:footnote w:id="223">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24">
        <w:r>
          <w:rPr>
            <w:rStyle w:val="Hyperlink"/>
          </w:rPr>
          <w:t xml:space="preserve">https://library.wmo.int/records/item/28988-guide-to-the-wmo-information-system</w:t>
        </w:r>
      </w:hyperlink>
    </w:p>
  </w:footnote>
  <w:footnote w:id="227">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24">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image" Id="rId177" Target="media/rId177.png" /><Relationship Type="http://schemas.openxmlformats.org/officeDocument/2006/relationships/image" Id="rId167" Target="media/rId167.png" /><Relationship Type="http://schemas.openxmlformats.org/officeDocument/2006/relationships/hyperlink" Id="rId125" Target="http://www.metoffice.gov.uk" TargetMode="External" /><Relationship Type="http://schemas.openxmlformats.org/officeDocument/2006/relationships/hyperlink" Id="rId21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1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4" Target="https://data.iana.org/TLD"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36" Target="https://docs.wis2box.wis.wmo.int" TargetMode="External" /><Relationship Type="http://schemas.openxmlformats.org/officeDocument/2006/relationships/hyperlink" Id="rId158" Target="https://github.com/wmo-im/wis2-gdc" TargetMode="External" /><Relationship Type="http://schemas.openxmlformats.org/officeDocument/2006/relationships/hyperlink" Id="rId145" Target="https://github.com/wmo-im/wis2-metric-hierarchy" TargetMode="External" /><Relationship Type="http://schemas.openxmlformats.org/officeDocument/2006/relationships/hyperlink" Id="rId201" Target="https://go-fair.org" TargetMode="External" /><Relationship Type="http://schemas.openxmlformats.org/officeDocument/2006/relationships/hyperlink" Id="rId224" Target="https://library.wmo.int/records/item/28988-guide-to-the-wmo-information-system" TargetMode="External" /><Relationship Type="http://schemas.openxmlformats.org/officeDocument/2006/relationships/hyperlink" Id="rId222" Target="https://library.wmo.int/records/item/51145-guide-to-information-technology-security"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3" Target="https://openmetrics.io"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4"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58" Target="https://www.rfc-editor.org/rfc/rfc3986" TargetMode="External" /><Relationship Type="http://schemas.openxmlformats.org/officeDocument/2006/relationships/hyperlink" Id="rId49" Target="https://www.rfc-editor.org/rfc/rfc7946" TargetMode="External" /><Relationship Type="http://schemas.openxmlformats.org/officeDocument/2006/relationships/hyperlink" Id="rId33" Target="https://www.w3.org/TR/vocab-dcat-2/#Class:Dataset" TargetMode="External" /><Relationship Type="http://schemas.openxmlformats.org/officeDocument/2006/relationships/hyperlink" Id="rId56"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25" Target="http://www.metoffice.gov.uk" TargetMode="External" /><Relationship Type="http://schemas.openxmlformats.org/officeDocument/2006/relationships/hyperlink" Id="rId21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1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4" Target="https://data.iana.org/TLD"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36" Target="https://docs.wis2box.wis.wmo.int" TargetMode="External" /><Relationship Type="http://schemas.openxmlformats.org/officeDocument/2006/relationships/hyperlink" Id="rId158" Target="https://github.com/wmo-im/wis2-gdc" TargetMode="External" /><Relationship Type="http://schemas.openxmlformats.org/officeDocument/2006/relationships/hyperlink" Id="rId145" Target="https://github.com/wmo-im/wis2-metric-hierarchy" TargetMode="External" /><Relationship Type="http://schemas.openxmlformats.org/officeDocument/2006/relationships/hyperlink" Id="rId201" Target="https://go-fair.org" TargetMode="External" /><Relationship Type="http://schemas.openxmlformats.org/officeDocument/2006/relationships/hyperlink" Id="rId224" Target="https://library.wmo.int/records/item/28988-guide-to-the-wmo-information-system" TargetMode="External" /><Relationship Type="http://schemas.openxmlformats.org/officeDocument/2006/relationships/hyperlink" Id="rId222" Target="https://library.wmo.int/records/item/51145-guide-to-information-technology-security"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3" Target="https://openmetrics.io"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4"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58" Target="https://www.rfc-editor.org/rfc/rfc3986" TargetMode="External" /><Relationship Type="http://schemas.openxmlformats.org/officeDocument/2006/relationships/hyperlink" Id="rId49" Target="https://www.rfc-editor.org/rfc/rfc7946" TargetMode="External" /><Relationship Type="http://schemas.openxmlformats.org/officeDocument/2006/relationships/hyperlink" Id="rId33" Target="https://www.w3.org/TR/vocab-dcat-2/#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2024-02-05T16:56:52Z</dcterms:created>
  <dcterms:modified xsi:type="dcterms:W3CDTF">2024-02-05T16:56:52Z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ies>
</file>