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2024-02-13</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80"/>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0">
        <w:r>
          <w:rPr>
            <w:rStyle w:val="Hyperlink"/>
          </w:rPr>
          <w:t xml:space="preserve">https://community.wmo.int/news/operational-newsletter</w:t>
        </w:r>
      </w:hyperlink>
    </w:p>
    <w:p>
      <w:pPr>
        <w:pStyle w:val="Heading5"/>
      </w:pPr>
      <w:bookmarkStart w:id="221" w:name="X3943a915dab0acd14a551cc23fe1ab4fc5b6d08"/>
      <w:r>
        <w:t xml:space="preserve">Usage and communication</w:t>
      </w:r>
      <w:bookmarkEnd w:id="22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2" w:name="Xc49f3d2ac2c1a4985f413e4e33375d67ca4edae"/>
      <w:r>
        <w:t xml:space="preserve">Storage, archival and disposal</w:t>
      </w:r>
      <w:bookmarkEnd w:id="22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3" w:name="Xcde52b855ebe88b41febf339572171c6eff9f00"/>
      <w:r>
        <w:t xml:space="preserve">Other considerations</w:t>
      </w:r>
      <w:bookmarkEnd w:id="223"/>
    </w:p>
    <w:p>
      <w:pPr>
        <w:pStyle w:val="Heading4"/>
      </w:pPr>
      <w:bookmarkStart w:id="224" w:name="Xaaae0965b9c1bfef7ff2e90d054b0b5d3ba2f74"/>
      <w:r>
        <w:t xml:space="preserve">Technology and technology migration</w:t>
      </w:r>
      <w:bookmarkEnd w:id="224"/>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5" w:name="X4be09f68f287a055be5a28deacf8bb1b4bf1904"/>
      <w:r>
        <w:t xml:space="preserve">Information security</w:t>
      </w:r>
      <w:bookmarkEnd w:id="225"/>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6" w:name="X21cd127bd20f258a1e62ea9ca51972219f0b892"/>
      <w:r>
        <w:t xml:space="preserve">PART IV</w:t>
      </w:r>
      <w:bookmarkEnd w:id="226"/>
    </w:p>
    <w:p>
      <w:pPr>
        <w:pStyle w:val="Heading2"/>
      </w:pPr>
      <w:bookmarkStart w:id="227" w:name="X450d2800ceddee769150bb96f748c14ec1a5fef"/>
      <w:r>
        <w:t xml:space="preserve">Security</w:t>
      </w:r>
      <w:bookmarkEnd w:id="227"/>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8"/>
      </w:r>
    </w:p>
    <w:p>
      <w:pPr>
        <w:numPr>
          <w:ilvl w:val="0"/>
          <w:numId w:val="1084"/>
        </w:numPr>
      </w:pPr>
      <w:r>
        <w:rPr>
          <w:i/>
        </w:rPr>
        <w:t xml:space="preserve">Guide to the WMO Information System</w:t>
      </w:r>
      <w:r>
        <w:t xml:space="preserve"> </w:t>
      </w:r>
      <w:r>
        <w:t xml:space="preserve">(WMO-No. 1061), Vol I</w:t>
      </w:r>
      <w:r>
        <w:rPr>
          <w:rStyle w:val="FootnoteReference"/>
        </w:rPr>
        <w:footnoteReference w:id="230"/>
      </w:r>
      <w:r>
        <w:t xml:space="preserve">, Appendix E - Annex To Paragraph 7.8 (ICT Service Incident Management), and Appendix F - WIS IT Security Incident Response Process</w:t>
      </w:r>
    </w:p>
    <w:p>
      <w:pPr>
        <w:pStyle w:val="Heading1"/>
      </w:pPr>
      <w:bookmarkStart w:id="232" w:name="X3305ea5abe6b1fb2cabf7a817df7b030491936b"/>
      <w:r>
        <w:t xml:space="preserve">PART V</w:t>
      </w:r>
      <w:bookmarkEnd w:id="232"/>
    </w:p>
    <w:p>
      <w:pPr>
        <w:pStyle w:val="Heading2"/>
      </w:pPr>
      <w:bookmarkStart w:id="233" w:name="Xb01b72941e106f40026e8313cebe8325cd24f8c"/>
      <w:r>
        <w:t xml:space="preserve">Competencies</w:t>
      </w:r>
      <w:bookmarkEnd w:id="233"/>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8">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9">
        <w:r>
          <w:rPr>
            <w:rStyle w:val="Hyperlink"/>
          </w:rPr>
          <w:t xml:space="preserve">https://library.wmo.int/records/item/51145-guide-to-information-technology-security</w:t>
        </w:r>
      </w:hyperlink>
    </w:p>
  </w:footnote>
  <w:footnote w:id="230">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 w:id="234">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2024-02-13T11:13:49Z</dcterms:created>
  <dcterms:modified xsi:type="dcterms:W3CDTF">2024-02-13T11:13:49Z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2024-02-13</vt:lpwstr>
  </property>
</Properties>
</file>