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2024-08-21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2024-08-21</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consumer wanting to use data published via WIS2,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Transmission Control Protocol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information from the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A Global Broker will check if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0"/>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1"/>
          <w:numId w:val="1058"/>
        </w:numPr>
      </w:pPr>
      <w:r>
        <w:t xml:space="preserve">The subscription topic shall be</w:t>
      </w:r>
      <w:r>
        <w:t xml:space="preserve"> </w:t>
      </w:r>
      <w:r>
        <w:rPr>
          <w:rStyle w:val="VerbatimChar"/>
        </w:rPr>
        <w:t xml:space="preserve">cache/a/wis2/+/metadata/#</w:t>
      </w:r>
      <w:r>
        <w:t xml:space="preserve">.</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providing the following technical functions:</w:t>
      </w:r>
    </w:p>
    <w:p>
      <w:pPr>
        <w:numPr>
          <w:ilvl w:val="0"/>
          <w:numId w:val="1059"/>
        </w:numPr>
      </w:pPr>
      <w:r>
        <w:t xml:space="preserve">Discovery metadata subscription and publication from the Global Broker</w:t>
      </w:r>
    </w:p>
    <w:p>
      <w:pPr>
        <w:numPr>
          <w:ilvl w:val="0"/>
          <w:numId w:val="1059"/>
        </w:numPr>
      </w:pPr>
      <w:r>
        <w:t xml:space="preserve">Discovery metadata download from the Global Cache</w:t>
      </w:r>
    </w:p>
    <w:p>
      <w:pPr>
        <w:numPr>
          <w:ilvl w:val="0"/>
          <w:numId w:val="1059"/>
        </w:numPr>
      </w:pPr>
      <w:r>
        <w:t xml:space="preserve">Discovery metadata validation, ingest and publication</w:t>
      </w:r>
    </w:p>
    <w:p>
      <w:pPr>
        <w:numPr>
          <w:ilvl w:val="0"/>
          <w:numId w:val="1059"/>
        </w:numPr>
      </w:pPr>
      <w:r>
        <w:t xml:space="preserve">WCMP2 compliance</w:t>
      </w:r>
    </w:p>
    <w:p>
      <w:pPr>
        <w:numPr>
          <w:ilvl w:val="0"/>
          <w:numId w:val="1059"/>
        </w:numPr>
      </w:pPr>
      <w:r>
        <w:t xml:space="preserve">Quality assessment (KPIs)</w:t>
      </w:r>
    </w:p>
    <w:p>
      <w:pPr>
        <w:numPr>
          <w:ilvl w:val="0"/>
          <w:numId w:val="1059"/>
        </w:numPr>
      </w:pPr>
      <w:r>
        <w:t xml:space="preserve">OGC API - Records - Part 1: Core compliance</w:t>
      </w:r>
    </w:p>
    <w:p>
      <w:pPr>
        <w:numPr>
          <w:ilvl w:val="0"/>
          <w:numId w:val="1059"/>
        </w:numPr>
      </w:pPr>
      <w:r>
        <w:t xml:space="preserve">Metrics reporting</w:t>
      </w:r>
    </w:p>
    <w:p>
      <w:pPr>
        <w:numPr>
          <w:ilvl w:val="0"/>
          <w:numId w:val="1059"/>
        </w:numPr>
      </w:pPr>
      <w:r>
        <w:t xml:space="preserve">Implementation of metrics</w:t>
      </w:r>
    </w:p>
    <w:p>
      <w:pPr>
        <w:pStyle w:val="FirstParagraph"/>
      </w:pPr>
      <w:r>
        <w:t xml:space="preserve">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60"/>
        </w:numPr>
      </w:pPr>
      <w:r>
        <w:t xml:space="preserve">WIS standardizes how system performance and data availability metrics are published from WIS2 Nodes and Global Services.</w:t>
      </w:r>
    </w:p>
    <w:p>
      <w:pPr>
        <w:numPr>
          <w:ilvl w:val="0"/>
          <w:numId w:val="1060"/>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60"/>
        </w:numPr>
      </w:pPr>
      <w:r>
        <w:t xml:space="preserve">The Global Monitor will collect metrics as defined in the OpenMetrics standard.</w:t>
      </w:r>
    </w:p>
    <w:p>
      <w:pPr>
        <w:numPr>
          <w:ilvl w:val="0"/>
          <w:numId w:val="1060"/>
        </w:numPr>
      </w:pPr>
      <w:r>
        <w:t xml:space="preserve">The Global Monitor will monitor the 'health' (namely, performance) of components at NC/DCPC as well as Global Service instances.</w:t>
      </w:r>
    </w:p>
    <w:p>
      <w:pPr>
        <w:numPr>
          <w:ilvl w:val="0"/>
          <w:numId w:val="1060"/>
        </w:numPr>
      </w:pPr>
      <w:r>
        <w:t xml:space="preserve">The Global Monitor will provide a web-based ‘dashboard’ that displays the WIS2 system performance and data availability.</w:t>
      </w:r>
    </w:p>
    <w:p>
      <w:pPr>
        <w:numPr>
          <w:ilvl w:val="0"/>
          <w:numId w:val="1060"/>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1"/>
        </w:numPr>
      </w:pPr>
      <w:r>
        <w:t xml:space="preserve">Mechanisms used by SWIM to discover service providers and services.</w:t>
      </w:r>
    </w:p>
    <w:p>
      <w:pPr>
        <w:numPr>
          <w:ilvl w:val="0"/>
          <w:numId w:val="1061"/>
        </w:numPr>
      </w:pPr>
      <w:r>
        <w:t xml:space="preserve">Specification of the SWIM data message.</w:t>
      </w:r>
    </w:p>
    <w:p>
      <w:pPr>
        <w:numPr>
          <w:ilvl w:val="0"/>
          <w:numId w:val="1061"/>
        </w:numPr>
      </w:pPr>
      <w:r>
        <w:t xml:space="preserve">AMQP message broker configuration.</w:t>
      </w:r>
    </w:p>
    <w:p>
      <w:pPr>
        <w:numPr>
          <w:ilvl w:val="0"/>
          <w:numId w:val="1061"/>
        </w:numPr>
      </w:pPr>
      <w:r>
        <w:t xml:space="preserve">Operation, logging and monitoring.</w:t>
      </w:r>
    </w:p>
    <w:p>
      <w:pPr>
        <w:numPr>
          <w:ilvl w:val="0"/>
          <w:numId w:val="1061"/>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2"/>
        </w:numPr>
      </w:pPr>
      <w:r>
        <w:t xml:space="preserve">May be subject to conditions on use and reuse.</w:t>
      </w:r>
    </w:p>
    <w:p>
      <w:pPr>
        <w:numPr>
          <w:ilvl w:val="0"/>
          <w:numId w:val="1062"/>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2"/>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3"/>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3"/>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3"/>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4"/>
        </w:numPr>
      </w:pPr>
      <w:r>
        <w:t xml:space="preserve">Publish the data as a resource via a Web server (or Web service).</w:t>
      </w:r>
    </w:p>
    <w:p>
      <w:pPr>
        <w:numPr>
          <w:ilvl w:val="0"/>
          <w:numId w:val="1064"/>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5"/>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5"/>
        </w:numPr>
      </w:pPr>
      <w:r>
        <w:t xml:space="preserve">On receipt of notification messages about newly available data:</w:t>
      </w:r>
    </w:p>
    <w:p>
      <w:pPr>
        <w:numPr>
          <w:ilvl w:val="1"/>
          <w:numId w:val="1066"/>
        </w:numPr>
      </w:pPr>
      <w:r>
        <w:t xml:space="preserve">Parse the notification message, discarding duplicate messages already</w:t>
      </w:r>
      <w:r>
        <w:t xml:space="preserve"> </w:t>
      </w:r>
      <w:r>
        <w:t xml:space="preserve">processed previously;</w:t>
      </w:r>
    </w:p>
    <w:p>
      <w:pPr>
        <w:numPr>
          <w:ilvl w:val="1"/>
          <w:numId w:val="1066"/>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6"/>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6"/>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7"/>
        </w:numPr>
      </w:pPr>
      <w:r>
        <w:t xml:space="preserve">Planning, information creation and acquisition. The creation of information using internal and external data sources and the acquisition of information from various sources.</w:t>
      </w:r>
    </w:p>
    <w:p>
      <w:pPr>
        <w:numPr>
          <w:ilvl w:val="0"/>
          <w:numId w:val="1067"/>
        </w:numPr>
      </w:pPr>
      <w:r>
        <w:t xml:space="preserve">Representation and metadata. The use of standards to represent metadata, data and information; This is of primary importance to enable the interoperability and longterm usability of the information.</w:t>
      </w:r>
    </w:p>
    <w:p>
      <w:pPr>
        <w:numPr>
          <w:ilvl w:val="0"/>
          <w:numId w:val="1067"/>
        </w:numPr>
      </w:pPr>
      <w:r>
        <w:t xml:space="preserve">Publication and exchange of information. The creation and publication of discovery metadata in a standardized format enabling users to discover, access and retrieve the information.</w:t>
      </w:r>
    </w:p>
    <w:p>
      <w:pPr>
        <w:numPr>
          <w:ilvl w:val="0"/>
          <w:numId w:val="1067"/>
        </w:numPr>
      </w:pPr>
      <w:r>
        <w:t xml:space="preserve">Usage and communication. The publication of guidance material on the use of published information, including on the limitations and suitability of the information and any licensing terms.</w:t>
      </w:r>
    </w:p>
    <w:p>
      <w:pPr>
        <w:numPr>
          <w:ilvl w:val="0"/>
          <w:numId w:val="1067"/>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8"/>
        </w:numPr>
      </w:pPr>
      <w:r>
        <w:t xml:space="preserve">Information producers or creators (those who produce or acquire the information) - they need to ensure the scientific quality of the underpinning information;</w:t>
      </w:r>
    </w:p>
    <w:p>
      <w:pPr>
        <w:numPr>
          <w:ilvl w:val="0"/>
          <w:numId w:val="1068"/>
        </w:numPr>
      </w:pPr>
      <w:r>
        <w:t xml:space="preserve">Information managers (those who manage information);</w:t>
      </w:r>
    </w:p>
    <w:p>
      <w:pPr>
        <w:numPr>
          <w:ilvl w:val="0"/>
          <w:numId w:val="1068"/>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8"/>
        </w:numPr>
      </w:pPr>
      <w:r>
        <w:t xml:space="preserve">Service providers (those who disseminate the information) - they are responsible for ensuring information availability and maintaining capability for easy and secure access to the information;</w:t>
      </w:r>
    </w:p>
    <w:p>
      <w:pPr>
        <w:numPr>
          <w:ilvl w:val="0"/>
          <w:numId w:val="1068"/>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9"/>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9"/>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70"/>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0"/>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0"/>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1"/>
        </w:numPr>
      </w:pPr>
      <w:r>
        <w:t xml:space="preserve">Information should be developed and managed in accordance with its function and use for internal and external users.</w:t>
      </w:r>
    </w:p>
    <w:p>
      <w:pPr>
        <w:numPr>
          <w:ilvl w:val="0"/>
          <w:numId w:val="1071"/>
        </w:numPr>
      </w:pPr>
      <w:r>
        <w:t xml:space="preserve">WMO centres should regularly assess information to ensure that it is fit for its purpose and that the related processes, procedures and documentation are adequate.</w:t>
      </w:r>
    </w:p>
    <w:p>
      <w:pPr>
        <w:numPr>
          <w:ilvl w:val="0"/>
          <w:numId w:val="1071"/>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2"/>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2"/>
        </w:numPr>
      </w:pPr>
      <w:r>
        <w:t xml:space="preserve">Standardization is essential for structured information such as dataset definitions and metadata to support interoperability.</w:t>
      </w:r>
    </w:p>
    <w:p>
      <w:pPr>
        <w:numPr>
          <w:ilvl w:val="0"/>
          <w:numId w:val="1072"/>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2"/>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2"/>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3"/>
        </w:numPr>
      </w:pPr>
      <w:r>
        <w:t xml:space="preserve">WMO centres should comprehensively document information processes, policies, and procedures to facilitate broad and longterm use.</w:t>
      </w:r>
    </w:p>
    <w:p>
      <w:pPr>
        <w:numPr>
          <w:ilvl w:val="0"/>
          <w:numId w:val="1073"/>
        </w:numPr>
      </w:pPr>
      <w:r>
        <w:t xml:space="preserve">WMO centres should keep documentation up to date to ensure full traceability of processes along the information life cycle, particularly for its creation.</w:t>
      </w:r>
    </w:p>
    <w:p>
      <w:pPr>
        <w:numPr>
          <w:ilvl w:val="0"/>
          <w:numId w:val="1073"/>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4"/>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4"/>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5"/>
        </w:numPr>
      </w:pPr>
      <w:r>
        <w:t xml:space="preserve">In order to maximize the economic benefits of an information asset it should be made as widely available and as accessible as possible.</w:t>
      </w:r>
    </w:p>
    <w:p>
      <w:pPr>
        <w:numPr>
          <w:ilvl w:val="0"/>
          <w:numId w:val="1075"/>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5"/>
        </w:numPr>
      </w:pPr>
      <w:r>
        <w:t xml:space="preserve">The publisher should provide an explicit and well-defined licence for each information item or dataset as part of the associated metadata.</w:t>
      </w:r>
    </w:p>
    <w:p>
      <w:pPr>
        <w:numPr>
          <w:ilvl w:val="0"/>
          <w:numId w:val="1075"/>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6"/>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7"/>
        </w:numPr>
      </w:pPr>
      <w:r>
        <w:t xml:space="preserve">The implementation of general information management practices, procedures and protocols, including well-defined roles, responsibilities and restrictions on managing the information;</w:t>
      </w:r>
    </w:p>
    <w:p>
      <w:pPr>
        <w:numPr>
          <w:ilvl w:val="1"/>
          <w:numId w:val="1077"/>
        </w:numPr>
      </w:pPr>
      <w:r>
        <w:t xml:space="preserve">The definition and enforcement of appropriate retention policy, taking into account stakeholder needs and variations in value over the information life cycle;</w:t>
      </w:r>
    </w:p>
    <w:p>
      <w:pPr>
        <w:numPr>
          <w:ilvl w:val="1"/>
          <w:numId w:val="1077"/>
        </w:numPr>
      </w:pPr>
      <w:r>
        <w:t xml:space="preserve">The establishment of licensing and the definition and enforcement of any access restrictions.</w:t>
      </w:r>
    </w:p>
    <w:p>
      <w:pPr>
        <w:numPr>
          <w:ilvl w:val="1"/>
          <w:numId w:val="1077"/>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8"/>
        </w:numPr>
      </w:pPr>
      <w:r>
        <w:t xml:space="preserve">Planning, creation and acquisition;</w:t>
      </w:r>
    </w:p>
    <w:p>
      <w:pPr>
        <w:numPr>
          <w:ilvl w:val="0"/>
          <w:numId w:val="1078"/>
        </w:numPr>
      </w:pPr>
      <w:r>
        <w:t xml:space="preserve">Representation and metadata;</w:t>
      </w:r>
    </w:p>
    <w:p>
      <w:pPr>
        <w:numPr>
          <w:ilvl w:val="0"/>
          <w:numId w:val="1078"/>
        </w:numPr>
      </w:pPr>
      <w:r>
        <w:t xml:space="preserve">Publication and exchange;</w:t>
      </w:r>
    </w:p>
    <w:p>
      <w:pPr>
        <w:numPr>
          <w:ilvl w:val="0"/>
          <w:numId w:val="1078"/>
        </w:numPr>
      </w:pPr>
      <w:r>
        <w:t xml:space="preserve">Usage and communication;</w:t>
      </w:r>
    </w:p>
    <w:p>
      <w:pPr>
        <w:numPr>
          <w:ilvl w:val="0"/>
          <w:numId w:val="107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9"/>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9"/>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80"/>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0"/>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1"/>
        </w:numPr>
      </w:pPr>
      <w:r>
        <w:t xml:space="preserve">Why the information is required;</w:t>
      </w:r>
    </w:p>
    <w:p>
      <w:pPr>
        <w:numPr>
          <w:ilvl w:val="0"/>
          <w:numId w:val="1081"/>
        </w:numPr>
      </w:pPr>
      <w:r>
        <w:t xml:space="preserve">How it will be collected or created;</w:t>
      </w:r>
    </w:p>
    <w:p>
      <w:pPr>
        <w:numPr>
          <w:ilvl w:val="0"/>
          <w:numId w:val="1081"/>
        </w:numPr>
      </w:pPr>
      <w:r>
        <w:t xml:space="preserve">How it will be stored;</w:t>
      </w:r>
    </w:p>
    <w:p>
      <w:pPr>
        <w:numPr>
          <w:ilvl w:val="0"/>
          <w:numId w:val="1081"/>
        </w:numPr>
      </w:pPr>
      <w:r>
        <w:t xml:space="preserve">Whether it will be exchanged with other users and under what policy;</w:t>
      </w:r>
    </w:p>
    <w:p>
      <w:pPr>
        <w:numPr>
          <w:ilvl w:val="0"/>
          <w:numId w:val="1081"/>
        </w:numPr>
      </w:pPr>
      <w:r>
        <w:t xml:space="preserve">Where it should be submitted for longterm archival;</w:t>
      </w:r>
    </w:p>
    <w:p>
      <w:pPr>
        <w:numPr>
          <w:ilvl w:val="0"/>
          <w:numId w:val="108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2"/>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2"/>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3"/>
        </w:numPr>
      </w:pPr>
      <w:r>
        <w:rPr>
          <w:i/>
        </w:rPr>
        <w:t xml:space="preserve">Guide to Information Technology Security</w:t>
      </w:r>
      <w:r>
        <w:t xml:space="preserve"> </w:t>
      </w:r>
      <w:r>
        <w:t xml:space="preserve">(WMO-No. 1115)</w:t>
      </w:r>
    </w:p>
    <w:p>
      <w:pPr>
        <w:numPr>
          <w:ilvl w:val="0"/>
          <w:numId w:val="1083"/>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RFC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2024-08-21T10:23:44Z</dcterms:created>
  <dcterms:modified xsi:type="dcterms:W3CDTF">2024-08-21T10:23:44Z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2024-08-21</vt:lpwstr>
  </property>
</Properties>
</file>