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2024-01-30</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pStyle w:val="Heading3"/>
      </w:pPr>
      <w:bookmarkStart w:id="50" w:name="X9809bf7de22c5a6f5ac4993d8ceb0a366b28036"/>
      <w:r>
        <w:t xml:space="preserve">WIS2 Node</w:t>
      </w:r>
      <w:bookmarkEnd w:id="50"/>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Heading3"/>
      </w:pPr>
      <w:bookmarkStart w:id="51" w:name="X457e87df81e20dd60341813f33917c04b732591"/>
      <w:r>
        <w:t xml:space="preserve">Global Broker</w:t>
      </w:r>
      <w:bookmarkEnd w:id="51"/>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2" w:name="X3757fd838d3368c80e2243a833cf028c5b7f1b3"/>
      <w:r>
        <w:t xml:space="preserve">Global Cache</w:t>
      </w:r>
      <w:bookmarkEnd w:id="52"/>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3" w:name="X7afed62fce9c77dc9763966ede44c55358b9618"/>
      <w:r>
        <w:t xml:space="preserve">Global Discovery Catalogue</w:t>
      </w:r>
      <w:bookmarkEnd w:id="53"/>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4" w:name="X4e88c05a27e698b3d133af3a43b16886494a2e2"/>
      <w:r>
        <w:t xml:space="preserve">Global Monitor</w:t>
      </w:r>
      <w:bookmarkEnd w:id="54"/>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5" w:name="Xee8f00d4b5d32ea81dee296c05c3047c4b44548"/>
      <w:r>
        <w:t xml:space="preserve">Protocols configuration</w:t>
      </w:r>
      <w:bookmarkEnd w:id="55"/>
    </w:p>
    <w:p>
      <w:pPr>
        <w:pStyle w:val="Heading3"/>
      </w:pPr>
      <w:bookmarkStart w:id="56" w:name="X24a7c06ed7dc4cc495cbe882209559321d9907a"/>
      <w:r>
        <w:t xml:space="preserve">Publish-Subscribe protocol (MQTT)</w:t>
      </w:r>
      <w:bookmarkEnd w:id="56"/>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7" w:name="X5c2c63cbe773be7ffd5fb93b0614b441ffbec41"/>
      <w:r>
        <w:t xml:space="preserve">Download protocol (HTTP)</w:t>
      </w:r>
      <w:bookmarkEnd w:id="57"/>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8" w:name="Xff31a5d1aa87fc988a72aaf109f7c8e748ad4b1"/>
      <w:r>
        <w:t xml:space="preserve">Implementation and operation of a WIS2 Node</w:t>
      </w:r>
      <w:bookmarkEnd w:id="58"/>
    </w:p>
    <w:p>
      <w:pPr>
        <w:pStyle w:val="Heading3"/>
      </w:pPr>
      <w:bookmarkStart w:id="59" w:name="X2dc45f7e3308f894d44a9e549266f7a5068a5e5"/>
      <w:r>
        <w:t xml:space="preserve">Practices and procedures</w:t>
      </w:r>
      <w:bookmarkEnd w:id="59"/>
    </w:p>
    <w:p>
      <w:pPr>
        <w:pStyle w:val="Heading4"/>
      </w:pPr>
      <w:bookmarkStart w:id="60" w:name="X8e028573dd812516e98f10b49ed38e5e61384e5"/>
      <w:r>
        <w:t xml:space="preserve">Registration and decommissioning of a WIS2 Node</w:t>
      </w:r>
      <w:bookmarkEnd w:id="6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2" w:name="Xf767dc45d10fda218afde6b3036463a48df52ca"/>
      <w:r>
        <w:t xml:space="preserve">Registration and removal of a dataset</w:t>
      </w:r>
      <w:bookmarkEnd w:id="6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3" w:name="X3289680ea2f7d4109aa6428f322d340e91d0957"/>
      <w:r>
        <w:t xml:space="preserve">Connecting with Global Services</w:t>
      </w:r>
      <w:bookmarkEnd w:id="6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4" w:name="Xf27b1f0223a14cb62d964158e83b2aa83f010f8"/>
      <w:r>
        <w:t xml:space="preserve">Publishing data, discovery metadata, and notification messages</w:t>
      </w:r>
      <w:bookmarkEnd w:id="64"/>
    </w:p>
    <w:p>
      <w:pPr>
        <w:pStyle w:val="Heading4"/>
      </w:pPr>
      <w:bookmarkStart w:id="65" w:name="X62d67b478702f8c797216a8f6868a0b35e7d516"/>
      <w:r>
        <w:t xml:space="preserve">Discovery metadata</w:t>
      </w:r>
      <w:bookmarkEnd w:id="6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6" w:name="X1570affaafae1bfedcbec5b9543c51eae060db5"/>
      <w:r>
        <w:t xml:space="preserve">Notification messages</w:t>
      </w:r>
      <w:bookmarkEnd w:id="6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7" w:name="X05ad229d6065a3fb9e9fa952b4fa2f12120cd4a"/>
      <w:r>
        <w:t xml:space="preserve">Data</w:t>
      </w:r>
      <w:bookmarkEnd w:id="6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8" w:name="X4c61f413c1bd3d905b4c8f2b481e7faf4997b39"/>
      <w:r>
        <w:t xml:space="preserve">Publication and topic selection</w:t>
      </w:r>
      <w:bookmarkEnd w:id="6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9" w:name="X469a4c6764d277c49a5097b725d2a1e4deb0cd3"/>
      <w:r>
        <w:t xml:space="preserve">Use of the "experimental" topic</w:t>
      </w:r>
      <w:bookmarkEnd w:id="6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70" w:name="X88471e81d2325170fe741992b384283916f363b"/>
      <w:r>
        <w:t xml:space="preserve">Performance management</w:t>
      </w:r>
      <w:bookmarkEnd w:id="70"/>
    </w:p>
    <w:p>
      <w:pPr>
        <w:pStyle w:val="Heading4"/>
      </w:pPr>
      <w:bookmarkStart w:id="71" w:name="Xe6d7c72f985dadd42293bc857d52add7d42ea2b"/>
      <w:r>
        <w:t xml:space="preserve">Service levels and performance indicators</w:t>
      </w:r>
      <w:bookmarkEnd w:id="71"/>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2" w:name="X8bf05b2e0d10427f62345612d639c55cc744267"/>
      <w:r>
        <w:t xml:space="preserve">Provision of system performance metrics</w:t>
      </w:r>
      <w:bookmarkEnd w:id="7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3" w:name="X0fb30a4311a2f4b49b867218c927e6ebb4ef16d"/>
      <w:r>
        <w:t xml:space="preserve">WIS2 Node reference implementation: wis2box</w:t>
      </w:r>
      <w:bookmarkEnd w:id="7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4">
        <w:r>
          <w:rPr>
            <w:rStyle w:val="Hyperlink"/>
          </w:rPr>
          <w:t xml:space="preserve">https://docs.wis2box.wis.wmo.int</w:t>
        </w:r>
      </w:hyperlink>
      <w:r>
        <w:t xml:space="preserve">.</w:t>
      </w:r>
    </w:p>
    <w:p>
      <w:pPr>
        <w:pStyle w:val="Heading2"/>
      </w:pPr>
      <w:bookmarkStart w:id="75" w:name="X9e72a2ecfcdde13f98188c11fb151050efd6b8e"/>
      <w:r>
        <w:t xml:space="preserve">Implementation and operation of a Global Service</w:t>
      </w:r>
      <w:bookmarkEnd w:id="75"/>
    </w:p>
    <w:p>
      <w:pPr>
        <w:pStyle w:val="Heading3"/>
      </w:pPr>
      <w:bookmarkStart w:id="76" w:name="X2413b2167533c41decb1d7ad264ee77ac10f5b8"/>
      <w:r>
        <w:t xml:space="preserve">Procedure for registration of a new Global Service</w:t>
      </w:r>
      <w:bookmarkEnd w:id="7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5e314926e6c38d8253e74ca9c7c0b4c5d26b707"/>
      <w:r>
        <w:t xml:space="preserve">Monitoring and metrics for WIS2 operations</w:t>
      </w:r>
      <w:bookmarkEnd w:id="78"/>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8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2"/>
      </w:r>
    </w:p>
    <w:p>
      <w:pPr>
        <w:pStyle w:val="Heading4"/>
      </w:pPr>
      <w:bookmarkStart w:id="84" w:name="X61b468b8bf7d4308bcaac71a7f66d738b5d312d"/>
      <w:r>
        <w:t xml:space="preserve">Service levels, performance indicators, and fair-usage policies</w:t>
      </w:r>
      <w:bookmarkEnd w:id="8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5" w:name="X9f81c9ccadcb1a687a8114ac1ba77ad17867978"/>
      <w:r>
        <w:t xml:space="preserve">Metrics for Global Services</w:t>
      </w:r>
      <w:bookmarkEnd w:id="8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6" w:name="Xe0eab1aae4f0a18f4dcba102bbc5cb0f1021ecf"/>
      <w:r>
        <w:t xml:space="preserve">Global Broker</w:t>
      </w:r>
      <w:bookmarkEnd w:id="86"/>
    </w:p>
    <w:p>
      <w:pPr>
        <w:pStyle w:val="Heading4"/>
      </w:pPr>
      <w:bookmarkStart w:id="87" w:name="Xffd6385210ddd18d3a42c4b75583b265bf38983"/>
      <w:r>
        <w:t xml:space="preserve">Technical considerations</w:t>
      </w:r>
      <w:bookmarkEnd w:id="8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 and `+cache/a/wis2//data/recommended/` footnote:[It is also technically possible to filter recommended data by using a wildcard subscription such as `+origin/a/wis2//data/core/#+</w:t>
      </w:r>
      <w:r>
        <w:t xml:space="preserve">. However, avoiding wildcard subscription is generally considered good practice as it limits the burden of the broker operated by Global Brokers.</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 or `+cache/a//data/core/+</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CaptionedFigure"/>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 </w:t>
      </w:r>
      <w:r>
        <w:t xml:space="preserve">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For this initial version of the Guide to WIS2, existing guidance on informtion technology security (aka.</w:t>
      </w:r>
      <w:r>
        <w:t xml:space="preserve"> </w:t>
      </w:r>
      <w:r>
        <w:rPr>
          <w:i/>
        </w:rPr>
        <w:t xml:space="preserve">cybersecurity</w:t>
      </w:r>
      <w:r>
        <w:t xml:space="preserve">) remains largely in force. Please refer to</w:t>
      </w:r>
    </w:p>
    <w:p>
      <w:pPr>
        <w:numPr>
          <w:ilvl w:val="0"/>
          <w:numId w:val="1075"/>
        </w:numPr>
      </w:pPr>
      <w:r>
        <w:rPr>
          <w:i/>
        </w:rPr>
        <w:t xml:space="preserve">Guide to Information Technology Security</w:t>
      </w:r>
      <w:r>
        <w:t xml:space="preserve"> </w:t>
      </w:r>
      <w:r>
        <w:t xml:space="preserve">(WMO-No. 1115)</w:t>
      </w:r>
      <w:r>
        <w:rPr>
          <w:rStyle w:val="FootnoteReference"/>
        </w:rPr>
        <w:footnoteReference w:id="157"/>
      </w:r>
    </w:p>
    <w:p>
      <w:pPr>
        <w:numPr>
          <w:ilvl w:val="0"/>
          <w:numId w:val="1075"/>
        </w:numPr>
      </w:pPr>
      <w:r>
        <w:rPr>
          <w:i/>
        </w:rPr>
        <w:t xml:space="preserve">Guide to the WMO Information System</w:t>
      </w:r>
      <w:r>
        <w:t xml:space="preserve"> </w:t>
      </w:r>
      <w:r>
        <w:t xml:space="preserve">(WMO-No. 1061), Vol I</w:t>
      </w:r>
      <w:r>
        <w:rPr>
          <w:rStyle w:val="FootnoteReference"/>
        </w:rPr>
        <w:footnoteReference w:id="159"/>
      </w:r>
      <w:r>
        <w:t xml:space="preserve">, Appendix E - Annex To Paragraph 7.8 (ICT Service Incident Management), and Appendix F - WIS IT Security Incident Response Process</w:t>
      </w:r>
    </w:p>
    <w:p>
      <w:pPr>
        <w:pStyle w:val="Heading1"/>
      </w:pPr>
      <w:bookmarkStart w:id="161" w:name="X3305ea5abe6b1fb2cabf7a817df7b030491936b"/>
      <w:r>
        <w:t xml:space="preserve">PART V</w:t>
      </w:r>
      <w:bookmarkEnd w:id="161"/>
    </w:p>
    <w:p>
      <w:pPr>
        <w:pStyle w:val="Heading2"/>
      </w:pPr>
      <w:bookmarkStart w:id="162" w:name="Xb01b72941e106f40026e8313cebe8325cd24f8c"/>
      <w:r>
        <w:t xml:space="preserve">Competencies</w:t>
      </w:r>
      <w:bookmarkEnd w:id="162"/>
    </w:p>
    <w:p>
      <w:pPr>
        <w:pStyle w:val="FirstParagraph"/>
      </w:pPr>
      <w:r>
        <w:t xml:space="preserve">For this initial version of the Guide to WIS2, existing guidance on competencies remains largely in force.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163"/>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9">
    <w:p>
      <w:pPr>
        <w:pStyle w:val="FootnoteText"/>
      </w:pPr>
      <w:r>
        <w:rPr>
          <w:rStyle w:val="FootnoteReference"/>
        </w:rPr>
        <w:footnoteRef/>
      </w:r>
      <w:r>
        <w:t xml:space="preserve"> </w:t>
      </w:r>
      <w:r>
        <w:t xml:space="preserve">OpenMetrics is proposed as a draft standard within IETF.</w:t>
      </w:r>
    </w:p>
  </w:footnote>
  <w:footnote w:id="80">
    <w:p>
      <w:pPr>
        <w:pStyle w:val="FootnoteText"/>
      </w:pPr>
      <w:r>
        <w:rPr>
          <w:rStyle w:val="FootnoteReference"/>
        </w:rPr>
        <w:footnoteRef/>
      </w:r>
      <w:r>
        <w:t xml:space="preserve"> </w:t>
      </w:r>
      <w:hyperlink r:id="rId81">
        <w:r>
          <w:rPr>
            <w:rStyle w:val="Hyperlink"/>
          </w:rPr>
          <w:t xml:space="preserve">https://openmetrics.io</w:t>
        </w:r>
      </w:hyperlink>
    </w:p>
  </w:footnote>
  <w:footnote w:id="82">
    <w:p>
      <w:pPr>
        <w:pStyle w:val="FootnoteText"/>
      </w:pPr>
      <w:r>
        <w:rPr>
          <w:rStyle w:val="FootnoteReference"/>
        </w:rPr>
        <w:footnoteRef/>
      </w:r>
      <w:r>
        <w:t xml:space="preserve"> </w:t>
      </w:r>
      <w:hyperlink r:id="rId83">
        <w:r>
          <w:rPr>
            <w:rStyle w:val="Hyperlink"/>
          </w:rPr>
          <w:t xml:space="preserve">https://github.com/wmo-im/wis2-metric-hierarchy</w:t>
        </w:r>
      </w:hyperlink>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r>
        <w:t xml:space="preserve"> </w:t>
      </w:r>
      <w:r>
        <w:t xml:space="preserve">- WIS2 does not provide any guidance on use of Public Key Infrastructure (PKI).</w:t>
      </w:r>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1">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 w:id="157">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158">
        <w:r>
          <w:rPr>
            <w:rStyle w:val="Hyperlink"/>
          </w:rPr>
          <w:t xml:space="preserve">https://library.wmo.int/records/item/51145-guide-to-information-technology-security</w:t>
        </w:r>
      </w:hyperlink>
    </w:p>
  </w:footnote>
  <w:footnote w:id="159">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 w:id="163">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2024-01-30T18:18:23Z</dcterms:created>
  <dcterms:modified xsi:type="dcterms:W3CDTF">2024-01-30T18:18:23Z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2024-01-30</vt:lpwstr>
  </property>
</Properties>
</file>