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4.png" ContentType="image/png"/>
  <Override PartName="/word/media/rId200.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2026-08-19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2026-08-19</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SC-IMT will also exclude hours where Global Service operation is adversely affected by conditions beyond the control of the operator. The Global Service meets the service level for the calendar month where the proportion of operational time is not less than the value set out in section 2.7.2.5 and 2.7.2.9..</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Global Service is used for the performance-management procedures of the Manual. The design-capacity figures for each category remain as set out in 2.7.2.3. The detailed assessment methodology and Key Performance Indicators (KPIs) corresponding to each criterion are set out in Appendix A,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 The deduplication mechanism mentioned above applies; only one WME per non-cached data instance shall be generated, regardless of the number of received notification messages.</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220" w:name="X3cda763227efb85ffcf50601bb9e1b297d470ff"/>
    <w:p>
      <w:pPr>
        <w:pStyle w:val="Heading2"/>
      </w:pPr>
      <w:r>
        <w:t xml:space="preserve">2.8 Operations</w:t>
      </w:r>
    </w:p>
    <w:bookmarkStart w:id="219"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1"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6"/>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7"/>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1"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9" name="Picture"/>
            <a:graphic>
              <a:graphicData uri="http://schemas.openxmlformats.org/drawingml/2006/picture">
                <pic:pic>
                  <pic:nvPicPr>
                    <pic:cNvPr descr="images/wis2-to-swim-temp.png" id="190" name="Picture"/>
                    <pic:cNvPicPr>
                      <a:picLocks noChangeArrowheads="1" noChangeAspect="1"/>
                    </pic:cNvPicPr>
                  </pic:nvPicPr>
                  <pic:blipFill>
                    <a:blip r:embed="rId188"/>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1"/>
    <w:bookmarkStart w:id="193"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2"/>
      </w:r>
      <w:r>
        <w:t xml:space="preserve"> </w:t>
      </w:r>
      <w:r>
        <w:t xml:space="preserve">is to be used for encoding aeronautical meteorological information in SWIM.</w:t>
      </w:r>
    </w:p>
    <w:bookmarkEnd w:id="193"/>
    <w:bookmarkStart w:id="198"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4"/>
      </w:r>
      <w:r>
        <w:rPr>
          <w:rStyle w:val="FootnoteReference"/>
        </w:rPr>
        <w:footnoteReference w:id="195"/>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6"/>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7"/>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8"/>
    <w:bookmarkStart w:id="207"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9"/>
      </w:r>
    </w:p>
    <w:p>
      <w:pPr>
        <w:pStyle w:val="CaptionedFigure"/>
      </w:pPr>
      <w:r>
        <w:drawing>
          <wp:inline>
            <wp:extent cx="5334000" cy="1838335"/>
            <wp:effectExtent b="0" l="0" r="0" t="0"/>
            <wp:docPr descr="Interactions between the gateway component and the WIS2 and SWIM components" title="" id="201" name="Picture"/>
            <a:graphic>
              <a:graphicData uri="http://schemas.openxmlformats.org/drawingml/2006/picture">
                <pic:pic>
                  <pic:nvPicPr>
                    <pic:cNvPr descr="images/wis2-to-swim-interaction-temp.png" id="202" name="Picture"/>
                    <pic:cNvPicPr>
                      <a:picLocks noChangeArrowheads="1" noChangeAspect="1"/>
                    </pic:cNvPicPr>
                  </pic:nvPicPr>
                  <pic:blipFill>
                    <a:blip r:embed="rId200"/>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3"/>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4"/>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5"/>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6"/>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7"/>
    <w:bookmarkStart w:id="210"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8"/>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0"/>
    <w:bookmarkEnd w:id="211"/>
    <w:bookmarkStart w:id="218"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2"/>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7"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5" name="Picture"/>
            <a:graphic>
              <a:graphicData uri="http://schemas.openxmlformats.org/drawingml/2006/picture">
                <pic:pic>
                  <pic:nvPicPr>
                    <pic:cNvPr descr="images/wis2-odis-metadata-discovery-interop.png" id="216" name="Picture"/>
                    <pic:cNvPicPr>
                      <a:picLocks noChangeArrowheads="1" noChangeAspect="1"/>
                    </pic:cNvPicPr>
                  </pic:nvPicPr>
                  <pic:blipFill>
                    <a:blip r:embed="rId214"/>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7"/>
    <w:bookmarkEnd w:id="218"/>
    <w:bookmarkEnd w:id="219"/>
    <w:bookmarkEnd w:id="220"/>
    <w:bookmarkStart w:id="221"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8"/>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8"/>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MONITORING EVENTS.</w:t>
      </w:r>
    </w:p>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G.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2123ab12aa719e6eb03b4b04522b9ffa1e44538"/>
    <w:p>
      <w:pPr>
        <w:pStyle w:val="Heading1"/>
      </w:pPr>
      <w:r>
        <w:t xml:space="preserve">APPENDIX A: PER-COMPONENT OPERATIONAL CRITERIA</w:t>
      </w:r>
    </w:p>
    <w:p>
      <w:pPr>
        <w:pStyle w:val="FirstParagraph"/>
      </w:pPr>
      <w:r>
        <w:t xml:space="preserve">This appendix contains additional information to section 2.7.2.9. The operational criteria specific for each category of designated Global Services are set out below. Criteria for other types of Global Service will be added in subsequent revisions of this Guide.</w:t>
      </w:r>
    </w:p>
    <w:bookmarkStart w:id="293" w:name="Xad742263dcd86e88d4d102f69afd36daaf9730b"/>
    <w:p>
      <w:pPr>
        <w:pStyle w:val="Heading2"/>
      </w:pPr>
      <w:r>
        <w:t xml:space="preserve">A.1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29f95d3d32efaa1a3899c906ad82508e342df09"/>
    <w:p>
      <w:pPr>
        <w:pStyle w:val="Heading3"/>
      </w:pPr>
      <w:r>
        <w:t xml:space="preserve">A.1.1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randomized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p>
    <w:p>
      <w:pPr>
        <w:pStyle w:val="BodyText"/>
      </w:pPr>
      <w:r>
        <w:t xml:space="preserve">The message completeness KPI is set to "pass" for the hour if the percentage of messages published is not less than 95 per cent of the baseline; otherwise it is set to "fail" for the hour.</w:t>
      </w:r>
    </w:p>
    <w:bookmarkEnd w:id="290"/>
    <w:bookmarkStart w:id="291" w:name="X5afaf3174a70dab620a2507295c67c9a92f48ea"/>
    <w:p>
      <w:pPr>
        <w:pStyle w:val="Heading3"/>
      </w:pPr>
      <w:r>
        <w:t xml:space="preserve">A.1.2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p>
    <w:p>
      <w:pPr>
        <w:pStyle w:val="BodyText"/>
      </w:pP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0decfae639497e1501c115f2b9aae560d3a0614"/>
    <w:p>
      <w:pPr>
        <w:pStyle w:val="Heading3"/>
      </w:pPr>
      <w:r>
        <w:t xml:space="preserve">A.1.3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519a9585ed97254f137b1f02d15a6b90926f6d6"/>
    <w:p>
      <w:pPr>
        <w:pStyle w:val="Heading2"/>
      </w:pPr>
      <w:r>
        <w:t xml:space="preserve">A.2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3a5e4e2c14a4cea8d358a5be39cda6abb2d4b0"/>
    <w:p>
      <w:pPr>
        <w:pStyle w:val="Heading3"/>
      </w:pPr>
      <w:r>
        <w:t xml:space="preserve">A.2.1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p>
    <w:p>
      <w:pPr>
        <w:pStyle w:val="BodyText"/>
      </w:pPr>
      <w:r>
        <w:t xml:space="preserve">The cache completeness KPI is set to "pass" for the hour if the percentage of data items cached is not less than 95 per cent of the number published by origin; otherwise it is set to "fail" for the hour.</w:t>
      </w:r>
    </w:p>
    <w:bookmarkEnd w:id="294"/>
    <w:bookmarkStart w:id="295" w:name="Xcdd577a2c1eeb8dbf889c876bc5b2c0ccc0dbff"/>
    <w:p>
      <w:pPr>
        <w:pStyle w:val="Heading3"/>
      </w:pPr>
      <w:r>
        <w:t xml:space="preserve">A.2.2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p>
    <w:p>
      <w:pPr>
        <w:pStyle w:val="BodyText"/>
      </w:pP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200683f39985a19d0f932912432a271fd96f073"/>
    <w:p>
      <w:pPr>
        <w:pStyle w:val="Heading3"/>
      </w:pPr>
      <w:r>
        <w:t xml:space="preserve">A.2.3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6">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7">
    <w:p>
      <w:pPr>
        <w:pStyle w:val="FootnoteText"/>
      </w:pPr>
      <w:r>
        <w:rPr>
          <w:rStyle w:val="FootnoteReference"/>
        </w:rPr>
        <w:footnoteRef/>
      </w:r>
      <w:r>
        <w:t xml:space="preserve"> </w:t>
      </w:r>
      <w:r>
        <w:t xml:space="preserve">AMQP 1.0 is one of the protocols proposed in the draft PANS-IM.</w:t>
      </w:r>
    </w:p>
  </w:footnote>
  <w:footnote w:id="192">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4">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5">
    <w:p>
      <w:pPr>
        <w:pStyle w:val="FootnoteText"/>
      </w:pPr>
      <w:r>
        <w:rPr>
          <w:rStyle w:val="FootnoteReference"/>
        </w:rPr>
        <w:footnoteRef/>
      </w:r>
      <w:r>
        <w:t xml:space="preserve"> </w:t>
      </w:r>
      <w:r>
        <w:t xml:space="preserve">WIS2 does not provide any guidance on use of Public Key Infrastructure (PKI).</w:t>
      </w:r>
    </w:p>
  </w:footnote>
  <w:footnote w:id="196">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7">
    <w:p>
      <w:pPr>
        <w:pStyle w:val="FootnoteText"/>
      </w:pPr>
      <w:r>
        <w:rPr>
          <w:rStyle w:val="FootnoteReference"/>
        </w:rPr>
        <w:footnoteRef/>
      </w:r>
      <w:r>
        <w:t xml:space="preserve"> </w:t>
      </w:r>
      <w:r>
        <w:t xml:space="preserve">Where the data resource does not exceed 4 Kb, it may be embedded in the notification message.</w:t>
      </w:r>
    </w:p>
  </w:footnote>
  <w:footnote w:id="199">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3">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4">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5">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6">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8">
    <w:p>
      <w:pPr>
        <w:pStyle w:val="FootnoteText"/>
      </w:pPr>
      <w:r>
        <w:rPr>
          <w:rStyle w:val="FootnoteReference"/>
        </w:rPr>
        <w:footnoteRef/>
      </w:r>
      <w:r>
        <w:t xml:space="preserve"> </w:t>
      </w:r>
      <w:r>
        <w:t xml:space="preserve">See AMQP 1.0:</w:t>
      </w:r>
      <w:r>
        <w:t xml:space="preserve"> </w:t>
      </w:r>
      <w:hyperlink r:id="rId209">
        <w:r>
          <w:rPr>
            <w:rStyle w:val="Hyperlink"/>
          </w:rPr>
          <w:t xml:space="preserve">https://www.amqp.org/resources/specifications</w:t>
        </w:r>
      </w:hyperlink>
      <w:r>
        <w:t xml:space="preserve">.</w:t>
      </w:r>
    </w:p>
  </w:footnote>
  <w:footnote w:id="212">
    <w:p>
      <w:pPr>
        <w:pStyle w:val="FootnoteText"/>
      </w:pPr>
      <w:r>
        <w:rPr>
          <w:rStyle w:val="FootnoteReference"/>
        </w:rPr>
        <w:footnoteRef/>
      </w:r>
      <w:r>
        <w:t xml:space="preserve"> </w:t>
      </w:r>
      <w:r>
        <w:t xml:space="preserve">See</w:t>
      </w:r>
      <w:r>
        <w:t xml:space="preserve"> </w:t>
      </w:r>
      <w:hyperlink r:id="rId213">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4" Target="media/rId214.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2026-08-19T08:17:44Z</dcterms:created>
  <dcterms:modified xsi:type="dcterms:W3CDTF">2026-08-19T08:17:44Z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2026-08-19</vt:lpwstr>
  </property>
</Properties>
</file>