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20.png" ContentType="image/png"/>
  <Override PartName="/word/media/rId206.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2026-06-04</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2026-02-02</w:t>
            </w:r>
          </w:p>
        </w:tc>
      </w:tr>
      <w:tr>
        <w:tc>
          <w:tcPr/>
          <w:p>
            <w:pPr>
              <w:jc w:val="left"/>
            </w:pPr>
            <w:r>
              <w:t xml:space="preserve">Version: 1.2.0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w:t>
        </w:r>
      </w:hyperlink>
    </w:p>
    <w:p>
      <w:pPr>
        <w:numPr>
          <w:ilvl w:val="0"/>
          <w:numId w:val="1017"/>
        </w:numPr>
      </w:pPr>
      <w:hyperlink w:anchor="Xf0816da4cf7fb19671f2d7fe0d061de4ae60249">
        <w:r>
          <w:rPr>
            <w:rStyle w:val="Hyperlink"/>
          </w:rPr>
          <w:t xml:space="preserve">???</w:t>
        </w:r>
      </w:hyperlink>
    </w:p>
    <w:p>
      <w:pPr>
        <w:numPr>
          <w:ilvl w:val="0"/>
          <w:numId w:val="1017"/>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1"/>
    <w:bookmarkEnd w:id="102"/>
    <w:bookmarkEnd w:id="103"/>
    <w:bookmarkStart w:id="227"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0"/>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2"/>
    <w:bookmarkEnd w:id="123"/>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91"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70" w:name="X6c9286f3864f97cda2ea62bd0fb4492c6ebab7b"/>
    <w:p>
      <w:pPr>
        <w:pStyle w:val="Heading3"/>
      </w:pPr>
      <w:r>
        <w:t xml:space="preserve">2.7.2 Performance management and monitoring of a Global Service</w:t>
      </w:r>
    </w:p>
    <w:bookmarkStart w:id="154"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9"/>
      </w:r>
      <w:r>
        <w:t xml:space="preserve"> </w:t>
      </w:r>
      <w:r>
        <w:t xml:space="preserve">– the widely adopted, de-facto standard</w:t>
      </w:r>
      <w:r>
        <w:rPr>
          <w:rStyle w:val="FootnoteReference"/>
        </w:rPr>
        <w:footnoteReference w:id="151"/>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2"/>
        </w:numPr>
      </w:pPr>
      <w:r>
        <w:rPr>
          <w:rStyle w:val="VerbatimChar"/>
        </w:rPr>
        <w:t xml:space="preserve">wmo_wis2_gc_downloaded_total</w:t>
      </w:r>
    </w:p>
    <w:p>
      <w:pPr>
        <w:numPr>
          <w:ilvl w:val="0"/>
          <w:numId w:val="1042"/>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2"/>
      </w:r>
    </w:p>
    <w:bookmarkEnd w:id="154"/>
    <w:bookmarkStart w:id="155" w:name="Xd362b0b9e354783553b6aa5c019d97d28e1bf73"/>
    <w:p>
      <w:pPr>
        <w:pStyle w:val="Heading4"/>
      </w:pPr>
      <w:r>
        <w:t xml:space="preserve">2.7.2.2 Service levels, performance indicators, and fair usage policies</w:t>
      </w:r>
    </w:p>
    <w:p>
      <w:pPr>
        <w:numPr>
          <w:ilvl w:val="0"/>
          <w:numId w:val="1043"/>
        </w:numPr>
      </w:pPr>
      <w:r>
        <w:t xml:space="preserve">Each WIS centre operating a WIS2 Node is responsible for achieving the highest possible level of service based on its resources and capabilities.</w:t>
      </w:r>
    </w:p>
    <w:p>
      <w:pPr>
        <w:numPr>
          <w:ilvl w:val="0"/>
          <w:numId w:val="1043"/>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3"/>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3"/>
        </w:numPr>
      </w:pPr>
      <w:r>
        <w:t xml:space="preserve">Any Global Service operator anticipating an outage that may exceed 4 hours should notify other WIS2 centres (including other Global Services and the WMO Secretariat) in advance to allow them to prepare for the disruption.</w:t>
      </w:r>
    </w:p>
    <w:p>
      <w:pPr>
        <w:numPr>
          <w:ilvl w:val="0"/>
          <w:numId w:val="1043"/>
        </w:numPr>
      </w:pPr>
      <w:r>
        <w:t xml:space="preserve">A Global Broker:</w:t>
      </w:r>
    </w:p>
    <w:p>
      <w:pPr>
        <w:numPr>
          <w:ilvl w:val="1"/>
          <w:numId w:val="1044"/>
        </w:numPr>
      </w:pPr>
      <w:r>
        <w:t xml:space="preserve">Should support a minimum of 200 WIS2 Nodes or Global Services;</w:t>
      </w:r>
    </w:p>
    <w:p>
      <w:pPr>
        <w:numPr>
          <w:ilvl w:val="1"/>
          <w:numId w:val="1044"/>
        </w:numPr>
      </w:pPr>
      <w:r>
        <w:t xml:space="preserve">Should support a minimum of 1 000 subscribers;</w:t>
      </w:r>
    </w:p>
    <w:p>
      <w:pPr>
        <w:numPr>
          <w:ilvl w:val="1"/>
          <w:numId w:val="1044"/>
        </w:numPr>
      </w:pPr>
      <w:r>
        <w:t xml:space="preserve">Should support the processing of a minimum of 10 000 messages per second.</w:t>
      </w:r>
    </w:p>
    <w:p>
      <w:pPr>
        <w:numPr>
          <w:ilvl w:val="0"/>
          <w:numId w:val="1043"/>
        </w:numPr>
      </w:pPr>
      <w:r>
        <w:t xml:space="preserve">A Global Cache:</w:t>
      </w:r>
    </w:p>
    <w:p>
      <w:pPr>
        <w:numPr>
          <w:ilvl w:val="1"/>
          <w:numId w:val="1045"/>
        </w:numPr>
      </w:pPr>
      <w:r>
        <w:t xml:space="preserve">Should support a minimum of 100 GB of data in the cache;</w:t>
      </w:r>
    </w:p>
    <w:p>
      <w:pPr>
        <w:numPr>
          <w:ilvl w:val="1"/>
          <w:numId w:val="1045"/>
        </w:numPr>
      </w:pPr>
      <w:r>
        <w:t xml:space="preserve">Should support a minimum of 1 000 simultaneous downloads;</w:t>
      </w:r>
    </w:p>
    <w:p>
      <w:pPr>
        <w:numPr>
          <w:ilvl w:val="1"/>
          <w:numId w:val="1045"/>
        </w:numPr>
      </w:pPr>
      <w:r>
        <w:t xml:space="preserve">Could limit the number of simultaneous connections from a user (known by its originating source IP) to five;</w:t>
      </w:r>
    </w:p>
    <w:p>
      <w:pPr>
        <w:numPr>
          <w:ilvl w:val="1"/>
          <w:numId w:val="1045"/>
        </w:numPr>
      </w:pPr>
      <w:r>
        <w:t xml:space="preserve">Could limit the bandwidth usage of the service to 1 Gb/s.</w:t>
      </w:r>
    </w:p>
    <w:p>
      <w:pPr>
        <w:numPr>
          <w:ilvl w:val="0"/>
          <w:numId w:val="1043"/>
        </w:numPr>
      </w:pPr>
      <w:r>
        <w:t xml:space="preserve">A Global Monitor:</w:t>
      </w:r>
    </w:p>
    <w:p>
      <w:pPr>
        <w:numPr>
          <w:ilvl w:val="1"/>
          <w:numId w:val="1046"/>
        </w:numPr>
      </w:pPr>
      <w:r>
        <w:t xml:space="preserve">Should support a minimum of 50 metrics providers;</w:t>
      </w:r>
    </w:p>
    <w:p>
      <w:pPr>
        <w:numPr>
          <w:ilvl w:val="1"/>
          <w:numId w:val="1046"/>
        </w:numPr>
      </w:pPr>
      <w:r>
        <w:t xml:space="preserve">Should support 200 simultaneous "access" to the dashboard;</w:t>
      </w:r>
    </w:p>
    <w:p>
      <w:pPr>
        <w:numPr>
          <w:ilvl w:val="1"/>
          <w:numId w:val="1046"/>
        </w:numPr>
      </w:pPr>
      <w:r>
        <w:t xml:space="preserve">Could limit the bandwidth usage of the service to 100 Mb/s.</w:t>
      </w:r>
    </w:p>
    <w:p>
      <w:pPr>
        <w:numPr>
          <w:ilvl w:val="0"/>
          <w:numId w:val="1043"/>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50 requests per second to the API endpoint.</w:t>
      </w:r>
    </w:p>
    <w:bookmarkEnd w:id="155"/>
    <w:bookmarkStart w:id="156"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6"/>
    <w:bookmarkStart w:id="157" w:name="X5cf8facfca0797dd12b99d36a4bfeece4ec9a3a"/>
    <w:p>
      <w:pPr>
        <w:pStyle w:val="Heading4"/>
      </w:pPr>
      <w:r>
        <w:t xml:space="preserve">2.7.2.4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7"/>
    <w:bookmarkStart w:id="158"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8"/>
    <w:bookmarkStart w:id="159"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59"/>
    <w:bookmarkStart w:id="160"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0"/>
    <w:bookmarkStart w:id="164" w:name="X1f2b8056b1bd6aa22a5e64a361c532f9248adb0"/>
    <w:p>
      <w:pPr>
        <w:pStyle w:val="Heading4"/>
      </w:pPr>
      <w:r>
        <w:t xml:space="preserve">2.7.2.8 Remediation and restoration</w:t>
      </w:r>
    </w:p>
    <w:bookmarkStart w:id="161" w:name="Xa6489e71dbb7adf3869f5288cf5cfd57c0adae1"/>
    <w:p>
      <w:pPr>
        <w:pStyle w:val="Heading5"/>
      </w:pPr>
      <w:r>
        <w:t xml:space="preserve">2.7.2.8.1 Deadline for restoring performance</w:t>
      </w:r>
    </w:p>
    <w:p>
      <w:pPr>
        <w:pStyle w:val="FirstParagraph"/>
      </w:pPr>
      <w:r>
        <w:t xml:space="preserve">Following notification under §2.8.2.1 of the Manual,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1"/>
    <w:bookmarkStart w:id="162"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2"/>
    <w:bookmarkStart w:id="163"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3"/>
    <w:bookmarkEnd w:id="164"/>
    <w:bookmarkStart w:id="169" w:name="Xbb196aef4bbe90acded942acff9df772a2bc37d"/>
    <w:p>
      <w:pPr>
        <w:pStyle w:val="Heading4"/>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technical checks corresponding to each criterion are maintained by the WMO Secretariat on behalf of SC-IMT and are published as a technical reference.</w:t>
      </w:r>
    </w:p>
    <w:bookmarkStart w:id="165" w:name="X4aeea2dea805644bc11c7a153267ed928120044"/>
    <w:p>
      <w:pPr>
        <w:pStyle w:val="Heading5"/>
      </w:pPr>
      <w:r>
        <w:t xml:space="preserve">2.7.2.9.1 Global Broker</w:t>
      </w:r>
    </w:p>
    <w:p>
      <w:pPr>
        <w:pStyle w:val="FirstParagraph"/>
      </w:pPr>
      <w:r>
        <w:t xml:space="preserve">The operational status of a Global Broker is assessed against two criteria, both measured through the Sensor Centres for Global Brokers operating in different parts of the globe so as to reduce the influence of localized network conditions or of any individual Sensor Centre. The first criterion, message completeness, is the proportion of the notification messages available on WIS 2.0 that the Global Broker makes available to its subscribers; it is computed for each hour by comparing the number of messages received from the Global Broker by the Sensor Centres against the reference number of messages determined across all Global Brokers. The second criterion, connectivity, is the proportion of the hour during which the public MQTT endpoints of the Global Broker are reachable; it is determined from the connection status recorded by the Sensor Centres for each Global Broker.</w:t>
      </w:r>
    </w:p>
    <w:p>
      <w:pPr>
        <w:pStyle w:val="BodyText"/>
      </w:pPr>
      <w:r>
        <w:t xml:space="preserve">For each hour, the Global Broker is considered operational where both message completeness and connectivity are not less than 95 per cent. The proportion of operational time for the calendar month is computed from these hourly determinations in accordance with section 2.7.2.6. The topic hierarchy conforms with Appendix D of the Manual, and the operational metrics required under §4.7 of the Manual are published. The detailed metric definitions are set out in the technical reference document.</w:t>
      </w:r>
    </w:p>
    <w:p>
      <w:pPr>
        <w:pStyle w:val="BodyText"/>
      </w:pPr>
      <w:r>
        <w:t xml:space="preserve">For a Global Broker, the service level is not less than 99.5 per cent of operational time per calendar month.</w:t>
      </w:r>
    </w:p>
    <w:bookmarkEnd w:id="165"/>
    <w:bookmarkStart w:id="166" w:name="Xa31f67b04273c588471c29ff2749a0cbc79116a"/>
    <w:p>
      <w:pPr>
        <w:pStyle w:val="Heading5"/>
      </w:pPr>
      <w:r>
        <w:t xml:space="preserve">2.7.2.9.2 Global Cache</w:t>
      </w:r>
    </w:p>
    <w:p>
      <w:pPr>
        <w:pStyle w:val="FirstParagraph"/>
      </w:pPr>
      <w:r>
        <w:t xml:space="preserve">The operational status of a Global Cache is assessed against two criteria, both measured through the Sensor Centres for Global Caches operating in different parts of the globe so as to reduce the influence of localized network conditions or of any individual Sensor Centre. The first criterion, cache completeness, is the proportion of data granules required to be cached, that is excluding granules not designated for caching, that are successfully cached by the Global Cache; it is computed for each hour from the metrics published by the Sensor Centres, as the number of messages published less the number of messages missed, divided by the number of messages published. The second criterion, download availability, is the proportion of cached data granules that can be successfully downloaded from the Global Cache; it is computed for each hour from a random sample of cached granules selected and retrieved by each Sensor Centre.</w:t>
      </w:r>
    </w:p>
    <w:p>
      <w:pPr>
        <w:pStyle w:val="BodyText"/>
      </w:pPr>
      <w:r>
        <w:t xml:space="preserve">For each hour, the Global Cache is considered operational where both cache completeness and download availability are not less than 95 per cent. The proportion of operational time for the calendar month is computed from these hourly determinations in accordance with section 2.7.2.6. One hundred per cent of cached data is retained for the period required by Part III of the Manual, and the operational metrics required under §4.7 of the Manual are published. The size of the hourly download sample and the detailed metric definitions are set out in the technical reference document.</w:t>
      </w:r>
    </w:p>
    <w:p>
      <w:pPr>
        <w:pStyle w:val="BodyText"/>
      </w:pPr>
      <w:r>
        <w:t xml:space="preserve">For a Global Cache, the service level is not less than 98 per cent of operational time per calendar month.</w:t>
      </w:r>
    </w:p>
    <w:bookmarkEnd w:id="166"/>
    <w:bookmarkStart w:id="167" w:name="X18e420a9762b1d226bd0a027383e028da32655a"/>
    <w:p>
      <w:pPr>
        <w:pStyle w:val="Heading5"/>
      </w:pPr>
      <w:r>
        <w:t xml:space="preserve">2.7.2.9.3 Global Discovery Catalogue</w:t>
      </w:r>
    </w:p>
    <w:p>
      <w:pPr>
        <w:pStyle w:val="FirstParagraph"/>
      </w:pPr>
      <w:r>
        <w:t xml:space="preserve">A Global Discovery Catalogue is considered operational when, evaluated continuously over the assessment period: not less than 99 per cent of WCMP2 metadata records published by source catalogues are successfully harvested within the latency target set out in the technical reference document; the search and access interfaces are available to consumers for not less than 99.9 per cent of the time, with response times below the threshold set out in the technical reference document; one hundred per cent of catalogue records conform to the WMO Core Metadata Profile (Appendix F of the Manual); and the operational metrics required under §4.7 of the Manual are published.</w:t>
      </w:r>
    </w:p>
    <w:p>
      <w:pPr>
        <w:pStyle w:val="BodyText"/>
      </w:pPr>
      <w:r>
        <w:t xml:space="preserve">For a Global Discovery Catalogue, the service level is not less than 98 per cent of operational time per calendar month.</w:t>
      </w:r>
    </w:p>
    <w:bookmarkEnd w:id="167"/>
    <w:bookmarkStart w:id="168" w:name="X70211b07e938a461f096d40f78cc811a29852d7"/>
    <w:p>
      <w:pPr>
        <w:pStyle w:val="Heading5"/>
      </w:pPr>
      <w:r>
        <w:t xml:space="preserve">2.7.2.9.4 Global Monitor</w:t>
      </w:r>
    </w:p>
    <w:p>
      <w:pPr>
        <w:pStyle w:val="FirstParagraph"/>
      </w:pPr>
      <w:r>
        <w:t xml:space="preserve">A Global Monitor is considered operational when, evaluated continuously over the assessment period: not less than 99 per cent of operational metric streams published by Global Services and Sensor Centres are successfully ingested; the dashboards and statistical summary interfaces are available to consumers for not less than 99 per cent of the time; and not less than 99 per cent of operational issues meeting the alerting criteria set out in the technical reference document trigger an alert within the latency target set out in the same document.</w:t>
      </w:r>
    </w:p>
    <w:p>
      <w:pPr>
        <w:pStyle w:val="BodyText"/>
      </w:pPr>
      <w:r>
        <w:t xml:space="preserve">For a Global Monitor, the service level is not less than 98 per cent of operational time per calendar month.</w:t>
      </w:r>
    </w:p>
    <w:p>
      <w:pPr>
        <w:pStyle w:val="BodyText"/>
      </w:pPr>
      <w:r>
        <w:t xml:space="preserve">The detailed endpoint checks, conformance tests and operational criteria for each category of Global Service are maintained in a technical reference document published by the WMO Secretariat on behalf of SC-IMT as the operational practice evolves.</w:t>
      </w:r>
    </w:p>
    <w:bookmarkEnd w:id="168"/>
    <w:bookmarkEnd w:id="169"/>
    <w:bookmarkEnd w:id="170"/>
    <w:bookmarkStart w:id="172" w:name="Xfcc4be4805698cc05bd4c15ebadc91a96d644ff"/>
    <w:p>
      <w:pPr>
        <w:pStyle w:val="Heading3"/>
      </w:pPr>
      <w:r>
        <w:t xml:space="preserve">2.7.3 Global Broker</w:t>
      </w:r>
    </w:p>
    <w:bookmarkStart w:id="171" w:name="X1743ecdc5ae40c6a768ea9d4a6e7d6853856958"/>
    <w:p>
      <w:pPr>
        <w:pStyle w:val="Heading4"/>
      </w:pPr>
      <w:r>
        <w:t xml:space="preserve">2.7.3.1 Technical considerations</w:t>
      </w:r>
    </w:p>
    <w:p>
      <w:pPr>
        <w:numPr>
          <w:ilvl w:val="0"/>
          <w:numId w:val="1048"/>
        </w:numPr>
      </w:pPr>
      <w:r>
        <w:t xml:space="preserve">As detailed above, there will be at least three Global Brokers to ensure that messages within WIS2 are highly available and delivered globally with low latency.</w:t>
      </w:r>
    </w:p>
    <w:p>
      <w:pPr>
        <w:numPr>
          <w:ilvl w:val="0"/>
          <w:numId w:val="1048"/>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8"/>
        </w:numPr>
      </w:pPr>
      <w:r>
        <w:t xml:space="preserve">Every WIS2 Node or Global Service must have subscriptions from at least two Global Brokers.</w:t>
      </w:r>
    </w:p>
    <w:p>
      <w:pPr>
        <w:numPr>
          <w:ilvl w:val="0"/>
          <w:numId w:val="1048"/>
        </w:numPr>
      </w:pPr>
      <w:r>
        <w:t xml:space="preserve">For full global coverage, a Global Broker will subscribe to messages from at least two other Global Brokers.</w:t>
      </w:r>
    </w:p>
    <w:p>
      <w:pPr>
        <w:numPr>
          <w:ilvl w:val="0"/>
          <w:numId w:val="1048"/>
        </w:numPr>
      </w:pPr>
      <w:r>
        <w:t xml:space="preserve">When subscribing to messages from WIS2 Nodes and other Global Services, a Global Broker must authenticate using the valid credentials managed by the WIS centre and available at WMO Secretariat.</w:t>
      </w:r>
    </w:p>
    <w:p>
      <w:pPr>
        <w:numPr>
          <w:ilvl w:val="0"/>
          <w:numId w:val="1048"/>
        </w:numPr>
      </w:pPr>
      <w:r>
        <w:t xml:space="preserve">A Global Broker is built around two software components:</w:t>
      </w:r>
    </w:p>
    <w:p>
      <w:pPr>
        <w:numPr>
          <w:ilvl w:val="1"/>
          <w:numId w:val="1049"/>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9"/>
        </w:numPr>
      </w:pPr>
      <w:r>
        <w:t xml:space="preserve">Additional features, including anti-loop detection, notification message format compliance, validation of the published topic, and metrics provision.</w:t>
      </w:r>
    </w:p>
    <w:p>
      <w:pPr>
        <w:numPr>
          <w:ilvl w:val="0"/>
          <w:numId w:val="1048"/>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8"/>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8"/>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8"/>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8"/>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8"/>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8"/>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8"/>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8"/>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8"/>
        </w:numPr>
      </w:pPr>
      <w:r>
        <w:t xml:space="preserve">All above-defined metrics will be made available on HTTPS endpoints that the Global Monitor will ingest regularly.</w:t>
      </w:r>
    </w:p>
    <w:p>
      <w:pPr>
        <w:numPr>
          <w:ilvl w:val="0"/>
          <w:numId w:val="1048"/>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8"/>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71"/>
    <w:bookmarkEnd w:id="172"/>
    <w:bookmarkStart w:id="178"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3" w:name="X9c5e2e4a13ef58aa69d25e04cf77a45be046e40"/>
    <w:p>
      <w:pPr>
        <w:pStyle w:val="Heading4"/>
      </w:pPr>
      <w:r>
        <w:t xml:space="preserve">2.7.4.1 Technical considerations</w:t>
      </w:r>
    </w:p>
    <w:p>
      <w:pPr>
        <w:numPr>
          <w:ilvl w:val="0"/>
          <w:numId w:val="1050"/>
        </w:numPr>
      </w:pPr>
      <w:r>
        <w:t xml:space="preserve">A Global Cache is built around three software components:</w:t>
      </w:r>
    </w:p>
    <w:p>
      <w:pPr>
        <w:numPr>
          <w:ilvl w:val="1"/>
          <w:numId w:val="1051"/>
        </w:numPr>
      </w:pPr>
      <w:r>
        <w:t xml:space="preserve">A highly available data server allowing data consumers to download cache resources with high bandwidth and low latency;</w:t>
      </w:r>
    </w:p>
    <w:p>
      <w:pPr>
        <w:numPr>
          <w:ilvl w:val="1"/>
          <w:numId w:val="1051"/>
        </w:numPr>
      </w:pPr>
      <w:r>
        <w:t xml:space="preserve">A Message Broker implementing both MQTTv3.1.1 and MQTTv5 to publish notification messages about resources that are available from the Global Cache;</w:t>
      </w:r>
    </w:p>
    <w:p>
      <w:pPr>
        <w:numPr>
          <w:ilvl w:val="1"/>
          <w:numId w:val="1051"/>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0"/>
        </w:numPr>
      </w:pPr>
      <w:r>
        <w:t xml:space="preserve">A Global Cache will aim to contain copies of real-time and near real-time data designated as "core" within the WMO Unified Data Policy (Resolution 1 (Cg-Ext(2021))).</w:t>
      </w:r>
    </w:p>
    <w:p>
      <w:pPr>
        <w:numPr>
          <w:ilvl w:val="0"/>
          <w:numId w:val="1050"/>
        </w:numPr>
      </w:pPr>
      <w:r>
        <w:t xml:space="preserve">A Global Cache will host data objects copied from NCs/DCPCs.</w:t>
      </w:r>
    </w:p>
    <w:p>
      <w:pPr>
        <w:numPr>
          <w:ilvl w:val="0"/>
          <w:numId w:val="1050"/>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50"/>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50"/>
        </w:numPr>
      </w:pPr>
      <w:r>
        <w:t xml:space="preserve">A Global Cache will publish to the topic</w:t>
      </w:r>
      <w:r>
        <w:t xml:space="preserve"> </w:t>
      </w:r>
      <w:r>
        <w:rPr>
          <w:rStyle w:val="VerbatimChar"/>
        </w:rPr>
        <w:t xml:space="preserve">cache/a/wis2/…​</w:t>
      </w:r>
      <w:r>
        <w:t xml:space="preserve">.</w:t>
      </w:r>
    </w:p>
    <w:p>
      <w:pPr>
        <w:numPr>
          <w:ilvl w:val="0"/>
          <w:numId w:val="1050"/>
        </w:numPr>
      </w:pPr>
      <w:r>
        <w:t xml:space="preserve">There will be multiple Global Cache to ensure the highly available, low-latency global provision of real-time and near-real-time core data within WIS2.</w:t>
      </w:r>
    </w:p>
    <w:p>
      <w:pPr>
        <w:numPr>
          <w:ilvl w:val="0"/>
          <w:numId w:val="1050"/>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0"/>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0"/>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0"/>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0"/>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0"/>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0"/>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0"/>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50"/>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0"/>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50"/>
        </w:numPr>
      </w:pPr>
      <w:r>
        <w:t xml:space="preserve">As a convention, the Global Cache centre-id will be</w:t>
      </w:r>
      <w:r>
        <w:t xml:space="preserve"> </w:t>
      </w:r>
      <w:r>
        <w:rPr>
          <w:rStyle w:val="VerbatimChar"/>
        </w:rPr>
        <w:t xml:space="preserve">{tld}-{centre-name}-global-cache</w:t>
      </w:r>
      <w:r>
        <w:t xml:space="preserve">.</w:t>
      </w:r>
    </w:p>
    <w:bookmarkEnd w:id="173"/>
    <w:bookmarkStart w:id="177" w:name="Xccc1cebb6c94847684ab046188074f284443b3a"/>
    <w:p>
      <w:pPr>
        <w:pStyle w:val="Heading4"/>
      </w:pPr>
      <w:r>
        <w:t xml:space="preserve">2.7.4.2 Practices and procedures</w:t>
      </w:r>
    </w:p>
    <w:p>
      <w:pPr>
        <w:numPr>
          <w:ilvl w:val="0"/>
          <w:numId w:val="1052"/>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2"/>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74"/>
      </w:r>
    </w:p>
    <w:p>
      <w:pPr>
        <w:numPr>
          <w:ilvl w:val="0"/>
          <w:numId w:val="1052"/>
        </w:numPr>
      </w:pPr>
      <w:r>
        <w:t xml:space="preserve">A Global Cache shall retain the data and metadata it receives for a minimum of 24 hours. Requirements relating to varying retention times for different types of data may be added later.</w:t>
      </w:r>
    </w:p>
    <w:p>
      <w:pPr>
        <w:numPr>
          <w:ilvl w:val="0"/>
          <w:numId w:val="1052"/>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3"/>
        </w:numPr>
      </w:pPr>
      <w:r>
        <w:t xml:space="preserve">If the message contains the property</w:t>
      </w:r>
      <w:r>
        <w:t xml:space="preserve"> </w:t>
      </w:r>
      <w:r>
        <w:rPr>
          <w:rStyle w:val="VerbatimChar"/>
        </w:rPr>
        <w:t xml:space="preserve">"properties.cache": false</w:t>
      </w:r>
      <w:r>
        <w:t xml:space="preserve">,</w:t>
      </w:r>
    </w:p>
    <w:p>
      <w:pPr>
        <w:numPr>
          <w:ilvl w:val="2"/>
          <w:numId w:val="1054"/>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3"/>
        </w:numPr>
      </w:pPr>
      <w:r>
        <w:t xml:space="preserve">Else</w:t>
      </w:r>
    </w:p>
    <w:p>
      <w:pPr>
        <w:numPr>
          <w:ilvl w:val="2"/>
          <w:numId w:val="1055"/>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5"/>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5"/>
        </w:numPr>
      </w:pPr>
      <w:r>
        <w:t xml:space="preserve">If the message is new or updated:</w:t>
      </w:r>
    </w:p>
    <w:p>
      <w:pPr>
        <w:numPr>
          <w:ilvl w:val="3"/>
          <w:numId w:val="1056"/>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6"/>
        </w:numPr>
      </w:pPr>
      <w:r>
        <w:t xml:space="preserve">If the message contains an integrity value for the data, verify the integrity of the data;</w:t>
      </w:r>
    </w:p>
    <w:p>
      <w:pPr>
        <w:numPr>
          <w:ilvl w:val="3"/>
          <w:numId w:val="1056"/>
        </w:numPr>
      </w:pPr>
      <w:r>
        <w:t xml:space="preserve">If data is downloaded successfully, move the data to the HTTP endpoint of the Global Cache;</w:t>
      </w:r>
    </w:p>
    <w:p>
      <w:pPr>
        <w:numPr>
          <w:ilvl w:val="3"/>
          <w:numId w:val="1056"/>
        </w:numPr>
      </w:pPr>
      <w:r>
        <w:t xml:space="preserve">Wait until the data becomes available at the endpoint;</w:t>
      </w:r>
    </w:p>
    <w:p>
      <w:pPr>
        <w:numPr>
          <w:ilvl w:val="3"/>
          <w:numId w:val="1056"/>
        </w:numPr>
      </w:pPr>
      <w:r>
        <w:t xml:space="preserve">Add the property</w:t>
      </w:r>
      <w:r>
        <w:t xml:space="preserve"> </w:t>
      </w:r>
      <w:r>
        <w:rPr>
          <w:rStyle w:val="VerbatimChar"/>
        </w:rPr>
        <w:t xml:space="preserve">properties.global-cache</w:t>
      </w:r>
      <w:r>
        <w:t xml:space="preserve"> </w:t>
      </w:r>
      <w:r>
        <w:t xml:space="preserve">with the value of the centre identifier of the Global Cache to identify the origin of the data source downloaded by downstream applications;</w:t>
      </w:r>
    </w:p>
    <w:p>
      <w:pPr>
        <w:numPr>
          <w:ilvl w:val="3"/>
          <w:numId w:val="1056"/>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6"/>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6"/>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5"/>
        </w:numPr>
      </w:pPr>
      <w:r>
        <w:t xml:space="preserve">Else</w:t>
      </w:r>
    </w:p>
    <w:p>
      <w:pPr>
        <w:numPr>
          <w:ilvl w:val="3"/>
          <w:numId w:val="1057"/>
        </w:numPr>
      </w:pPr>
      <w:r>
        <w:t xml:space="preserve">Drop the messages for data already present in the Global Cache.</w:t>
      </w:r>
    </w:p>
    <w:p>
      <w:pPr>
        <w:numPr>
          <w:ilvl w:val="0"/>
          <w:numId w:val="1052"/>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2"/>
        </w:numPr>
      </w:pPr>
      <w:r>
        <w:t xml:space="preserve">A Global Cache shall provide the metric defined in this Guide at an HTTP endpoint.</w:t>
      </w:r>
    </w:p>
    <w:p>
      <w:pPr>
        <w:numPr>
          <w:ilvl w:val="0"/>
          <w:numId w:val="1052"/>
        </w:numPr>
      </w:pPr>
      <w:r>
        <w:t xml:space="preserve">A Global Cache should make sure that data are downloaded in parallel and that downloads are not blocking each other.</w:t>
      </w:r>
    </w:p>
    <w:p>
      <w:pPr>
        <w:numPr>
          <w:ilvl w:val="0"/>
          <w:numId w:val="1052"/>
        </w:numPr>
      </w:pPr>
      <w:r>
        <w:t xml:space="preserve">A Global Cache will implement</w:t>
      </w:r>
      <w:r>
        <w:t xml:space="preserve"> </w:t>
      </w:r>
      <w:hyperlink r:id="rId175">
        <w:r>
          <w:rPr>
            <w:rStyle w:val="Hyperlink"/>
          </w:rPr>
          <w:t xml:space="preserve">Status Code Definitions</w:t>
        </w:r>
      </w:hyperlink>
      <w:r>
        <w:t xml:space="preserve"> </w:t>
      </w:r>
      <w:r>
        <w:t xml:space="preserve">as defined by the</w:t>
      </w:r>
      <w:r>
        <w:t xml:space="preserve"> </w:t>
      </w:r>
      <w:hyperlink r:id="rId176">
        <w:r>
          <w:rPr>
            <w:rStyle w:val="Hyperlink"/>
          </w:rPr>
          <w:t xml:space="preserve">HTTP specification</w:t>
        </w:r>
      </w:hyperlink>
      <w:r>
        <w:t xml:space="preserve">.</w:t>
      </w:r>
    </w:p>
    <w:p>
      <w:pPr>
        <w:numPr>
          <w:ilvl w:val="0"/>
          <w:numId w:val="1052"/>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2"/>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77"/>
    <w:bookmarkEnd w:id="178"/>
    <w:bookmarkStart w:id="188" w:name="Xe83d0dcd18513bbe57a5c411a3835908b8c6b21"/>
    <w:p>
      <w:pPr>
        <w:pStyle w:val="Heading3"/>
      </w:pPr>
      <w:r>
        <w:t xml:space="preserve">2.7.5 Global Discovery Catalogue</w:t>
      </w:r>
    </w:p>
    <w:bookmarkStart w:id="185" w:name="Xb7d6d3d16ef70a3c0bed12e0915cfe71af7259a"/>
    <w:p>
      <w:pPr>
        <w:pStyle w:val="Heading4"/>
      </w:pPr>
      <w:r>
        <w:t xml:space="preserve">2.7.5.1 Technical considerations</w:t>
      </w:r>
    </w:p>
    <w:p>
      <w:pPr>
        <w:numPr>
          <w:ilvl w:val="0"/>
          <w:numId w:val="1058"/>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8"/>
        </w:numPr>
      </w:pPr>
      <w:r>
        <w:t xml:space="preserve">The Global Discovery Catalogue implements the OGC API – Records – Part 1: Core standard</w:t>
      </w:r>
      <w:r>
        <w:rPr>
          <w:rStyle w:val="FootnoteReference"/>
        </w:rPr>
        <w:footnoteReference w:id="179"/>
      </w:r>
      <w:r>
        <w:t xml:space="preserve">, adhering to the following conformance classes and their dependencies:</w:t>
      </w:r>
    </w:p>
    <w:p>
      <w:pPr>
        <w:numPr>
          <w:ilvl w:val="1"/>
          <w:numId w:val="1059"/>
        </w:numPr>
      </w:pPr>
      <w:r>
        <w:t xml:space="preserve">Searchable Catalog (Deployment);</w:t>
      </w:r>
    </w:p>
    <w:p>
      <w:pPr>
        <w:numPr>
          <w:ilvl w:val="1"/>
          <w:numId w:val="1059"/>
        </w:numPr>
      </w:pPr>
      <w:r>
        <w:t xml:space="preserve">Searchable Catalog - Sorting (Deployment);</w:t>
      </w:r>
    </w:p>
    <w:p>
      <w:pPr>
        <w:numPr>
          <w:ilvl w:val="1"/>
          <w:numId w:val="1059"/>
        </w:numPr>
      </w:pPr>
      <w:r>
        <w:t xml:space="preserve">Searchable Catalog - Filtering (Deployment);</w:t>
      </w:r>
    </w:p>
    <w:p>
      <w:pPr>
        <w:numPr>
          <w:ilvl w:val="1"/>
          <w:numId w:val="1059"/>
        </w:numPr>
      </w:pPr>
      <w:r>
        <w:t xml:space="preserve">JSON (Common Component);</w:t>
      </w:r>
    </w:p>
    <w:p>
      <w:pPr>
        <w:numPr>
          <w:ilvl w:val="1"/>
          <w:numId w:val="1059"/>
        </w:numPr>
      </w:pPr>
      <w:r>
        <w:t xml:space="preserve">HTML (Common Component).</w:t>
      </w:r>
    </w:p>
    <w:p>
      <w:pPr>
        <w:numPr>
          <w:ilvl w:val="0"/>
          <w:numId w:val="1058"/>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8"/>
        </w:numPr>
      </w:pPr>
      <w:r>
        <w:t xml:space="preserve">The Global Discovery Catalogue advertises the availability of datasets and how to access them or subscribe to updates.</w:t>
      </w:r>
    </w:p>
    <w:p>
      <w:pPr>
        <w:numPr>
          <w:ilvl w:val="0"/>
          <w:numId w:val="1058"/>
        </w:numPr>
      </w:pPr>
      <w:r>
        <w:t xml:space="preserve">The Global Discovery Catalogue does not advertise or list the availability of individual data objects that comprise a dataset (that is, data files).</w:t>
      </w:r>
    </w:p>
    <w:p>
      <w:pPr>
        <w:numPr>
          <w:ilvl w:val="0"/>
          <w:numId w:val="1058"/>
        </w:numPr>
      </w:pPr>
      <w:r>
        <w:t xml:space="preserve">A single Global Discovery Catalogue is sufficient for WIS2.</w:t>
      </w:r>
    </w:p>
    <w:p>
      <w:pPr>
        <w:numPr>
          <w:ilvl w:val="0"/>
          <w:numId w:val="1058"/>
        </w:numPr>
      </w:pPr>
      <w:r>
        <w:t xml:space="preserve">Multiple Global Discovery Catalogues may be deployed for resilience.</w:t>
      </w:r>
    </w:p>
    <w:p>
      <w:pPr>
        <w:numPr>
          <w:ilvl w:val="0"/>
          <w:numId w:val="1058"/>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8"/>
        </w:numPr>
      </w:pPr>
      <w:r>
        <w:t xml:space="preserve">A Global Discovery Catalogue is populated with discovery metadata records from a Global Cache and receives messages about the availability of discovery metadata records via a Global Broker.</w:t>
      </w:r>
    </w:p>
    <w:p>
      <w:pPr>
        <w:numPr>
          <w:ilvl w:val="1"/>
          <w:numId w:val="1060"/>
        </w:numPr>
      </w:pPr>
      <w:r>
        <w:t xml:space="preserve">The subscription topic shall be</w:t>
      </w:r>
      <w:r>
        <w:t xml:space="preserve"> </w:t>
      </w:r>
      <w:r>
        <w:rPr>
          <w:rStyle w:val="VerbatimChar"/>
        </w:rPr>
        <w:t xml:space="preserve">cache/a/wis2/+/metadata/#</w:t>
      </w:r>
      <w:r>
        <w:t xml:space="preserve">.</w:t>
      </w:r>
    </w:p>
    <w:p>
      <w:pPr>
        <w:numPr>
          <w:ilvl w:val="0"/>
          <w:numId w:val="1058"/>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8"/>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8"/>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8"/>
        </w:numPr>
      </w:pPr>
      <w:r>
        <w:t xml:space="preserve">A Global Discovery Catalogue may perform quality assessment of discovery metadata against the WCMP2 Key Performance Indicators (KPIs)</w:t>
      </w:r>
      <w:r>
        <w:t xml:space="preserve"> </w:t>
      </w:r>
      <w:r>
        <w:rPr>
          <w:rStyle w:val="FootnoteReference"/>
        </w:rPr>
        <w:footnoteReference w:id="181"/>
      </w:r>
      <w:r>
        <w:t xml:space="preserve">, providing the following metrics as defined in the WIS2 Metric Hierarchy</w:t>
      </w:r>
      <w:r>
        <w:t xml:space="preserve"> </w:t>
      </w:r>
      <w:r>
        <w:rPr>
          <w:rStyle w:val="FootnoteReference"/>
        </w:rPr>
        <w:footnoteReference w:id="183"/>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8"/>
        </w:numPr>
      </w:pPr>
      <w:r>
        <w:t xml:space="preserve">A single Global Discovery Catalogue perfoming quality assessment is sufficient for WIS2.</w:t>
      </w:r>
    </w:p>
    <w:p>
      <w:pPr>
        <w:numPr>
          <w:ilvl w:val="0"/>
          <w:numId w:val="1058"/>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8"/>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8"/>
        </w:numPr>
      </w:pPr>
      <w:r>
        <w:t xml:space="preserve">A Global Discovery Catalogue will remove discovery metadata that are marked for deletion as specified in the data notification message.</w:t>
      </w:r>
    </w:p>
    <w:p>
      <w:pPr>
        <w:numPr>
          <w:ilvl w:val="0"/>
          <w:numId w:val="1058"/>
        </w:numPr>
      </w:pPr>
      <w:r>
        <w:t xml:space="preserve">A Global Discovery Catalogue should apply faceting capability as specified in the cataloguing considerations of the WCMP2 specification, as defined in OGC API - Records.</w:t>
      </w:r>
    </w:p>
    <w:p>
      <w:pPr>
        <w:numPr>
          <w:ilvl w:val="0"/>
          <w:numId w:val="1058"/>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8"/>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8"/>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8"/>
        </w:numPr>
      </w:pPr>
      <w:r>
        <w:t xml:space="preserve">A Global Discovery Catalogue may initialize itself (cold start) from a zip file of all WCMP2 records published.</w:t>
      </w:r>
    </w:p>
    <w:p>
      <w:pPr>
        <w:numPr>
          <w:ilvl w:val="0"/>
          <w:numId w:val="1058"/>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85"/>
    <w:bookmarkStart w:id="187"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1"/>
        </w:numPr>
      </w:pPr>
      <w:r>
        <w:t xml:space="preserve">Discovery metadata subscription and publication from the Global Broker;</w:t>
      </w:r>
    </w:p>
    <w:p>
      <w:pPr>
        <w:numPr>
          <w:ilvl w:val="0"/>
          <w:numId w:val="1061"/>
        </w:numPr>
      </w:pPr>
      <w:r>
        <w:t xml:space="preserve">Discovery metadata download from the Global Cache;</w:t>
      </w:r>
    </w:p>
    <w:p>
      <w:pPr>
        <w:numPr>
          <w:ilvl w:val="0"/>
          <w:numId w:val="1061"/>
        </w:numPr>
      </w:pPr>
      <w:r>
        <w:t xml:space="preserve">Discovery metadata validation, ingest and publication;</w:t>
      </w:r>
    </w:p>
    <w:p>
      <w:pPr>
        <w:numPr>
          <w:ilvl w:val="0"/>
          <w:numId w:val="1061"/>
        </w:numPr>
      </w:pPr>
      <w:r>
        <w:t xml:space="preserve">WCMP2 compliance;</w:t>
      </w:r>
    </w:p>
    <w:p>
      <w:pPr>
        <w:numPr>
          <w:ilvl w:val="0"/>
          <w:numId w:val="1061"/>
        </w:numPr>
      </w:pPr>
      <w:r>
        <w:t xml:space="preserve">Quality assessment (KPIs);</w:t>
      </w:r>
    </w:p>
    <w:p>
      <w:pPr>
        <w:numPr>
          <w:ilvl w:val="0"/>
          <w:numId w:val="1061"/>
        </w:numPr>
      </w:pPr>
      <w:r>
        <w:t xml:space="preserve">OGC API - Records - Part 1: Core compliance;</w:t>
      </w:r>
    </w:p>
    <w:p>
      <w:pPr>
        <w:numPr>
          <w:ilvl w:val="0"/>
          <w:numId w:val="1061"/>
        </w:numPr>
      </w:pPr>
      <w:r>
        <w:t xml:space="preserve">Metrics reporting;</w:t>
      </w:r>
    </w:p>
    <w:p>
      <w:pPr>
        <w:numPr>
          <w:ilvl w:val="0"/>
          <w:numId w:val="1061"/>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6">
        <w:r>
          <w:rPr>
            <w:rStyle w:val="Hyperlink"/>
          </w:rPr>
          <w:t xml:space="preserve">https://github.com/wmo-im/wis2-gdc</w:t>
        </w:r>
      </w:hyperlink>
      <w:r>
        <w:t xml:space="preserve">.</w:t>
      </w:r>
    </w:p>
    <w:bookmarkEnd w:id="187"/>
    <w:bookmarkEnd w:id="188"/>
    <w:bookmarkStart w:id="190" w:name="Xb46408fe4668a540edb8ef1c37fe9a479dce153"/>
    <w:p>
      <w:pPr>
        <w:pStyle w:val="Heading3"/>
      </w:pPr>
      <w:r>
        <w:t xml:space="preserve">2.7.6 Global Monitor</w:t>
      </w:r>
    </w:p>
    <w:bookmarkStart w:id="189" w:name="X9b85947f690e481419209cf5d7690b6d31fc2c9"/>
    <w:p>
      <w:pPr>
        <w:pStyle w:val="Heading4"/>
      </w:pPr>
      <w:r>
        <w:t xml:space="preserve">2.7.6.1 Technical considerations</w:t>
      </w:r>
    </w:p>
    <w:p>
      <w:pPr>
        <w:numPr>
          <w:ilvl w:val="0"/>
          <w:numId w:val="1062"/>
        </w:numPr>
      </w:pPr>
      <w:r>
        <w:t xml:space="preserve">WIS standardizes how system performance and data availability metrics are published from WIS2 Nodes and Global Services.</w:t>
      </w:r>
    </w:p>
    <w:p>
      <w:pPr>
        <w:numPr>
          <w:ilvl w:val="0"/>
          <w:numId w:val="1062"/>
        </w:numPr>
      </w:pPr>
      <w:r>
        <w:t xml:space="preserve">For each type of Global Service, a set of standard metrics has been defined. Global Services will implement and provide an endpoint for those metrics to be scraped by the Global Monitor.</w:t>
      </w:r>
    </w:p>
    <w:p>
      <w:pPr>
        <w:numPr>
          <w:ilvl w:val="0"/>
          <w:numId w:val="1062"/>
        </w:numPr>
      </w:pPr>
      <w:r>
        <w:t xml:space="preserve">The Global Monitor will collect metrics as defined in the OpenMetrics standard.</w:t>
      </w:r>
    </w:p>
    <w:p>
      <w:pPr>
        <w:numPr>
          <w:ilvl w:val="0"/>
          <w:numId w:val="1062"/>
        </w:numPr>
      </w:pPr>
      <w:r>
        <w:t xml:space="preserve">The Global Monitor will monitor the "health" (that is, the performance) of components at NCs/DCPCs, as well as Global Services.</w:t>
      </w:r>
    </w:p>
    <w:p>
      <w:pPr>
        <w:numPr>
          <w:ilvl w:val="0"/>
          <w:numId w:val="1062"/>
        </w:numPr>
      </w:pPr>
      <w:r>
        <w:t xml:space="preserve">The Global Monitor will provide a web-based dashboard that displays the WIS2 system performance and data availability.</w:t>
      </w:r>
    </w:p>
    <w:p>
      <w:pPr>
        <w:numPr>
          <w:ilvl w:val="0"/>
          <w:numId w:val="1062"/>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2"/>
        </w:numPr>
      </w:pPr>
      <w:r>
        <w:t xml:space="preserve">The main task of the Global Monitor will be to regularly query the metrics provided by the relevant WIS2 entities, aggregate and process the data and then provide the results to the end user in a suitable presentation.</w:t>
      </w:r>
    </w:p>
    <w:bookmarkEnd w:id="189"/>
    <w:bookmarkEnd w:id="190"/>
    <w:bookmarkEnd w:id="191"/>
    <w:bookmarkStart w:id="226" w:name="X3cda763227efb85ffcf50601bb9e1b297d470ff"/>
    <w:p>
      <w:pPr>
        <w:pStyle w:val="Heading2"/>
      </w:pPr>
      <w:r>
        <w:t xml:space="preserve">2.8 Operations</w:t>
      </w:r>
    </w:p>
    <w:bookmarkStart w:id="225"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7"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92"/>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93"/>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7"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5" name="Picture"/>
            <a:graphic>
              <a:graphicData uri="http://schemas.openxmlformats.org/drawingml/2006/picture">
                <pic:pic>
                  <pic:nvPicPr>
                    <pic:cNvPr descr="images/wis2-to-swim-temp.png" id="196" name="Picture"/>
                    <pic:cNvPicPr>
                      <a:picLocks noChangeArrowheads="1" noChangeAspect="1"/>
                    </pic:cNvPicPr>
                  </pic:nvPicPr>
                  <pic:blipFill>
                    <a:blip r:embed="rId194"/>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7"/>
    <w:bookmarkStart w:id="199"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8"/>
      </w:r>
      <w:r>
        <w:t xml:space="preserve"> </w:t>
      </w:r>
      <w:r>
        <w:t xml:space="preserve">is to be used for encoding aeronautical meteorological information in SWIM.</w:t>
      </w:r>
    </w:p>
    <w:bookmarkEnd w:id="199"/>
    <w:bookmarkStart w:id="204"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200"/>
      </w:r>
      <w:r>
        <w:rPr>
          <w:rStyle w:val="FootnoteReference"/>
        </w:rPr>
        <w:footnoteReference w:id="201"/>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202"/>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203"/>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204"/>
    <w:bookmarkStart w:id="213"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5"/>
      </w:r>
    </w:p>
    <w:p>
      <w:pPr>
        <w:pStyle w:val="CaptionedFigure"/>
      </w:pPr>
      <w:r>
        <w:drawing>
          <wp:inline>
            <wp:extent cx="5334000" cy="1838335"/>
            <wp:effectExtent b="0" l="0" r="0" t="0"/>
            <wp:docPr descr="Interactions between the gateway component and the WIS2 and SWIM components" title="" id="207" name="Picture"/>
            <a:graphic>
              <a:graphicData uri="http://schemas.openxmlformats.org/drawingml/2006/picture">
                <pic:pic>
                  <pic:nvPicPr>
                    <pic:cNvPr descr="images/wis2-to-swim-interaction-temp.png" id="208" name="Picture"/>
                    <pic:cNvPicPr>
                      <a:picLocks noChangeArrowheads="1" noChangeAspect="1"/>
                    </pic:cNvPicPr>
                  </pic:nvPicPr>
                  <pic:blipFill>
                    <a:blip r:embed="rId206"/>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9"/>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10"/>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11"/>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12"/>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13"/>
    <w:bookmarkStart w:id="216"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14"/>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6"/>
    <w:bookmarkEnd w:id="217"/>
    <w:bookmarkStart w:id="224"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8"/>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23"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21" name="Picture"/>
            <a:graphic>
              <a:graphicData uri="http://schemas.openxmlformats.org/drawingml/2006/picture">
                <pic:pic>
                  <pic:nvPicPr>
                    <pic:cNvPr descr="images/wis2-odis-metadata-discovery-interop.png" id="222" name="Picture"/>
                    <pic:cNvPicPr>
                      <a:picLocks noChangeArrowheads="1" noChangeAspect="1"/>
                    </pic:cNvPicPr>
                  </pic:nvPicPr>
                  <pic:blipFill>
                    <a:blip r:embed="rId220"/>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23"/>
    <w:bookmarkEnd w:id="224"/>
    <w:bookmarkEnd w:id="225"/>
    <w:bookmarkEnd w:id="226"/>
    <w:bookmarkEnd w:id="227"/>
    <w:bookmarkStart w:id="249" w:name="Xa57fcea0326db383435a81290ee1f4280d7ce75"/>
    <w:p>
      <w:pPr>
        <w:pStyle w:val="Heading1"/>
      </w:pPr>
      <w:r>
        <w:t xml:space="preserve">PART III. Additional components</w:t>
      </w:r>
    </w:p>
    <w:bookmarkStart w:id="228" w:name="X91f34318810edfc8930b866bc6c182083d198dc"/>
    <w:p>
      <w:pPr>
        <w:pStyle w:val="Heading2"/>
      </w:pPr>
      <w:r>
        <w:t xml:space="preserve">3.1 Overview</w:t>
      </w:r>
    </w:p>
    <w:p>
      <w:pPr>
        <w:pStyle w:val="FirstParagraph"/>
      </w:pPr>
      <w:r>
        <w:t xml:space="preserve">In addition to the core set of Global Services defined, additional Global Services may exists 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bookmarkEnd w:id="228"/>
    <w:bookmarkStart w:id="238" w:name="X49c9230aa828ae783ce52bef128fc5f1edbf5bb"/>
    <w:p>
      <w:pPr>
        <w:pStyle w:val="Heading2"/>
      </w:pPr>
      <w:r>
        <w:t xml:space="preserve">3.2 Other services</w:t>
      </w:r>
    </w:p>
    <w:bookmarkStart w:id="237"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9" w:name="Xd4a16cd37216de6458e35ff030cd1221d1e6530"/>
    <w:p>
      <w:pPr>
        <w:pStyle w:val="Heading4"/>
      </w:pPr>
      <w:r>
        <w:t xml:space="preserve">3.2.1.1 Component definition</w:t>
      </w:r>
    </w:p>
    <w:p>
      <w:pPr>
        <w:numPr>
          <w:ilvl w:val="0"/>
          <w:numId w:val="1070"/>
        </w:numPr>
      </w:pPr>
      <w:r>
        <w:t xml:space="preserve">WIS2 may include a Global Replay.</w:t>
      </w:r>
    </w:p>
    <w:p>
      <w:pPr>
        <w:numPr>
          <w:ilvl w:val="0"/>
          <w:numId w:val="1070"/>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0"/>
        </w:numPr>
      </w:pPr>
      <w:r>
        <w:t xml:space="preserve">A Global Replay subscribes to all notification messages and monitoring events as published by Global Broker. It stores the notification message and monitoring events.</w:t>
      </w:r>
    </w:p>
    <w:p>
      <w:pPr>
        <w:numPr>
          <w:ilvl w:val="0"/>
          <w:numId w:val="1070"/>
        </w:numPr>
      </w:pPr>
      <w:r>
        <w:t xml:space="preserve">A Global Replay shall store copies of notification messages and monitoring events for a duration compatible with the real-time or near real-time schedule of the data and not less than:</w:t>
      </w:r>
    </w:p>
    <w:p>
      <w:pPr>
        <w:numPr>
          <w:ilvl w:val="1"/>
          <w:numId w:val="1071"/>
        </w:numPr>
      </w:pPr>
      <w:r>
        <w:t xml:space="preserve">1 day for notification messages.</w:t>
      </w:r>
    </w:p>
    <w:p>
      <w:pPr>
        <w:numPr>
          <w:ilvl w:val="1"/>
          <w:numId w:val="1071"/>
        </w:numPr>
      </w:pPr>
      <w:r>
        <w:t xml:space="preserve">7 days for monitoring events.</w:t>
      </w:r>
    </w:p>
    <w:p>
      <w:pPr>
        <w:numPr>
          <w:ilvl w:val="0"/>
          <w:numId w:val="1070"/>
        </w:numPr>
      </w:pPr>
      <w:r>
        <w:t xml:space="preserve">A Global Replay will discard notification messages and monitoring events once the retention period has expired.</w:t>
      </w:r>
    </w:p>
    <w:bookmarkEnd w:id="229"/>
    <w:bookmarkStart w:id="234" w:name="Xd4c8a4d9f9479c53b953750028bfc8e5fc06907"/>
    <w:p>
      <w:pPr>
        <w:pStyle w:val="Heading4"/>
      </w:pPr>
      <w:r>
        <w:t xml:space="preserve">3.2.1.2 Technical considerations</w:t>
      </w:r>
    </w:p>
    <w:p>
      <w:pPr>
        <w:numPr>
          <w:ilvl w:val="0"/>
          <w:numId w:val="1072"/>
        </w:numPr>
      </w:pPr>
      <w:r>
        <w:t xml:space="preserve">The Global Replay provides Global Services and data consumers with a mechanism to search, query and subscribe to notification messages and monitoring events of interest.</w:t>
      </w:r>
    </w:p>
    <w:p>
      <w:pPr>
        <w:numPr>
          <w:ilvl w:val="0"/>
          <w:numId w:val="1072"/>
        </w:numPr>
      </w:pPr>
      <w:r>
        <w:t xml:space="preserve">The Global Replay implements the OGC API – Features – Part 1: Core standard</w:t>
      </w:r>
      <w:r>
        <w:rPr>
          <w:rStyle w:val="FootnoteReference"/>
        </w:rPr>
        <w:footnoteReference w:id="230"/>
      </w:r>
      <w:r>
        <w:t xml:space="preserve">, adhering to the following conformance classes and their dependencies:</w:t>
      </w:r>
    </w:p>
    <w:p>
      <w:pPr>
        <w:numPr>
          <w:ilvl w:val="1"/>
          <w:numId w:val="1073"/>
        </w:numPr>
      </w:pPr>
      <w:r>
        <w:t xml:space="preserve">Core</w:t>
      </w:r>
    </w:p>
    <w:p>
      <w:pPr>
        <w:numPr>
          <w:ilvl w:val="1"/>
          <w:numId w:val="1073"/>
        </w:numPr>
      </w:pPr>
      <w:r>
        <w:t xml:space="preserve">GeoJSON</w:t>
      </w:r>
    </w:p>
    <w:p>
      <w:pPr>
        <w:numPr>
          <w:ilvl w:val="0"/>
          <w:numId w:val="1072"/>
        </w:numPr>
      </w:pPr>
      <w:r>
        <w:t xml:space="preserve">The Global Replay implements the OGC API – Processes - Part 1: Core standard</w:t>
      </w:r>
      <w:r>
        <w:rPr>
          <w:rStyle w:val="FootnoteReference"/>
        </w:rPr>
        <w:footnoteReference w:id="232"/>
      </w:r>
      <w:r>
        <w:t xml:space="preserve">, adhering to the following conformance classes and their dependencies:</w:t>
      </w:r>
    </w:p>
    <w:p>
      <w:pPr>
        <w:numPr>
          <w:ilvl w:val="1"/>
          <w:numId w:val="1074"/>
        </w:numPr>
      </w:pPr>
      <w:r>
        <w:t xml:space="preserve">Core</w:t>
      </w:r>
    </w:p>
    <w:p>
      <w:pPr>
        <w:numPr>
          <w:ilvl w:val="1"/>
          <w:numId w:val="1074"/>
        </w:numPr>
      </w:pPr>
      <w:r>
        <w:t xml:space="preserve">OGC Process Description</w:t>
      </w:r>
    </w:p>
    <w:p>
      <w:pPr>
        <w:numPr>
          <w:ilvl w:val="1"/>
          <w:numId w:val="1074"/>
        </w:numPr>
      </w:pPr>
      <w:r>
        <w:t xml:space="preserve">JSON</w:t>
      </w:r>
    </w:p>
    <w:p>
      <w:pPr>
        <w:numPr>
          <w:ilvl w:val="0"/>
          <w:numId w:val="1072"/>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72"/>
        </w:numPr>
      </w:pPr>
      <w:r>
        <w:t xml:space="preserve">A Global Replay shall use the notification message and monitoring event identifier to deduplicate notifications and events.</w:t>
      </w:r>
    </w:p>
    <w:p>
      <w:pPr>
        <w:numPr>
          <w:ilvl w:val="0"/>
          <w:numId w:val="1072"/>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72"/>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72"/>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75"/>
        </w:numPr>
      </w:pPr>
      <w:r>
        <w:t xml:space="preserve">the API process request accepts the following inputs:</w:t>
      </w:r>
    </w:p>
    <w:p>
      <w:pPr>
        <w:numPr>
          <w:ilvl w:val="2"/>
          <w:numId w:val="1076"/>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76"/>
        </w:numPr>
      </w:pPr>
      <w:r>
        <w:rPr>
          <w:rStyle w:val="VerbatimChar"/>
        </w:rPr>
        <w:t xml:space="preserve">subscriber-id</w:t>
      </w:r>
      <w:r>
        <w:t xml:space="preserve">: a unique identifier (UUID) defined by the user/client. This identifier may be reused.</w:t>
      </w:r>
    </w:p>
    <w:p>
      <w:pPr>
        <w:numPr>
          <w:ilvl w:val="2"/>
          <w:numId w:val="1076"/>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75"/>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77"/>
        </w:numPr>
      </w:pPr>
      <w:r>
        <w:rPr>
          <w:rStyle w:val="VerbatimChar"/>
        </w:rPr>
        <w:t xml:space="preserve">topic</w:t>
      </w:r>
      <w:r>
        <w:t xml:space="preserve"> </w:t>
      </w:r>
      <w:r>
        <w:t xml:space="preserve">is the full topic of the message as previously published to WIS2.</w:t>
      </w:r>
    </w:p>
    <w:p>
      <w:pPr>
        <w:numPr>
          <w:ilvl w:val="1"/>
          <w:numId w:val="1075"/>
        </w:numPr>
      </w:pPr>
      <w:r>
        <w:t xml:space="preserve">the API process will set temporal boundary limits to 15 minutes. When exceeded, it will result in an error message prohibiting the republishing of messages.</w:t>
      </w:r>
    </w:p>
    <w:p>
      <w:pPr>
        <w:numPr>
          <w:ilvl w:val="1"/>
          <w:numId w:val="1075"/>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72"/>
        </w:numPr>
      </w:pPr>
      <w:r>
        <w:t xml:space="preserve">A single Global Replay instance is sufficient for WIS2.</w:t>
      </w:r>
    </w:p>
    <w:p>
      <w:pPr>
        <w:numPr>
          <w:ilvl w:val="0"/>
          <w:numId w:val="1072"/>
        </w:numPr>
      </w:pPr>
      <w:r>
        <w:t xml:space="preserve">Multiple Global Replay instances may be deployed for resilience.</w:t>
      </w:r>
    </w:p>
    <w:p>
      <w:pPr>
        <w:numPr>
          <w:ilvl w:val="0"/>
          <w:numId w:val="1072"/>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72"/>
        </w:numPr>
      </w:pPr>
      <w:r>
        <w:t xml:space="preserve">A Global Replay is populated with notification messages and monitoring events received via a Global Broker instance.</w:t>
      </w:r>
    </w:p>
    <w:p>
      <w:pPr>
        <w:numPr>
          <w:ilvl w:val="0"/>
          <w:numId w:val="1072"/>
        </w:numPr>
      </w:pPr>
      <w:r>
        <w:t xml:space="preserve">A Global Replay is connected to at least two (2) Global Brokers.</w:t>
      </w:r>
    </w:p>
    <w:p>
      <w:pPr>
        <w:numPr>
          <w:ilvl w:val="0"/>
          <w:numId w:val="1072"/>
        </w:numPr>
      </w:pPr>
      <w:r>
        <w:t xml:space="preserve">A Global Replay instance will discard duplicate messages as needed.</w:t>
      </w:r>
    </w:p>
    <w:p>
      <w:pPr>
        <w:numPr>
          <w:ilvl w:val="0"/>
          <w:numId w:val="1072"/>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72"/>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72"/>
        </w:numPr>
      </w:pPr>
      <w:r>
        <w:t xml:space="preserve">A Global Replay will remove notification messages after the required retention period.</w:t>
      </w:r>
    </w:p>
    <w:p>
      <w:pPr>
        <w:numPr>
          <w:ilvl w:val="0"/>
          <w:numId w:val="1072"/>
        </w:numPr>
      </w:pPr>
      <w:r>
        <w:t xml:space="preserve">A Global Replay will remove monitoring events after the required retention period.</w:t>
      </w:r>
    </w:p>
    <w:p>
      <w:pPr>
        <w:numPr>
          <w:ilvl w:val="0"/>
          <w:numId w:val="1072"/>
        </w:numPr>
      </w:pPr>
      <w:r>
        <w:t xml:space="preserve">A Global Replay may choose to implement access control for controlling usage.</w:t>
      </w:r>
    </w:p>
    <w:p>
      <w:pPr>
        <w:numPr>
          <w:ilvl w:val="0"/>
          <w:numId w:val="1072"/>
        </w:numPr>
      </w:pPr>
      <w:r>
        <w:t xml:space="preserve">As a convention Global Replay centre-id will be</w:t>
      </w:r>
      <w:r>
        <w:t xml:space="preserve"> </w:t>
      </w:r>
      <w:r>
        <w:rPr>
          <w:rStyle w:val="VerbatimChar"/>
        </w:rPr>
        <w:t xml:space="preserve">tld-{centre-name}-global-replay</w:t>
      </w:r>
      <w:r>
        <w:t xml:space="preserve">.</w:t>
      </w:r>
    </w:p>
    <w:bookmarkEnd w:id="234"/>
    <w:bookmarkStart w:id="236"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78"/>
        </w:numPr>
      </w:pPr>
      <w:r>
        <w:t xml:space="preserve">notification messages and monitoring event subscription from a Global Broker insrtance</w:t>
      </w:r>
    </w:p>
    <w:p>
      <w:pPr>
        <w:numPr>
          <w:ilvl w:val="0"/>
          <w:numId w:val="1078"/>
        </w:numPr>
      </w:pPr>
      <w:r>
        <w:t xml:space="preserve">notification message and monitoring event ingest and API publication</w:t>
      </w:r>
    </w:p>
    <w:p>
      <w:pPr>
        <w:numPr>
          <w:ilvl w:val="0"/>
          <w:numId w:val="1078"/>
        </w:numPr>
      </w:pPr>
      <w:r>
        <w:t xml:space="preserve">user defined subscription for MQTT message replay from a Global Broker instance</w:t>
      </w:r>
    </w:p>
    <w:p>
      <w:pPr>
        <w:numPr>
          <w:ilvl w:val="0"/>
          <w:numId w:val="1078"/>
        </w:numPr>
      </w:pPr>
      <w:r>
        <w:t xml:space="preserve">OGC API - Features - Part 1: Core compliance</w:t>
      </w:r>
    </w:p>
    <w:p>
      <w:pPr>
        <w:numPr>
          <w:ilvl w:val="0"/>
          <w:numId w:val="1078"/>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5">
        <w:r>
          <w:rPr>
            <w:rStyle w:val="Hyperlink"/>
          </w:rPr>
          <w:t xml:space="preserve">https://github.com/wmo-im/wis2-grep</w:t>
        </w:r>
      </w:hyperlink>
      <w:r>
        <w:t xml:space="preserve">.</w:t>
      </w:r>
    </w:p>
    <w:bookmarkEnd w:id="236"/>
    <w:bookmarkEnd w:id="237"/>
    <w:bookmarkEnd w:id="238"/>
    <w:bookmarkStart w:id="248"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9"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79"/>
        </w:numPr>
      </w:pPr>
      <w:r>
        <w:t xml:space="preserve">the quality and performance of Global Services</w:t>
      </w:r>
    </w:p>
    <w:p>
      <w:pPr>
        <w:numPr>
          <w:ilvl w:val="0"/>
          <w:numId w:val="1079"/>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w:t>
      </w:r>
    </w:p>
    <w:p>
      <w:pPr>
        <w:pStyle w:val="BodyText"/>
      </w:pPr>
      <w:r>
        <w:t xml:space="preserve">Given that Sensors Centres may be used to monitor any function in WIS 2.0, further Sensor Centres may be proposed to meet additional requirements, such as validation of GBON or RBON compliance. Every Sensor Centre must follow the standard mechanism for publishing metrics for presentation in dashboards that can be used to monitor the performance of the WIS 2.0 function being assessed.</w:t>
      </w:r>
    </w:p>
    <w:p>
      <w:pPr>
        <w:pStyle w:val="BodyText"/>
      </w:pPr>
      <w:r>
        <w:t xml:space="preserve">Any Member may request to operate a Sensor Centre via the</w:t>
      </w:r>
      <w:r>
        <w:t xml:space="preserve"> </w:t>
      </w:r>
      <w:r>
        <w:t xml:space="preserve">designation process</w:t>
      </w:r>
      <w:r>
        <w:t xml:space="preserve"> </w:t>
      </w:r>
      <w:r>
        <w:t xml:space="preserve">- either for a new or existing type of Sensor Centre. Requests must specify what type of Sensor Centre will be operated and refer to the specification they will implement.</w:t>
      </w:r>
    </w:p>
    <w:p>
      <w:pPr>
        <w:pStyle w:val="BodyText"/>
      </w:pPr>
      <w:r>
        <w:t xml:space="preserve">The specification of a Sensor Centre must be published in a publicly accessible location, such as a public GitHub repository. Where a Sensor Centre has a role in the objective assessment of Global Service performance, the Sensor Centre specification is subject to approval by INFCOM and will be published in the Guide to WIS, Vol 2, Part III. Where a Sensor Centre has some other official role (e.g., in support of RBON compliance) the responsible body for that function may assert their own governance requirements.</w:t>
      </w:r>
    </w:p>
    <w:p>
      <w:pPr>
        <w:pStyle w:val="BodyText"/>
      </w:pPr>
      <w:r>
        <w:t xml:space="preserve">Where a Sensor Centre provides insight about the performance of WIS 2.0 as a whole, Global Monitors may agree to collect metrics from the Sensor Centre and provide monitoring dashboards. As part of the designation process, a Member may include a request for Global Monitors to harvest metrics, including suggested thresholds for metrics that would trigger a Global Monitor to publish an alert or warning.</w:t>
      </w:r>
    </w:p>
    <w:bookmarkEnd w:id="239"/>
    <w:bookmarkStart w:id="241"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40" w:name="Xde819004b7d16020146110a78ac1089e91175ba"/>
    <w:p>
      <w:pPr>
        <w:pStyle w:val="Heading4"/>
      </w:pPr>
      <w:r>
        <w:t xml:space="preserve">3.3.2.1 Technical considerations</w:t>
      </w:r>
    </w:p>
    <w:p>
      <w:pPr>
        <w:numPr>
          <w:ilvl w:val="0"/>
          <w:numId w:val="1080"/>
        </w:numPr>
      </w:pPr>
      <w:r>
        <w:t xml:space="preserve">The SCGB will connect to all Global Brokers.</w:t>
      </w:r>
    </w:p>
    <w:p>
      <w:pPr>
        <w:numPr>
          <w:ilvl w:val="0"/>
          <w:numId w:val="1080"/>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0"/>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0"/>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40"/>
    <w:bookmarkEnd w:id="241"/>
    <w:bookmarkStart w:id="245"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2">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1"/>
        </w:numPr>
      </w:pPr>
      <w:r>
        <w:t xml:space="preserve">what is the average delay to cache the data made available by WIS2 Node</w:t>
      </w:r>
    </w:p>
    <w:p>
      <w:pPr>
        <w:numPr>
          <w:ilvl w:val="0"/>
          <w:numId w:val="1081"/>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1"/>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4"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3">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82"/>
        </w:numPr>
      </w:pPr>
      <w:r>
        <w:t xml:space="preserve">Subscribe to a given</w:t>
      </w:r>
      <w:r>
        <w:t xml:space="preserve"> </w:t>
      </w:r>
      <w:r>
        <w:rPr>
          <w:rStyle w:val="VerbatimChar"/>
        </w:rPr>
        <w:t xml:space="preserve">origin/a/wis2/…​</w:t>
      </w:r>
      <w:r>
        <w:t xml:space="preserve">, it could be</w:t>
      </w:r>
      <w:r>
        <w:t xml:space="preserve"> </w:t>
      </w:r>
      <w:r>
        <w:rPr>
          <w:rStyle w:val="VerbatimChar"/>
        </w:rPr>
        <w:t xml:space="preserve">#</w:t>
      </w:r>
      <w:r>
        <w:t xml:space="preserve"> </w:t>
      </w:r>
      <w:r>
        <w:t xml:space="preserve">or a particular centre-id on at least one Global Broker</w:t>
      </w:r>
    </w:p>
    <w:p>
      <w:pPr>
        <w:numPr>
          <w:ilvl w:val="0"/>
          <w:numId w:val="1082"/>
        </w:numPr>
      </w:pPr>
      <w:r>
        <w:t xml:space="preserve">Subscribe to a given</w:t>
      </w:r>
      <w:r>
        <w:t xml:space="preserve"> </w:t>
      </w:r>
      <w:r>
        <w:rPr>
          <w:rStyle w:val="VerbatimChar"/>
        </w:rPr>
        <w:t xml:space="preserve">cache/a/wis2/…​</w:t>
      </w:r>
      <w:r>
        <w:t xml:space="preserve">, it could be</w:t>
      </w:r>
      <w:r>
        <w:t xml:space="preserve"> </w:t>
      </w:r>
      <w:r>
        <w:rPr>
          <w:rStyle w:val="VerbatimChar"/>
        </w:rPr>
        <w:t xml:space="preserve">#</w:t>
      </w:r>
      <w:r>
        <w:t xml:space="preserve"> </w:t>
      </w:r>
      <w:r>
        <w:t xml:space="preserve">or a particular centre-id on at least one Global Cache - The subscription must be done on the broker of the Global Cache (unlike normal subscription to be made only on the Global Broker)</w:t>
      </w:r>
    </w:p>
    <w:p>
      <w:pPr>
        <w:pStyle w:val="FirstParagraph"/>
      </w:pPr>
      <w:r>
        <w:t xml:space="preserve">Only on the subscription to the Global Broker:</w:t>
      </w:r>
    </w:p>
    <w:p>
      <w:pPr>
        <w:numPr>
          <w:ilvl w:val="0"/>
          <w:numId w:val="1083"/>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83"/>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83"/>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83"/>
        </w:numPr>
      </w:pPr>
      <w:r>
        <w:t xml:space="preserve">Store the time where the message as been received</w:t>
      </w:r>
    </w:p>
    <w:p>
      <w:pPr>
        <w:numPr>
          <w:ilvl w:val="0"/>
          <w:numId w:val="1083"/>
        </w:numPr>
      </w:pPr>
      <w:r>
        <w:t xml:space="preserve">(optional) Store the full Notification Message - this can be useful to analyse systematic issues</w:t>
      </w:r>
    </w:p>
    <w:p>
      <w:pPr>
        <w:pStyle w:val="FirstParagraph"/>
      </w:pPr>
      <w:r>
        <w:t xml:space="preserve">For each of the subscription to the various Global Caches:</w:t>
      </w:r>
    </w:p>
    <w:p>
      <w:pPr>
        <w:numPr>
          <w:ilvl w:val="0"/>
          <w:numId w:val="1084"/>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0"/>
          <w:numId w:val="1084"/>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0"/>
          <w:numId w:val="1084"/>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84"/>
        </w:numPr>
      </w:pPr>
      <w:r>
        <w:t xml:space="preserve">If no Notification Message for the</w:t>
      </w:r>
      <w:r>
        <w:t xml:space="preserve"> </w:t>
      </w:r>
      <w:r>
        <w:rPr>
          <w:rStyle w:val="VerbatimChar"/>
        </w:rPr>
        <w:t xml:space="preserve">data_id</w:t>
      </w:r>
      <w:r>
        <w:t xml:space="preserve"> </w:t>
      </w:r>
      <w:r>
        <w:t xml:space="preserve">is received after the highest threshold (here 600s),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All the metrics must be exposed for scraping by the Global Monitor.</w:t>
      </w:r>
    </w:p>
    <w:bookmarkEnd w:id="244"/>
    <w:bookmarkEnd w:id="245"/>
    <w:bookmarkStart w:id="247"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6" w:name="X7cccda3f3c8b7915465fcd4f401ab9bbe8d8d30"/>
    <w:p>
      <w:pPr>
        <w:pStyle w:val="Heading4"/>
      </w:pPr>
      <w:r>
        <w:t xml:space="preserve">3.3.4.1 Technical considerations</w:t>
      </w:r>
    </w:p>
    <w:p>
      <w:pPr>
        <w:numPr>
          <w:ilvl w:val="0"/>
          <w:numId w:val="1085"/>
        </w:numPr>
      </w:pPr>
      <w:r>
        <w:t xml:space="preserve">The SCGDC will connect to a minimum of two Global Brokers.</w:t>
      </w:r>
    </w:p>
    <w:p>
      <w:pPr>
        <w:numPr>
          <w:ilvl w:val="0"/>
          <w:numId w:val="1085"/>
        </w:numPr>
      </w:pPr>
      <w:r>
        <w:t xml:space="preserve">The SCGDC subscribes to the metadata topic for all GDCs, by one of the following methods:</w:t>
      </w:r>
    </w:p>
    <w:p>
      <w:pPr>
        <w:numPr>
          <w:ilvl w:val="1"/>
          <w:numId w:val="1086"/>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86"/>
        </w:numPr>
      </w:pPr>
      <w:r>
        <w:t xml:space="preserve">subscribing to each GDC via</w:t>
      </w:r>
      <w:r>
        <w:t xml:space="preserve"> </w:t>
      </w:r>
      <w:r>
        <w:rPr>
          <w:rStyle w:val="VerbatimChar"/>
        </w:rPr>
        <w:t xml:space="preserve">cache/a/wis2/centre-id/metadata</w:t>
      </w:r>
      <w:r>
        <w:t xml:space="preserve">.</w:t>
      </w:r>
    </w:p>
    <w:p>
      <w:pPr>
        <w:numPr>
          <w:ilvl w:val="0"/>
          <w:numId w:val="1085"/>
        </w:numPr>
      </w:pPr>
      <w:r>
        <w:t xml:space="preserve">The SCGDC will use the link provided in the WIS2 Notification Message received to download the zip file published by the GDC.</w:t>
      </w:r>
    </w:p>
    <w:p>
      <w:pPr>
        <w:numPr>
          <w:ilvl w:val="0"/>
          <w:numId w:val="1085"/>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85"/>
        </w:numPr>
      </w:pPr>
      <w:r>
        <w:t xml:space="preserve">Once a day, the SCGDC will analyze the content of the latest zip files received across all GDCs</w:t>
      </w:r>
    </w:p>
    <w:p>
      <w:pPr>
        <w:numPr>
          <w:ilvl w:val="1"/>
          <w:numId w:val="1087"/>
        </w:numPr>
      </w:pPr>
      <w:r>
        <w:t xml:space="preserve">Files older than 24 hours will not be analyzed.</w:t>
      </w:r>
    </w:p>
    <w:p>
      <w:pPr>
        <w:numPr>
          <w:ilvl w:val="0"/>
          <w:numId w:val="1085"/>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85"/>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85"/>
        </w:numPr>
      </w:pPr>
      <w:r>
        <w:t xml:space="preserve">For each record, the SCGDC will:</w:t>
      </w:r>
    </w:p>
    <w:p>
      <w:pPr>
        <w:numPr>
          <w:ilvl w:val="1"/>
          <w:numId w:val="1088"/>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88"/>
        </w:numPr>
      </w:pPr>
      <w:r>
        <w:t xml:space="preserve">validate the record against the latest approved version of WCMP2</w:t>
      </w:r>
    </w:p>
    <w:p>
      <w:pPr>
        <w:numPr>
          <w:ilvl w:val="2"/>
          <w:numId w:val="1089"/>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88"/>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88"/>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88"/>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090"/>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88"/>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09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85"/>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6"/>
    <w:bookmarkEnd w:id="247"/>
    <w:bookmarkEnd w:id="248"/>
    <w:bookmarkEnd w:id="249"/>
    <w:bookmarkStart w:id="288" w:name="X04c845455f24d191e445239c565b08607ac9dcf"/>
    <w:p>
      <w:pPr>
        <w:pStyle w:val="Heading1"/>
      </w:pPr>
      <w:r>
        <w:t xml:space="preserve">PART IV. Information management</w:t>
      </w:r>
    </w:p>
    <w:bookmarkStart w:id="287" w:name="X7c62cedf76bc574f64106f5d3e1fa9cbfaf701c"/>
    <w:p>
      <w:pPr>
        <w:pStyle w:val="Heading2"/>
      </w:pPr>
      <w:r>
        <w:t xml:space="preserve">4.1 Introduction</w:t>
      </w:r>
    </w:p>
    <w:bookmarkStart w:id="250"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50"/>
    <w:bookmarkStart w:id="252"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092"/>
        </w:numPr>
      </w:pPr>
      <w:r>
        <w:t xml:space="preserve">Planning, information creation and acquisition. The creation of information using internal and external data sources and the acquisition of information from various sources.</w:t>
      </w:r>
    </w:p>
    <w:p>
      <w:pPr>
        <w:numPr>
          <w:ilvl w:val="0"/>
          <w:numId w:val="1092"/>
        </w:numPr>
      </w:pPr>
      <w:r>
        <w:t xml:space="preserve">Representation and metadata. The use of standards to represent metadata, data and information; this is of primary importance to enable the interoperability and long-term usability of the information.</w:t>
      </w:r>
    </w:p>
    <w:p>
      <w:pPr>
        <w:numPr>
          <w:ilvl w:val="0"/>
          <w:numId w:val="1092"/>
        </w:numPr>
      </w:pPr>
      <w:r>
        <w:t xml:space="preserve">Publication and exchange of information. The creation and publication of discovery metadata in a standardized format, enabling users to discover, access and retrieve the information.</w:t>
      </w:r>
    </w:p>
    <w:p>
      <w:pPr>
        <w:numPr>
          <w:ilvl w:val="0"/>
          <w:numId w:val="1092"/>
        </w:numPr>
      </w:pPr>
      <w:r>
        <w:t xml:space="preserve">Usage and communication. The publication of guidance material on the use of published information, including on the limitations and suitability of the information and any licensing terms.</w:t>
      </w:r>
    </w:p>
    <w:p>
      <w:pPr>
        <w:numPr>
          <w:ilvl w:val="0"/>
          <w:numId w:val="1092"/>
        </w:numPr>
      </w:pPr>
      <w:r>
        <w:t xml:space="preserve">Storage, archival and disposal. The policies and procedures for business continuity and disaster recovery, as well as retention and disposal.</w:t>
      </w:r>
    </w:p>
    <w:bookmarkStart w:id="251"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93"/>
        </w:numPr>
      </w:pPr>
      <w:r>
        <w:t xml:space="preserve">Information producers or creators (those who produce or acquire the information) - they need to ensure the scientific quality of the underpinning information;</w:t>
      </w:r>
    </w:p>
    <w:p>
      <w:pPr>
        <w:numPr>
          <w:ilvl w:val="0"/>
          <w:numId w:val="1093"/>
        </w:numPr>
      </w:pPr>
      <w:r>
        <w:t xml:space="preserve">Information managers (those who manage the information);</w:t>
      </w:r>
    </w:p>
    <w:p>
      <w:pPr>
        <w:numPr>
          <w:ilvl w:val="0"/>
          <w:numId w:val="1093"/>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93"/>
        </w:numPr>
      </w:pPr>
      <w:r>
        <w:t xml:space="preserve">Service providers (those who disseminate the information) - they are responsible for ensuring information availability and maintaining capability for easy and secure access to the information;</w:t>
      </w:r>
    </w:p>
    <w:p>
      <w:pPr>
        <w:numPr>
          <w:ilvl w:val="0"/>
          <w:numId w:val="1093"/>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51"/>
    <w:bookmarkEnd w:id="252"/>
    <w:bookmarkStart w:id="264"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3" w:name="Xcf33f9e33f107799c2797793b69e9f195f4c52b"/>
    <w:p>
      <w:pPr>
        <w:pStyle w:val="Heading4"/>
      </w:pPr>
      <w:r>
        <w:t xml:space="preserve">4.2.1 Principle 1: Information is a valued asset</w:t>
      </w:r>
    </w:p>
    <w:p>
      <w:pPr>
        <w:numPr>
          <w:ilvl w:val="0"/>
          <w:numId w:val="1094"/>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94"/>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3"/>
    <w:bookmarkStart w:id="254" w:name="Xb4288ce29349341bf806bd64cd51ad35f96f74e"/>
    <w:p>
      <w:pPr>
        <w:pStyle w:val="Heading4"/>
      </w:pPr>
      <w:r>
        <w:t xml:space="preserve">4.2.2 Principle 2: Information must be managed</w:t>
      </w:r>
    </w:p>
    <w:p>
      <w:pPr>
        <w:numPr>
          <w:ilvl w:val="0"/>
          <w:numId w:val="1095"/>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95"/>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95"/>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4"/>
    <w:bookmarkStart w:id="256" w:name="Xd59896b8f316477a8321e381ae23e51272b3a9d"/>
    <w:p>
      <w:pPr>
        <w:pStyle w:val="Heading4"/>
      </w:pPr>
      <w:r>
        <w:t xml:space="preserve">4.2.3 Principle 3: Information must be fit for purpose</w:t>
      </w:r>
    </w:p>
    <w:p>
      <w:pPr>
        <w:numPr>
          <w:ilvl w:val="0"/>
          <w:numId w:val="1096"/>
        </w:numPr>
      </w:pPr>
      <w:r>
        <w:t xml:space="preserve">Information should be developed and managed in accordance with its function and use for internal and external users.</w:t>
      </w:r>
    </w:p>
    <w:p>
      <w:pPr>
        <w:numPr>
          <w:ilvl w:val="0"/>
          <w:numId w:val="1096"/>
        </w:numPr>
      </w:pPr>
      <w:r>
        <w:t xml:space="preserve">WMO centres should regularly assess information to ensure that it is fit for its purpose and that the related processes, procedures and documentation are adequate.</w:t>
      </w:r>
    </w:p>
    <w:p>
      <w:pPr>
        <w:numPr>
          <w:ilvl w:val="0"/>
          <w:numId w:val="1096"/>
        </w:numPr>
      </w:pPr>
      <w:r>
        <w:t xml:space="preserve">Processes should be consistent with the general provisions and principles of quality management as described in the WMO</w:t>
      </w:r>
      <w:r>
        <w:t xml:space="preserve"> </w:t>
      </w:r>
      <w:hyperlink r:id="rId255">
        <w:r>
          <w:rPr>
            <w:rStyle w:val="Hyperlink"/>
            <w:iCs/>
            <w:i/>
          </w:rPr>
          <w:t xml:space="preserve">Technical Regulations</w:t>
        </w:r>
      </w:hyperlink>
      <w:r>
        <w:t xml:space="preserve"> </w:t>
      </w:r>
      <w:r>
        <w:t xml:space="preserve">(WMO-No. 49).</w:t>
      </w:r>
    </w:p>
    <w:bookmarkEnd w:id="256"/>
    <w:bookmarkStart w:id="257" w:name="X88c8fe8230b5e5ccb947a91df6be1e7ba7b1e0b"/>
    <w:p>
      <w:pPr>
        <w:pStyle w:val="Heading4"/>
      </w:pPr>
      <w:r>
        <w:t xml:space="preserve">4.2.4 Principle 4: Information must be standardized and interoperable</w:t>
      </w:r>
    </w:p>
    <w:p>
      <w:pPr>
        <w:numPr>
          <w:ilvl w:val="0"/>
          <w:numId w:val="1097"/>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97"/>
        </w:numPr>
      </w:pPr>
      <w:r>
        <w:t xml:space="preserve">Standardization is essential for structured information such as dataset definitions and metadata to support interoperability.</w:t>
      </w:r>
    </w:p>
    <w:p>
      <w:pPr>
        <w:numPr>
          <w:ilvl w:val="0"/>
          <w:numId w:val="1097"/>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97"/>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97"/>
        </w:numPr>
      </w:pPr>
      <w:r>
        <w:t xml:space="preserve">The use of closed and proprietary standards is strongly discouraged.</w:t>
      </w:r>
    </w:p>
    <w:bookmarkEnd w:id="257"/>
    <w:bookmarkStart w:id="258" w:name="X650cedf7ce84f32ea21ec80b898040f4b2f02fd"/>
    <w:p>
      <w:pPr>
        <w:pStyle w:val="Heading4"/>
      </w:pPr>
      <w:r>
        <w:t xml:space="preserve">4.2.5 Principle 5: Information must be well documented</w:t>
      </w:r>
    </w:p>
    <w:p>
      <w:pPr>
        <w:numPr>
          <w:ilvl w:val="0"/>
          <w:numId w:val="1098"/>
        </w:numPr>
      </w:pPr>
      <w:r>
        <w:t xml:space="preserve">WMO centres should comprehensively document information processes, policies, and procedures to facilitate broad and long-term use.</w:t>
      </w:r>
    </w:p>
    <w:p>
      <w:pPr>
        <w:numPr>
          <w:ilvl w:val="0"/>
          <w:numId w:val="1098"/>
        </w:numPr>
      </w:pPr>
      <w:r>
        <w:t xml:space="preserve">WMO centres should keep documentation up to date to ensure full traceability of processes along the information life cycle, particularly for its creation.</w:t>
      </w:r>
    </w:p>
    <w:p>
      <w:pPr>
        <w:numPr>
          <w:ilvl w:val="0"/>
          <w:numId w:val="1098"/>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8"/>
    <w:bookmarkStart w:id="259" w:name="X5e85ae7d00bcd35bce4a64c0572cb24fee6bbf9"/>
    <w:p>
      <w:pPr>
        <w:pStyle w:val="Heading4"/>
      </w:pPr>
      <w:r>
        <w:t xml:space="preserve">4.2.6 Principle 6: Information must be discoverable, accessible and retrievable</w:t>
      </w:r>
    </w:p>
    <w:p>
      <w:pPr>
        <w:numPr>
          <w:ilvl w:val="0"/>
          <w:numId w:val="1099"/>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099"/>
        </w:numPr>
      </w:pPr>
      <w:r>
        <w:t xml:space="preserve">For information to be easily retrievable once discovered, it should be accessible using standard data exchange protocols.</w:t>
      </w:r>
    </w:p>
    <w:bookmarkEnd w:id="259"/>
    <w:bookmarkStart w:id="262" w:name="Xcc549eaa6d6dc98ca978f8c3f8040892922057f"/>
    <w:p>
      <w:pPr>
        <w:pStyle w:val="Heading4"/>
      </w:pPr>
      <w:r>
        <w:t xml:space="preserve">4.2.7 Principle 7: Information should be reusable</w:t>
      </w:r>
    </w:p>
    <w:p>
      <w:pPr>
        <w:numPr>
          <w:ilvl w:val="0"/>
          <w:numId w:val="1100"/>
        </w:numPr>
      </w:pPr>
      <w:r>
        <w:t xml:space="preserve">In order to maximize the economic benefits of an information asset, it should be made as widely available and as accessible as possible.</w:t>
      </w:r>
    </w:p>
    <w:p>
      <w:pPr>
        <w:numPr>
          <w:ilvl w:val="0"/>
          <w:numId w:val="1100"/>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00"/>
        </w:numPr>
      </w:pPr>
      <w:r>
        <w:t xml:space="preserve">The publisher should provide an explicit and well-defined licence for each information item or dataset as part of the associated metadata.</w:t>
      </w:r>
    </w:p>
    <w:p>
      <w:pPr>
        <w:numPr>
          <w:ilvl w:val="0"/>
          <w:numId w:val="1100"/>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60"/>
      </w:r>
    </w:p>
    <w:bookmarkEnd w:id="262"/>
    <w:bookmarkStart w:id="263" w:name="Xc26fb27d9b9f189ddfb4d09b54bb3bef350c931"/>
    <w:p>
      <w:pPr>
        <w:pStyle w:val="Heading4"/>
      </w:pPr>
      <w:r>
        <w:t xml:space="preserve">4.2.8 Principle 8: Information management is subject to accountability and governance</w:t>
      </w:r>
    </w:p>
    <w:p>
      <w:pPr>
        <w:numPr>
          <w:ilvl w:val="0"/>
          <w:numId w:val="1101"/>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02"/>
        </w:numPr>
      </w:pPr>
      <w:r>
        <w:t xml:space="preserve">The implementation of general information management practices, procedures and protocols, including well-defined roles, responsibilities and restrictions on managing the information;</w:t>
      </w:r>
    </w:p>
    <w:p>
      <w:pPr>
        <w:numPr>
          <w:ilvl w:val="1"/>
          <w:numId w:val="1102"/>
        </w:numPr>
      </w:pPr>
      <w:r>
        <w:t xml:space="preserve">The definition and enforcement of an appropriate retention policy, taking into account stakeholder needs and variations in value over the information life cycle;</w:t>
      </w:r>
    </w:p>
    <w:p>
      <w:pPr>
        <w:numPr>
          <w:ilvl w:val="1"/>
          <w:numId w:val="1102"/>
        </w:numPr>
      </w:pPr>
      <w:r>
        <w:t xml:space="preserve">The establishment of licensing and the definition and enforcement of any access restrictions.</w:t>
      </w:r>
    </w:p>
    <w:p>
      <w:pPr>
        <w:numPr>
          <w:ilvl w:val="1"/>
          <w:numId w:val="1102"/>
        </w:numPr>
      </w:pPr>
      <w:r>
        <w:t xml:space="preserve">The designated owner should have budget and decision-making authority with respect to preservation and data usage, including the authority to pass ownership to another entity.</w:t>
      </w:r>
    </w:p>
    <w:bookmarkEnd w:id="263"/>
    <w:bookmarkEnd w:id="264"/>
    <w:bookmarkStart w:id="281" w:name="X4929199aec71e050b1d94930339cb902a348db4"/>
    <w:p>
      <w:pPr>
        <w:pStyle w:val="Heading3"/>
      </w:pPr>
      <w:r>
        <w:t xml:space="preserve">4.3 The information management life cycle</w:t>
      </w:r>
    </w:p>
    <w:bookmarkStart w:id="265"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03"/>
        </w:numPr>
      </w:pPr>
      <w:r>
        <w:t xml:space="preserve">Planning, creation and acquisition;</w:t>
      </w:r>
    </w:p>
    <w:p>
      <w:pPr>
        <w:numPr>
          <w:ilvl w:val="0"/>
          <w:numId w:val="1103"/>
        </w:numPr>
      </w:pPr>
      <w:r>
        <w:t xml:space="preserve">Representation and metadata;</w:t>
      </w:r>
    </w:p>
    <w:p>
      <w:pPr>
        <w:numPr>
          <w:ilvl w:val="0"/>
          <w:numId w:val="1103"/>
        </w:numPr>
      </w:pPr>
      <w:r>
        <w:t xml:space="preserve">Publication and exchange;</w:t>
      </w:r>
    </w:p>
    <w:p>
      <w:pPr>
        <w:numPr>
          <w:ilvl w:val="0"/>
          <w:numId w:val="1103"/>
        </w:numPr>
      </w:pPr>
      <w:r>
        <w:t xml:space="preserve">Usage and communication;</w:t>
      </w:r>
    </w:p>
    <w:p>
      <w:pPr>
        <w:numPr>
          <w:ilvl w:val="0"/>
          <w:numId w:val="1103"/>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5"/>
    <w:bookmarkStart w:id="268" w:name="X0db61513d36abdcc7d5bfd6f287c776c8343970"/>
    <w:p>
      <w:pPr>
        <w:pStyle w:val="Heading4"/>
      </w:pPr>
      <w:r>
        <w:t xml:space="preserve">4.3.2 Overarching requirements</w:t>
      </w:r>
    </w:p>
    <w:bookmarkStart w:id="266" w:name="X824b8f9db66ff22648090c3e6e5d189d579254d"/>
    <w:p>
      <w:pPr>
        <w:pStyle w:val="Heading5"/>
      </w:pPr>
      <w:r>
        <w:t xml:space="preserve">4.3.2.1 Governance</w:t>
      </w:r>
    </w:p>
    <w:p>
      <w:pPr>
        <w:numPr>
          <w:ilvl w:val="0"/>
          <w:numId w:val="1104"/>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04"/>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04"/>
        </w:numPr>
      </w:pPr>
      <w:r>
        <w:t xml:space="preserve">WMO centres should establish a board or leadership group to develop and regularly review such a governance structure and ensure compliance with its requirements.</w:t>
      </w:r>
    </w:p>
    <w:bookmarkEnd w:id="266"/>
    <w:bookmarkStart w:id="267" w:name="Xa83a9547ee24c5b5059542879186427de25e4f8"/>
    <w:p>
      <w:pPr>
        <w:pStyle w:val="Heading5"/>
      </w:pPr>
      <w:r>
        <w:t xml:space="preserve">4.3.2.2 Documentation</w:t>
      </w:r>
    </w:p>
    <w:p>
      <w:pPr>
        <w:numPr>
          <w:ilvl w:val="0"/>
          <w:numId w:val="1105"/>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05"/>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7"/>
    <w:bookmarkEnd w:id="268"/>
    <w:bookmarkStart w:id="280" w:name="X5d9956e6f7cee22294b4d51e9b21afad03cd809"/>
    <w:p>
      <w:pPr>
        <w:pStyle w:val="Heading4"/>
      </w:pPr>
      <w:r>
        <w:t xml:space="preserve">4.3.3 Aspects of the information management life cycle</w:t>
      </w:r>
    </w:p>
    <w:bookmarkStart w:id="269"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06"/>
        </w:numPr>
      </w:pPr>
      <w:r>
        <w:t xml:space="preserve">Why the information is required;</w:t>
      </w:r>
    </w:p>
    <w:p>
      <w:pPr>
        <w:numPr>
          <w:ilvl w:val="0"/>
          <w:numId w:val="1106"/>
        </w:numPr>
      </w:pPr>
      <w:r>
        <w:t xml:space="preserve">How it will be collected or created;</w:t>
      </w:r>
    </w:p>
    <w:p>
      <w:pPr>
        <w:numPr>
          <w:ilvl w:val="0"/>
          <w:numId w:val="1106"/>
        </w:numPr>
      </w:pPr>
      <w:r>
        <w:t xml:space="preserve">How it will be stored;</w:t>
      </w:r>
    </w:p>
    <w:p>
      <w:pPr>
        <w:numPr>
          <w:ilvl w:val="0"/>
          <w:numId w:val="1106"/>
        </w:numPr>
      </w:pPr>
      <w:r>
        <w:t xml:space="preserve">Whether it will be exchanged with other users and under what policy;</w:t>
      </w:r>
    </w:p>
    <w:p>
      <w:pPr>
        <w:numPr>
          <w:ilvl w:val="0"/>
          <w:numId w:val="1106"/>
        </w:numPr>
      </w:pPr>
      <w:r>
        <w:t xml:space="preserve">Where it should be submitted for long-term archival;</w:t>
      </w:r>
    </w:p>
    <w:p>
      <w:pPr>
        <w:numPr>
          <w:ilvl w:val="0"/>
          <w:numId w:val="1106"/>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9"/>
    <w:bookmarkStart w:id="271"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70">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71"/>
    <w:bookmarkStart w:id="273"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2">
        <w:r>
          <w:rPr>
            <w:rStyle w:val="Hyperlink"/>
            <w:iCs/>
            <w:i/>
          </w:rPr>
          <w:t xml:space="preserve">https://community.wmo.int/news/operational-newsletter</w:t>
        </w:r>
      </w:hyperlink>
      <w:r>
        <w:t xml:space="preserve">.</w:t>
      </w:r>
    </w:p>
    <w:bookmarkEnd w:id="273"/>
    <w:bookmarkStart w:id="277"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07"/>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07"/>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4">
        <w:r>
          <w:rPr>
            <w:rStyle w:val="Hyperlink"/>
            <w:iCs/>
            <w:i/>
          </w:rPr>
          <w:t xml:space="preserve">Manual on the WMO Integrated Global Observing System</w:t>
        </w:r>
      </w:hyperlink>
      <w:r>
        <w:t xml:space="preserve"> </w:t>
      </w:r>
      <w:r>
        <w:t xml:space="preserve">(WMO-No. 1160) and the</w:t>
      </w:r>
      <w:r>
        <w:t xml:space="preserve"> </w:t>
      </w:r>
      <w:hyperlink r:id="rId275">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6">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7"/>
    <w:bookmarkStart w:id="279"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8">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9"/>
    <w:bookmarkEnd w:id="280"/>
    <w:bookmarkEnd w:id="281"/>
    <w:bookmarkStart w:id="286" w:name="X35204cf3ee03a678864bfb46ad7b3703fafab2a"/>
    <w:p>
      <w:pPr>
        <w:pStyle w:val="Heading3"/>
      </w:pPr>
      <w:r>
        <w:t xml:space="preserve">4.4 Other considerations</w:t>
      </w:r>
    </w:p>
    <w:bookmarkStart w:id="283"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2">
        <w:r>
          <w:rPr>
            <w:rStyle w:val="Hyperlink"/>
            <w:iCs/>
            <w:i/>
          </w:rPr>
          <w:t xml:space="preserve">WMO Guidelines on Emerging Data Issues</w:t>
        </w:r>
      </w:hyperlink>
      <w:r>
        <w:t xml:space="preserve"> </w:t>
      </w:r>
      <w:r>
        <w:t xml:space="preserve">(WMO-No. 1239).</w:t>
      </w:r>
    </w:p>
    <w:bookmarkEnd w:id="283"/>
    <w:bookmarkStart w:id="285"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4">
        <w:r>
          <w:rPr>
            <w:rStyle w:val="Hyperlink"/>
            <w:iCs/>
            <w:i/>
          </w:rPr>
          <w:t xml:space="preserve">Guide to Information Technology Security</w:t>
        </w:r>
      </w:hyperlink>
      <w:r>
        <w:t xml:space="preserve"> </w:t>
      </w:r>
      <w:r>
        <w:t xml:space="preserve">(WMO-No. 1115).</w:t>
      </w:r>
    </w:p>
    <w:bookmarkEnd w:id="285"/>
    <w:bookmarkEnd w:id="286"/>
    <w:bookmarkEnd w:id="287"/>
    <w:bookmarkEnd w:id="288"/>
    <w:bookmarkStart w:id="290"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08"/>
        </w:numPr>
      </w:pPr>
      <w:r>
        <w:rPr>
          <w:iCs/>
          <w:i/>
        </w:rPr>
        <w:t xml:space="preserve">Guide to Information Technology Security</w:t>
      </w:r>
      <w:r>
        <w:t xml:space="preserve"> </w:t>
      </w:r>
      <w:r>
        <w:t xml:space="preserve">(WMO-No. 1115);</w:t>
      </w:r>
    </w:p>
    <w:p>
      <w:pPr>
        <w:numPr>
          <w:ilvl w:val="0"/>
          <w:numId w:val="1108"/>
        </w:numPr>
      </w:pPr>
      <w:hyperlink r:id="rId289">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90"/>
    <w:bookmarkStart w:id="29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91">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2">
              <w:r>
                <w:rPr>
                  <w:rStyle w:val="Hyperlink"/>
                </w:rPr>
                <w:t xml:space="preserve">See GitHub</w:t>
              </w:r>
            </w:hyperlink>
          </w:p>
        </w:tc>
        <w:tc>
          <w:tcPr/>
          <w:p>
            <w:pPr>
              <w:jc w:val="left"/>
            </w:pPr>
            <w:r>
              <w:t xml:space="preserve">Fast-track 2025-2</w:t>
            </w:r>
          </w:p>
        </w:tc>
      </w:tr>
    </w:tbl>
    <w:bookmarkEnd w:id="293"/>
    <w:bookmarkStart w:id="294"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4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51">
    <w:p>
      <w:pPr>
        <w:pStyle w:val="FootnoteText"/>
      </w:pPr>
      <w:r>
        <w:rPr>
          <w:rStyle w:val="FootnoteReference"/>
        </w:rPr>
        <w:footnoteRef/>
      </w:r>
      <w:r>
        <w:t xml:space="preserve"> </w:t>
      </w:r>
      <w:r>
        <w:t xml:space="preserve">OpenMetrics is proposed as a draft standard within the Internet Engineering Task Force (IETF).</w:t>
      </w:r>
    </w:p>
  </w:footnote>
  <w:footnote w:id="152">
    <w:p>
      <w:pPr>
        <w:pStyle w:val="FootnoteText"/>
      </w:pPr>
      <w:r>
        <w:rPr>
          <w:rStyle w:val="FootnoteReference"/>
        </w:rPr>
        <w:footnoteRef/>
      </w:r>
      <w:r>
        <w:t xml:space="preserve"> </w:t>
      </w:r>
      <w:r>
        <w:t xml:space="preserve">See</w:t>
      </w:r>
      <w:r>
        <w:t xml:space="preserve"> </w:t>
      </w:r>
      <w:hyperlink r:id="rId153">
        <w:r>
          <w:rPr>
            <w:rStyle w:val="Hyperlink"/>
          </w:rPr>
          <w:t xml:space="preserve">https://github.com/wmo-im/wis2-metric-hierarchy</w:t>
        </w:r>
      </w:hyperlink>
      <w:r>
        <w:t xml:space="preserve">.</w:t>
      </w:r>
    </w:p>
  </w:footnote>
  <w:footnote w:id="174">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79">
    <w:p>
      <w:pPr>
        <w:pStyle w:val="FootnoteText"/>
      </w:pPr>
      <w:r>
        <w:rPr>
          <w:rStyle w:val="FootnoteReference"/>
        </w:rPr>
        <w:footnoteRef/>
      </w:r>
      <w:r>
        <w:t xml:space="preserve"> </w:t>
      </w:r>
      <w:r>
        <w:t xml:space="preserve">See OGC-API Records - Part 1</w:t>
      </w:r>
      <w:r>
        <w:t xml:space="preserve"> </w:t>
      </w:r>
      <w:hyperlink r:id="rId180">
        <w:r>
          <w:rPr>
            <w:rStyle w:val="Hyperlink"/>
          </w:rPr>
          <w:t xml:space="preserve">https://docs.ogc.org/is/20-004r1/20-004r1.html</w:t>
        </w:r>
      </w:hyperlink>
      <w:r>
        <w:t xml:space="preserve">.</w:t>
      </w:r>
    </w:p>
  </w:footnote>
  <w:footnote w:id="181">
    <w:p>
      <w:pPr>
        <w:pStyle w:val="FootnoteText"/>
      </w:pPr>
      <w:r>
        <w:rPr>
          <w:rStyle w:val="FootnoteReference"/>
        </w:rPr>
        <w:footnoteRef/>
      </w:r>
      <w:r>
        <w:t xml:space="preserve"> </w:t>
      </w:r>
      <w:hyperlink r:id="rId182">
        <w:r>
          <w:rPr>
            <w:rStyle w:val="Hyperlink"/>
          </w:rPr>
          <w:t xml:space="preserve">https://wmo-im.github.io/wcmp2/kpi/wcmp2-kpi-STABLE.html</w:t>
        </w:r>
      </w:hyperlink>
    </w:p>
  </w:footnote>
  <w:footnote w:id="183">
    <w:p>
      <w:pPr>
        <w:pStyle w:val="FootnoteText"/>
      </w:pPr>
      <w:r>
        <w:rPr>
          <w:rStyle w:val="FootnoteReference"/>
        </w:rPr>
        <w:footnoteRef/>
      </w:r>
      <w:r>
        <w:t xml:space="preserve"> </w:t>
      </w:r>
      <w:hyperlink r:id="rId184">
        <w:r>
          <w:rPr>
            <w:rStyle w:val="Hyperlink"/>
          </w:rPr>
          <w:t xml:space="preserve">https://github.com/wmo-im/wis2-metric-hierarchy/blob/main/metrics/gdc.csv</w:t>
        </w:r>
      </w:hyperlink>
    </w:p>
  </w:footnote>
  <w:footnote w:id="192">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93">
    <w:p>
      <w:pPr>
        <w:pStyle w:val="FootnoteText"/>
      </w:pPr>
      <w:r>
        <w:rPr>
          <w:rStyle w:val="FootnoteReference"/>
        </w:rPr>
        <w:footnoteRef/>
      </w:r>
      <w:r>
        <w:t xml:space="preserve"> </w:t>
      </w:r>
      <w:r>
        <w:t xml:space="preserve">AMQP 1.0 is one of the protocols proposed in the draft PANS-IM.</w:t>
      </w:r>
    </w:p>
  </w:footnote>
  <w:footnote w:id="198">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200">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201">
    <w:p>
      <w:pPr>
        <w:pStyle w:val="FootnoteText"/>
      </w:pPr>
      <w:r>
        <w:rPr>
          <w:rStyle w:val="FootnoteReference"/>
        </w:rPr>
        <w:footnoteRef/>
      </w:r>
      <w:r>
        <w:t xml:space="preserve"> </w:t>
      </w:r>
      <w:r>
        <w:t xml:space="preserve">WIS2 does not provide any guidance on use of Public Key Infrastructure (PKI).</w:t>
      </w:r>
    </w:p>
  </w:footnote>
  <w:footnote w:id="202">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203">
    <w:p>
      <w:pPr>
        <w:pStyle w:val="FootnoteText"/>
      </w:pPr>
      <w:r>
        <w:rPr>
          <w:rStyle w:val="FootnoteReference"/>
        </w:rPr>
        <w:footnoteRef/>
      </w:r>
      <w:r>
        <w:t xml:space="preserve"> </w:t>
      </w:r>
      <w:r>
        <w:t xml:space="preserve">Where the data resource does not exceed 4 Kb, it may be embedded in the notification message.</w:t>
      </w:r>
    </w:p>
  </w:footnote>
  <w:footnote w:id="205">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9">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10">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11">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12">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214">
    <w:p>
      <w:pPr>
        <w:pStyle w:val="FootnoteText"/>
      </w:pPr>
      <w:r>
        <w:rPr>
          <w:rStyle w:val="FootnoteReference"/>
        </w:rPr>
        <w:footnoteRef/>
      </w:r>
      <w:r>
        <w:t xml:space="preserve"> </w:t>
      </w:r>
      <w:r>
        <w:t xml:space="preserve">See AMQP 1.0:</w:t>
      </w:r>
      <w:r>
        <w:t xml:space="preserve"> </w:t>
      </w:r>
      <w:hyperlink r:id="rId215">
        <w:r>
          <w:rPr>
            <w:rStyle w:val="Hyperlink"/>
          </w:rPr>
          <w:t xml:space="preserve">https://www.amqp.org/resources/specifications</w:t>
        </w:r>
      </w:hyperlink>
      <w:r>
        <w:t xml:space="preserve">.</w:t>
      </w:r>
    </w:p>
  </w:footnote>
  <w:footnote w:id="218">
    <w:p>
      <w:pPr>
        <w:pStyle w:val="FootnoteText"/>
      </w:pPr>
      <w:r>
        <w:rPr>
          <w:rStyle w:val="FootnoteReference"/>
        </w:rPr>
        <w:footnoteRef/>
      </w:r>
      <w:r>
        <w:t xml:space="preserve"> </w:t>
      </w:r>
      <w:r>
        <w:t xml:space="preserve">See</w:t>
      </w:r>
      <w:r>
        <w:t xml:space="preserve"> </w:t>
      </w:r>
      <w:hyperlink r:id="rId219">
        <w:r>
          <w:rPr>
            <w:rStyle w:val="Hyperlink"/>
          </w:rPr>
          <w:t xml:space="preserve">https://schema.org</w:t>
        </w:r>
      </w:hyperlink>
      <w:r>
        <w:t xml:space="preserve">.</w:t>
      </w:r>
    </w:p>
  </w:footnote>
  <w:footnote w:id="230">
    <w:p>
      <w:pPr>
        <w:pStyle w:val="FootnoteText"/>
      </w:pPr>
      <w:r>
        <w:rPr>
          <w:rStyle w:val="FootnoteReference"/>
        </w:rPr>
        <w:footnoteRef/>
      </w:r>
      <w:r>
        <w:t xml:space="preserve"> </w:t>
      </w:r>
      <w:hyperlink r:id="rId231">
        <w:r>
          <w:rPr>
            <w:rStyle w:val="Hyperlink"/>
          </w:rPr>
          <w:t xml:space="preserve">https://docs.ogc.org/is/17-069r4/17-069r4.html</w:t>
        </w:r>
      </w:hyperlink>
    </w:p>
  </w:footnote>
  <w:footnote w:id="232">
    <w:p>
      <w:pPr>
        <w:pStyle w:val="FootnoteText"/>
      </w:pPr>
      <w:r>
        <w:rPr>
          <w:rStyle w:val="FootnoteReference"/>
        </w:rPr>
        <w:footnoteRef/>
      </w:r>
      <w:r>
        <w:t xml:space="preserve"> </w:t>
      </w:r>
      <w:hyperlink r:id="rId233">
        <w:r>
          <w:rPr>
            <w:rStyle w:val="Hyperlink"/>
          </w:rPr>
          <w:t xml:space="preserve">https://docs.ogc.org/is/18-062r2/18-062r2.html</w:t>
        </w:r>
      </w:hyperlink>
    </w:p>
  </w:footnote>
  <w:footnote w:id="260">
    <w:p>
      <w:pPr>
        <w:pStyle w:val="FootnoteText"/>
      </w:pPr>
      <w:r>
        <w:rPr>
          <w:rStyle w:val="FootnoteReference"/>
        </w:rPr>
        <w:footnoteRef/>
      </w:r>
      <w:r>
        <w:t xml:space="preserve"> </w:t>
      </w:r>
      <w:hyperlink r:id="rId261">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20" Target="media/rId220.png" /><Relationship Type="http://schemas.openxmlformats.org/officeDocument/2006/relationships/image" Id="rId206" Target="media/rId206.png" /><Relationship Type="http://schemas.openxmlformats.org/officeDocument/2006/relationships/image" Id="rId194" Target="media/rId194.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2"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76" Target="https://datatracker.ietf.org/doc/html/rfc2616" TargetMode="External" /><Relationship Type="http://schemas.openxmlformats.org/officeDocument/2006/relationships/hyperlink" Id="rId175"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1" Target="https://docs.ogc.org/is/17-069r4/17-069r4.html" TargetMode="External" /><Relationship Type="http://schemas.openxmlformats.org/officeDocument/2006/relationships/hyperlink" Id="rId233" Target="https://docs.ogc.org/is/18-062r2/18-062r2.html" TargetMode="External" /><Relationship Type="http://schemas.openxmlformats.org/officeDocument/2006/relationships/hyperlink" Id="rId180"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6" Target="https://github.com/wmo-im/wis2-gdc" TargetMode="External" /><Relationship Type="http://schemas.openxmlformats.org/officeDocument/2006/relationships/hyperlink" Id="rId235" Target="https://github.com/wmo-im/wis2-grep" TargetMode="External" /><Relationship Type="http://schemas.openxmlformats.org/officeDocument/2006/relationships/hyperlink" Id="rId291" Target="https://github.com/wmo-im/wis2-guide/milestone/3?closed=1" TargetMode="External" /><Relationship Type="http://schemas.openxmlformats.org/officeDocument/2006/relationships/hyperlink" Id="rId292"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84" Target="https://github.com/wmo-im/wis2-metric-hierarchy/blob/main/metrics/gdc.csv" TargetMode="External" /><Relationship Type="http://schemas.openxmlformats.org/officeDocument/2006/relationships/hyperlink" Id="rId243"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61" Target="https://go-fair.org" TargetMode="External" /><Relationship Type="http://schemas.openxmlformats.org/officeDocument/2006/relationships/hyperlink" Id="rId289"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6" Target="https://library.wmo.int/idurl/4/35703" TargetMode="External" /><Relationship Type="http://schemas.openxmlformats.org/officeDocument/2006/relationships/hyperlink" Id="rId255" Target="https://library.wmo.int/idurl/4/35722" TargetMode="External" /><Relationship Type="http://schemas.openxmlformats.org/officeDocument/2006/relationships/hyperlink" Id="rId270" Target="https://library.wmo.int/idurl/4/35769" TargetMode="External" /><Relationship Type="http://schemas.openxmlformats.org/officeDocument/2006/relationships/hyperlink" Id="rId278" Target="https://library.wmo.int/idurl/4/41585" TargetMode="External" /><Relationship Type="http://schemas.openxmlformats.org/officeDocument/2006/relationships/hyperlink" Id="rId284" Target="https://library.wmo.int/idurl/4/51145" TargetMode="External" /><Relationship Type="http://schemas.openxmlformats.org/officeDocument/2006/relationships/hyperlink" Id="rId274" Target="https://library.wmo.int/idurl/4/55063" TargetMode="External" /><Relationship Type="http://schemas.openxmlformats.org/officeDocument/2006/relationships/hyperlink" Id="rId275" Target="https://library.wmo.int/idurl/4/55696" TargetMode="External" /><Relationship Type="http://schemas.openxmlformats.org/officeDocument/2006/relationships/hyperlink" Id="rId282"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19"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82"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42"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5"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2"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76" Target="https://datatracker.ietf.org/doc/html/rfc2616" TargetMode="External" /><Relationship Type="http://schemas.openxmlformats.org/officeDocument/2006/relationships/hyperlink" Id="rId175"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1" Target="https://docs.ogc.org/is/17-069r4/17-069r4.html" TargetMode="External" /><Relationship Type="http://schemas.openxmlformats.org/officeDocument/2006/relationships/hyperlink" Id="rId233" Target="https://docs.ogc.org/is/18-062r2/18-062r2.html" TargetMode="External" /><Relationship Type="http://schemas.openxmlformats.org/officeDocument/2006/relationships/hyperlink" Id="rId180"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6" Target="https://github.com/wmo-im/wis2-gdc" TargetMode="External" /><Relationship Type="http://schemas.openxmlformats.org/officeDocument/2006/relationships/hyperlink" Id="rId235" Target="https://github.com/wmo-im/wis2-grep" TargetMode="External" /><Relationship Type="http://schemas.openxmlformats.org/officeDocument/2006/relationships/hyperlink" Id="rId291" Target="https://github.com/wmo-im/wis2-guide/milestone/3?closed=1" TargetMode="External" /><Relationship Type="http://schemas.openxmlformats.org/officeDocument/2006/relationships/hyperlink" Id="rId292"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84" Target="https://github.com/wmo-im/wis2-metric-hierarchy/blob/main/metrics/gdc.csv" TargetMode="External" /><Relationship Type="http://schemas.openxmlformats.org/officeDocument/2006/relationships/hyperlink" Id="rId243"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61" Target="https://go-fair.org" TargetMode="External" /><Relationship Type="http://schemas.openxmlformats.org/officeDocument/2006/relationships/hyperlink" Id="rId289"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6" Target="https://library.wmo.int/idurl/4/35703" TargetMode="External" /><Relationship Type="http://schemas.openxmlformats.org/officeDocument/2006/relationships/hyperlink" Id="rId255" Target="https://library.wmo.int/idurl/4/35722" TargetMode="External" /><Relationship Type="http://schemas.openxmlformats.org/officeDocument/2006/relationships/hyperlink" Id="rId270" Target="https://library.wmo.int/idurl/4/35769" TargetMode="External" /><Relationship Type="http://schemas.openxmlformats.org/officeDocument/2006/relationships/hyperlink" Id="rId278" Target="https://library.wmo.int/idurl/4/41585" TargetMode="External" /><Relationship Type="http://schemas.openxmlformats.org/officeDocument/2006/relationships/hyperlink" Id="rId284" Target="https://library.wmo.int/idurl/4/51145" TargetMode="External" /><Relationship Type="http://schemas.openxmlformats.org/officeDocument/2006/relationships/hyperlink" Id="rId274" Target="https://library.wmo.int/idurl/4/55063" TargetMode="External" /><Relationship Type="http://schemas.openxmlformats.org/officeDocument/2006/relationships/hyperlink" Id="rId275" Target="https://library.wmo.int/idurl/4/55696" TargetMode="External" /><Relationship Type="http://schemas.openxmlformats.org/officeDocument/2006/relationships/hyperlink" Id="rId282"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19"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82"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42"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5"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2026-06-04T13:29:22Z</dcterms:created>
  <dcterms:modified xsi:type="dcterms:W3CDTF">2026-06-04T13:29:22Z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2026-06-04</vt:lpwstr>
  </property>
</Properties>
</file>