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20.png" ContentType="image/png"/>
  <Override PartName="/word/media/rId206.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27"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91"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70"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Start w:id="157" w:name="X5cf8facfca0797dd12b99d36a4bfeece4ec9a3a"/>
    <w:p>
      <w:pPr>
        <w:pStyle w:val="Heading4"/>
      </w:pPr>
      <w:r>
        <w:t xml:space="preserve">2.7.2.4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9"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Start w:id="167" w:name="X18e420a9762b1d226bd0a027383e028da32655a"/>
    <w:p>
      <w:pPr>
        <w:pStyle w:val="Heading5"/>
      </w:pPr>
      <w:r>
        <w:t xml:space="preserve">2.7.2.9.3 Global Discovery Catalogue</w:t>
      </w:r>
    </w:p>
    <w:p>
      <w:pPr>
        <w:pStyle w:val="FirstParagraph"/>
      </w:pPr>
      <w:r>
        <w:t xml:space="preserve">A Global Discovery Catalogue is considered operational when, evaluated continuously over the assessment period: not less than 99 per cent of WCMP2 metadata records published by source catalogues are successfully harvested within the latency target set out in the technical reference document; the search and access interfaces are available to consumers for not less than 99.9 per cent of the time, with response times below the threshold set out in the technical reference document; one hundred per cent of catalogue records conform to the WMO Core Metadata Profile (Appendix F of the Manual); and the operational metrics required under §4.7 of the Manual are published.</w:t>
      </w:r>
    </w:p>
    <w:p>
      <w:pPr>
        <w:pStyle w:val="BodyText"/>
      </w:pPr>
      <w:r>
        <w:t xml:space="preserve">For a Global Discovery Catalogue, the API should support a minimum of 25 requests per second, and the service level shall not be less than 98 per cent of operational time per calendar month.</w:t>
      </w:r>
    </w:p>
    <w:bookmarkEnd w:id="167"/>
    <w:bookmarkStart w:id="168" w:name="X70211b07e938a461f096d40f78cc811a29852d7"/>
    <w:p>
      <w:pPr>
        <w:pStyle w:val="Heading5"/>
      </w:pPr>
      <w:r>
        <w:t xml:space="preserve">2.7.2.9.4 Global Monitor</w:t>
      </w:r>
    </w:p>
    <w:p>
      <w:pPr>
        <w:pStyle w:val="FirstParagraph"/>
      </w:pPr>
      <w:r>
        <w:t xml:space="preserve">A Global Monitor is considered operational when, evaluated continuously over the assessment period: not less than 99 per cent of operational metric streams published by Global Services and Sensor Centres are successfully ingested; the dashboards and statistical summary interfaces are available to consumers for not less than 99 per cent of the time; and not less than 99 per cent of operational issues meeting the alerting criteria set out in the technical reference document trigger an alert within the latency target set out in the same document.</w:t>
      </w:r>
    </w:p>
    <w:p>
      <w:pPr>
        <w:pStyle w:val="BodyText"/>
      </w:pPr>
      <w:r>
        <w:t xml:space="preserve">For a Global Monitor, the service level is not less than 98 per cent of operational time per calendar month.</w:t>
      </w:r>
    </w:p>
    <w:p>
      <w:pPr>
        <w:pStyle w:val="BodyText"/>
      </w:pPr>
      <w:r>
        <w:t xml:space="preserve">The detailed endpoint checks, conformance tests and operational criteria for each category of Global Service are maintained in a technical reference document published by the WMO Secretariat on behalf of SC-IMT as the operational practice evolves.</w:t>
      </w:r>
    </w:p>
    <w:bookmarkEnd w:id="168"/>
    <w:bookmarkEnd w:id="169"/>
    <w:bookmarkEnd w:id="170"/>
    <w:bookmarkStart w:id="172" w:name="Xfcc4be4805698cc05bd4c15ebadc91a96d644ff"/>
    <w:p>
      <w:pPr>
        <w:pStyle w:val="Heading3"/>
      </w:pPr>
      <w:r>
        <w:t xml:space="preserve">2.7.3 Global Broker</w:t>
      </w:r>
    </w:p>
    <w:bookmarkStart w:id="171"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71"/>
    <w:bookmarkEnd w:id="172"/>
    <w:bookmarkStart w:id="178"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3"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73"/>
    <w:bookmarkStart w:id="177"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74"/>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75">
        <w:r>
          <w:rPr>
            <w:rStyle w:val="Hyperlink"/>
          </w:rPr>
          <w:t xml:space="preserve">Status Code Definitions</w:t>
        </w:r>
      </w:hyperlink>
      <w:r>
        <w:t xml:space="preserve"> </w:t>
      </w:r>
      <w:r>
        <w:t xml:space="preserve">as defined by the</w:t>
      </w:r>
      <w:r>
        <w:t xml:space="preserve"> </w:t>
      </w:r>
      <w:hyperlink r:id="rId176">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77"/>
    <w:bookmarkEnd w:id="178"/>
    <w:bookmarkStart w:id="188" w:name="Xe83d0dcd18513bbe57a5c411a3835908b8c6b21"/>
    <w:p>
      <w:pPr>
        <w:pStyle w:val="Heading3"/>
      </w:pPr>
      <w:r>
        <w:t xml:space="preserve">2.7.5 Global Discovery Catalogue</w:t>
      </w:r>
    </w:p>
    <w:bookmarkStart w:id="185"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79"/>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81"/>
      </w:r>
      <w:r>
        <w:t xml:space="preserve">, providing the following metrics as defined in the WIS2 Metric Hierarchy</w:t>
      </w:r>
      <w:r>
        <w:t xml:space="preserve"> </w:t>
      </w:r>
      <w:r>
        <w:rPr>
          <w:rStyle w:val="FootnoteReference"/>
        </w:rPr>
        <w:footnoteReference w:id="183"/>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5"/>
    <w:bookmarkStart w:id="18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6">
        <w:r>
          <w:rPr>
            <w:rStyle w:val="Hyperlink"/>
          </w:rPr>
          <w:t xml:space="preserve">https://github.com/wmo-im/wis2-gdc</w:t>
        </w:r>
      </w:hyperlink>
      <w:r>
        <w:t xml:space="preserve">.</w:t>
      </w:r>
    </w:p>
    <w:bookmarkEnd w:id="187"/>
    <w:bookmarkEnd w:id="188"/>
    <w:bookmarkStart w:id="190" w:name="Xb46408fe4668a540edb8ef1c37fe9a479dce153"/>
    <w:p>
      <w:pPr>
        <w:pStyle w:val="Heading3"/>
      </w:pPr>
      <w:r>
        <w:t xml:space="preserve">2.7.6 Global Monitor</w:t>
      </w:r>
    </w:p>
    <w:bookmarkStart w:id="189"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89"/>
    <w:bookmarkEnd w:id="190"/>
    <w:bookmarkEnd w:id="191"/>
    <w:bookmarkStart w:id="226" w:name="X3cda763227efb85ffcf50601bb9e1b297d470ff"/>
    <w:p>
      <w:pPr>
        <w:pStyle w:val="Heading2"/>
      </w:pPr>
      <w:r>
        <w:t xml:space="preserve">2.8 Operations</w:t>
      </w:r>
    </w:p>
    <w:bookmarkStart w:id="22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9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5" name="Picture"/>
            <a:graphic>
              <a:graphicData uri="http://schemas.openxmlformats.org/drawingml/2006/picture">
                <pic:pic>
                  <pic:nvPicPr>
                    <pic:cNvPr descr="images/wis2-to-swim-temp.png" id="196" name="Picture"/>
                    <pic:cNvPicPr>
                      <a:picLocks noChangeArrowheads="1" noChangeAspect="1"/>
                    </pic:cNvPicPr>
                  </pic:nvPicPr>
                  <pic:blipFill>
                    <a:blip r:embed="rId19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7"/>
    <w:bookmarkStart w:id="19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8"/>
      </w:r>
      <w:r>
        <w:t xml:space="preserve"> </w:t>
      </w:r>
      <w:r>
        <w:t xml:space="preserve">is to be used for encoding aeronautical meteorological information in SWIM.</w:t>
      </w:r>
    </w:p>
    <w:bookmarkEnd w:id="199"/>
    <w:bookmarkStart w:id="20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200"/>
      </w:r>
      <w:r>
        <w:rPr>
          <w:rStyle w:val="FootnoteReference"/>
        </w:rPr>
        <w:footnoteReference w:id="201"/>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20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4"/>
    <w:bookmarkStart w:id="21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5"/>
      </w:r>
    </w:p>
    <w:p>
      <w:pPr>
        <w:pStyle w:val="CaptionedFigure"/>
      </w:pPr>
      <w:r>
        <w:drawing>
          <wp:inline>
            <wp:extent cx="5334000" cy="1838335"/>
            <wp:effectExtent b="0" l="0" r="0" t="0"/>
            <wp:docPr descr="Interactions between the gateway component and the WIS2 and SWIM components" title="" id="207" name="Picture"/>
            <a:graphic>
              <a:graphicData uri="http://schemas.openxmlformats.org/drawingml/2006/picture">
                <pic:pic>
                  <pic:nvPicPr>
                    <pic:cNvPr descr="images/wis2-to-swim-interaction-temp.png" id="208" name="Picture"/>
                    <pic:cNvPicPr>
                      <a:picLocks noChangeArrowheads="1" noChangeAspect="1"/>
                    </pic:cNvPicPr>
                  </pic:nvPicPr>
                  <pic:blipFill>
                    <a:blip r:embed="rId20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9"/>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10"/>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11"/>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1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3"/>
    <w:bookmarkStart w:id="21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6"/>
    <w:bookmarkEnd w:id="217"/>
    <w:bookmarkStart w:id="22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21" name="Picture"/>
            <a:graphic>
              <a:graphicData uri="http://schemas.openxmlformats.org/drawingml/2006/picture">
                <pic:pic>
                  <pic:nvPicPr>
                    <pic:cNvPr descr="images/wis2-odis-metadata-discovery-interop.png" id="222" name="Picture"/>
                    <pic:cNvPicPr>
                      <a:picLocks noChangeArrowheads="1" noChangeAspect="1"/>
                    </pic:cNvPicPr>
                  </pic:nvPicPr>
                  <pic:blipFill>
                    <a:blip r:embed="rId22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3"/>
    <w:bookmarkEnd w:id="224"/>
    <w:bookmarkEnd w:id="225"/>
    <w:bookmarkEnd w:id="226"/>
    <w:bookmarkEnd w:id="227"/>
    <w:bookmarkStart w:id="249" w:name="Xa57fcea0326db383435a81290ee1f4280d7ce75"/>
    <w:p>
      <w:pPr>
        <w:pStyle w:val="Heading1"/>
      </w:pPr>
      <w:r>
        <w:t xml:space="preserve">PART III. Additional components</w:t>
      </w:r>
    </w:p>
    <w:bookmarkStart w:id="228"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28"/>
    <w:bookmarkStart w:id="238" w:name="X49c9230aa828ae783ce52bef128fc5f1edbf5bb"/>
    <w:p>
      <w:pPr>
        <w:pStyle w:val="Heading2"/>
      </w:pPr>
      <w:r>
        <w:t xml:space="preserve">3.2 Other services</w:t>
      </w:r>
    </w:p>
    <w:bookmarkStart w:id="237"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9"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1 day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29"/>
    <w:bookmarkStart w:id="234"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30"/>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32"/>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34"/>
    <w:bookmarkStart w:id="236"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5">
        <w:r>
          <w:rPr>
            <w:rStyle w:val="Hyperlink"/>
          </w:rPr>
          <w:t xml:space="preserve">https://github.com/wmo-im/wis2-grep</w:t>
        </w:r>
      </w:hyperlink>
      <w:r>
        <w:t xml:space="preserve">.</w:t>
      </w:r>
    </w:p>
    <w:bookmarkEnd w:id="236"/>
    <w:bookmarkEnd w:id="237"/>
    <w:bookmarkEnd w:id="238"/>
    <w:bookmarkStart w:id="248"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9"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w:t>
      </w:r>
    </w:p>
    <w:p>
      <w:pPr>
        <w:pStyle w:val="BodyText"/>
      </w:pPr>
      <w:r>
        <w:t xml:space="preserve">Given that Sensors Centres may be used to monitor any function in WIS 2.0, further Sensor Centres may be proposed to meet additional requirements, such as validation of GBON or RBON compliance. Every Sensor Centre must follow the standard mechanism for publishing metrics for presentation in dashboards that can be used to monitor the performance of the WIS 2.0 function being assessed.</w:t>
      </w:r>
    </w:p>
    <w:p>
      <w:pPr>
        <w:pStyle w:val="BodyText"/>
      </w:pPr>
      <w:r>
        <w:t xml:space="preserve">Any Member may request to operate a Sensor Centre via the</w:t>
      </w:r>
      <w:r>
        <w:t xml:space="preserve"> </w:t>
      </w:r>
      <w:r>
        <w:t xml:space="preserve">designation process</w:t>
      </w:r>
      <w:r>
        <w:t xml:space="preserve"> </w:t>
      </w:r>
      <w:r>
        <w:t xml:space="preserve">- either for a new or existing type of Sensor Centre. Requests must specify what type of Sensor Centre will be operated and refer to the specification they will implement.</w:t>
      </w:r>
    </w:p>
    <w:p>
      <w:pPr>
        <w:pStyle w:val="BodyText"/>
      </w:pPr>
      <w:r>
        <w:t xml:space="preserve">The specification of a Sensor Centre must be published in a publicly accessible location, such as a public GitHub repository. Where a Sensor Centre has a role in the objective assessment of Global Service performance, the Sensor Centre specification is subject to approval by INFCOM and will be published in the Guide to WIS, Vol 2, Part III. Where a Sensor Centre has some other official role (e.g., in support of RBON compliance) the responsible body for that function may assert their own governance requirements.</w:t>
      </w:r>
    </w:p>
    <w:p>
      <w:pPr>
        <w:pStyle w:val="BodyText"/>
      </w:pPr>
      <w:r>
        <w:t xml:space="preserve">Where a Sensor Centre provides insight about the performance of WIS 2.0 as a whole, Global Monitors may agree to collect metrics from the Sensor Centre and provide monitoring dashboards. As part of the designation process, a Member may include a request for Global Monitors to harvest metrics, including suggested thresholds for metrics that would trigger a Global Monitor to publish an alert or warning.</w:t>
      </w:r>
    </w:p>
    <w:bookmarkEnd w:id="239"/>
    <w:bookmarkStart w:id="241"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0"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40"/>
    <w:bookmarkEnd w:id="241"/>
    <w:bookmarkStart w:id="245"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2">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4"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3">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83"/>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44"/>
    <w:bookmarkEnd w:id="245"/>
    <w:bookmarkStart w:id="247"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6"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6"/>
    <w:bookmarkEnd w:id="247"/>
    <w:bookmarkEnd w:id="248"/>
    <w:bookmarkEnd w:id="249"/>
    <w:bookmarkStart w:id="288" w:name="X04c845455f24d191e445239c565b08607ac9dcf"/>
    <w:p>
      <w:pPr>
        <w:pStyle w:val="Heading1"/>
      </w:pPr>
      <w:r>
        <w:t xml:space="preserve">PART IV. Information management</w:t>
      </w:r>
    </w:p>
    <w:bookmarkStart w:id="287" w:name="X7c62cedf76bc574f64106f5d3e1fa9cbfaf701c"/>
    <w:p>
      <w:pPr>
        <w:pStyle w:val="Heading2"/>
      </w:pPr>
      <w:r>
        <w:t xml:space="preserve">4.1 Introduction</w:t>
      </w:r>
    </w:p>
    <w:bookmarkStart w:id="250"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0"/>
    <w:bookmarkStart w:id="252"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51"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1"/>
    <w:bookmarkEnd w:id="252"/>
    <w:bookmarkStart w:id="264"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3"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3"/>
    <w:bookmarkStart w:id="254"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4"/>
    <w:bookmarkStart w:id="256"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55">
        <w:r>
          <w:rPr>
            <w:rStyle w:val="Hyperlink"/>
            <w:iCs/>
            <w:i/>
          </w:rPr>
          <w:t xml:space="preserve">Technical Regulations</w:t>
        </w:r>
      </w:hyperlink>
      <w:r>
        <w:t xml:space="preserve"> </w:t>
      </w:r>
      <w:r>
        <w:t xml:space="preserve">(WMO-No. 49).</w:t>
      </w:r>
    </w:p>
    <w:bookmarkEnd w:id="256"/>
    <w:bookmarkStart w:id="257"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57"/>
    <w:bookmarkStart w:id="258"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8"/>
    <w:bookmarkStart w:id="259"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59"/>
    <w:bookmarkStart w:id="262"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0"/>
      </w:r>
    </w:p>
    <w:bookmarkEnd w:id="262"/>
    <w:bookmarkStart w:id="263"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63"/>
    <w:bookmarkEnd w:id="264"/>
    <w:bookmarkStart w:id="281" w:name="X4929199aec71e050b1d94930339cb902a348db4"/>
    <w:p>
      <w:pPr>
        <w:pStyle w:val="Heading3"/>
      </w:pPr>
      <w:r>
        <w:t xml:space="preserve">4.3 The information management life cycle</w:t>
      </w:r>
    </w:p>
    <w:bookmarkStart w:id="265"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5"/>
    <w:bookmarkStart w:id="268" w:name="X0db61513d36abdcc7d5bfd6f287c776c8343970"/>
    <w:p>
      <w:pPr>
        <w:pStyle w:val="Heading4"/>
      </w:pPr>
      <w:r>
        <w:t xml:space="preserve">4.3.2 Overarching requirements</w:t>
      </w:r>
    </w:p>
    <w:bookmarkStart w:id="266"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66"/>
    <w:bookmarkStart w:id="267"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7"/>
    <w:bookmarkEnd w:id="268"/>
    <w:bookmarkStart w:id="280" w:name="X5d9956e6f7cee22294b4d51e9b21afad03cd809"/>
    <w:p>
      <w:pPr>
        <w:pStyle w:val="Heading4"/>
      </w:pPr>
      <w:r>
        <w:t xml:space="preserve">4.3.3 Aspects of the information management life cycle</w:t>
      </w:r>
    </w:p>
    <w:bookmarkStart w:id="269"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9"/>
    <w:bookmarkStart w:id="271"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0">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1"/>
    <w:bookmarkStart w:id="273"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2">
        <w:r>
          <w:rPr>
            <w:rStyle w:val="Hyperlink"/>
            <w:iCs/>
            <w:i/>
          </w:rPr>
          <w:t xml:space="preserve">https://community.wmo.int/news/operational-newsletter</w:t>
        </w:r>
      </w:hyperlink>
      <w:r>
        <w:t xml:space="preserve">.</w:t>
      </w:r>
    </w:p>
    <w:bookmarkEnd w:id="273"/>
    <w:bookmarkStart w:id="277"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4">
        <w:r>
          <w:rPr>
            <w:rStyle w:val="Hyperlink"/>
            <w:iCs/>
            <w:i/>
          </w:rPr>
          <w:t xml:space="preserve">Manual on the WMO Integrated Global Observing System</w:t>
        </w:r>
      </w:hyperlink>
      <w:r>
        <w:t xml:space="preserve"> </w:t>
      </w:r>
      <w:r>
        <w:t xml:space="preserve">(WMO-No. 1160) and the</w:t>
      </w:r>
      <w:r>
        <w:t xml:space="preserve"> </w:t>
      </w:r>
      <w:hyperlink r:id="rId275">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6">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7"/>
    <w:bookmarkStart w:id="279"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8">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9"/>
    <w:bookmarkEnd w:id="280"/>
    <w:bookmarkEnd w:id="281"/>
    <w:bookmarkStart w:id="286" w:name="X35204cf3ee03a678864bfb46ad7b3703fafab2a"/>
    <w:p>
      <w:pPr>
        <w:pStyle w:val="Heading3"/>
      </w:pPr>
      <w:r>
        <w:t xml:space="preserve">4.4 Other considerations</w:t>
      </w:r>
    </w:p>
    <w:bookmarkStart w:id="283"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2">
        <w:r>
          <w:rPr>
            <w:rStyle w:val="Hyperlink"/>
            <w:iCs/>
            <w:i/>
          </w:rPr>
          <w:t xml:space="preserve">WMO Guidelines on Emerging Data Issues</w:t>
        </w:r>
      </w:hyperlink>
      <w:r>
        <w:t xml:space="preserve"> </w:t>
      </w:r>
      <w:r>
        <w:t xml:space="preserve">(WMO-No. 1239).</w:t>
      </w:r>
    </w:p>
    <w:bookmarkEnd w:id="283"/>
    <w:bookmarkStart w:id="285"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4">
        <w:r>
          <w:rPr>
            <w:rStyle w:val="Hyperlink"/>
            <w:iCs/>
            <w:i/>
          </w:rPr>
          <w:t xml:space="preserve">Guide to Information Technology Security</w:t>
        </w:r>
      </w:hyperlink>
      <w:r>
        <w:t xml:space="preserve"> </w:t>
      </w:r>
      <w:r>
        <w:t xml:space="preserve">(WMO-No. 1115).</w:t>
      </w:r>
    </w:p>
    <w:bookmarkEnd w:id="285"/>
    <w:bookmarkEnd w:id="286"/>
    <w:bookmarkEnd w:id="287"/>
    <w:bookmarkEnd w:id="288"/>
    <w:bookmarkStart w:id="290"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89">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0"/>
    <w:bookmarkStart w:id="29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2025-2</w:t>
            </w:r>
          </w:p>
        </w:tc>
      </w:tr>
    </w:tbl>
    <w:bookmarkEnd w:id="293"/>
    <w:bookmarkStart w:id="294"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74">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79">
    <w:p>
      <w:pPr>
        <w:pStyle w:val="FootnoteText"/>
      </w:pPr>
      <w:r>
        <w:rPr>
          <w:rStyle w:val="FootnoteReference"/>
        </w:rPr>
        <w:footnoteRef/>
      </w:r>
      <w:r>
        <w:t xml:space="preserve"> </w:t>
      </w:r>
      <w:r>
        <w:t xml:space="preserve">See OGC-API Records - Part 1</w:t>
      </w:r>
      <w:r>
        <w:t xml:space="preserve"> </w:t>
      </w:r>
      <w:hyperlink r:id="rId180">
        <w:r>
          <w:rPr>
            <w:rStyle w:val="Hyperlink"/>
          </w:rPr>
          <w:t xml:space="preserve">https://docs.ogc.org/is/20-004r1/20-004r1.html</w:t>
        </w:r>
      </w:hyperlink>
      <w:r>
        <w:t xml:space="preserve">.</w:t>
      </w:r>
    </w:p>
  </w:footnote>
  <w:footnote w:id="181">
    <w:p>
      <w:pPr>
        <w:pStyle w:val="FootnoteText"/>
      </w:pPr>
      <w:r>
        <w:rPr>
          <w:rStyle w:val="FootnoteReference"/>
        </w:rPr>
        <w:footnoteRef/>
      </w:r>
      <w:r>
        <w:t xml:space="preserve"> </w:t>
      </w:r>
      <w:hyperlink r:id="rId182">
        <w:r>
          <w:rPr>
            <w:rStyle w:val="Hyperlink"/>
          </w:rPr>
          <w:t xml:space="preserve">https://wmo-im.github.io/wcmp2/kpi/wcmp2-kpi-STABLE.html</w:t>
        </w:r>
      </w:hyperlink>
    </w:p>
  </w:footnote>
  <w:footnote w:id="183">
    <w:p>
      <w:pPr>
        <w:pStyle w:val="FootnoteText"/>
      </w:pPr>
      <w:r>
        <w:rPr>
          <w:rStyle w:val="FootnoteReference"/>
        </w:rPr>
        <w:footnoteRef/>
      </w:r>
      <w:r>
        <w:t xml:space="preserve"> </w:t>
      </w:r>
      <w:hyperlink r:id="rId184">
        <w:r>
          <w:rPr>
            <w:rStyle w:val="Hyperlink"/>
          </w:rPr>
          <w:t xml:space="preserve">https://github.com/wmo-im/wis2-metric-hierarchy/blob/main/metrics/gdc.csv</w:t>
        </w:r>
      </w:hyperlink>
    </w:p>
  </w:footnote>
  <w:footnote w:id="19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3">
    <w:p>
      <w:pPr>
        <w:pStyle w:val="FootnoteText"/>
      </w:pPr>
      <w:r>
        <w:rPr>
          <w:rStyle w:val="FootnoteReference"/>
        </w:rPr>
        <w:footnoteRef/>
      </w:r>
      <w:r>
        <w:t xml:space="preserve"> </w:t>
      </w:r>
      <w:r>
        <w:t xml:space="preserve">AMQP 1.0 is one of the protocols proposed in the draft PANS-IM.</w:t>
      </w:r>
    </w:p>
  </w:footnote>
  <w:footnote w:id="19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20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201">
    <w:p>
      <w:pPr>
        <w:pStyle w:val="FootnoteText"/>
      </w:pPr>
      <w:r>
        <w:rPr>
          <w:rStyle w:val="FootnoteReference"/>
        </w:rPr>
        <w:footnoteRef/>
      </w:r>
      <w:r>
        <w:t xml:space="preserve"> </w:t>
      </w:r>
      <w:r>
        <w:t xml:space="preserve">WIS2 does not provide any guidance on use of Public Key Infrastructure (PKI).</w:t>
      </w:r>
    </w:p>
  </w:footnote>
  <w:footnote w:id="20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3">
    <w:p>
      <w:pPr>
        <w:pStyle w:val="FootnoteText"/>
      </w:pPr>
      <w:r>
        <w:rPr>
          <w:rStyle w:val="FootnoteReference"/>
        </w:rPr>
        <w:footnoteRef/>
      </w:r>
      <w:r>
        <w:t xml:space="preserve"> </w:t>
      </w:r>
      <w:r>
        <w:t xml:space="preserve">Where the data resource does not exceed 4 Kb, it may be embedded in the notification message.</w:t>
      </w:r>
    </w:p>
  </w:footnote>
  <w:footnote w:id="20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1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1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12">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14">
    <w:p>
      <w:pPr>
        <w:pStyle w:val="FootnoteText"/>
      </w:pPr>
      <w:r>
        <w:rPr>
          <w:rStyle w:val="FootnoteReference"/>
        </w:rPr>
        <w:footnoteRef/>
      </w:r>
      <w:r>
        <w:t xml:space="preserve"> </w:t>
      </w:r>
      <w:r>
        <w:t xml:space="preserve">See AMQP 1.0:</w:t>
      </w:r>
      <w:r>
        <w:t xml:space="preserve"> </w:t>
      </w:r>
      <w:hyperlink r:id="rId215">
        <w:r>
          <w:rPr>
            <w:rStyle w:val="Hyperlink"/>
          </w:rPr>
          <w:t xml:space="preserve">https://www.amqp.org/resources/specifications</w:t>
        </w:r>
      </w:hyperlink>
      <w:r>
        <w:t xml:space="preserve">.</w:t>
      </w:r>
    </w:p>
  </w:footnote>
  <w:footnote w:id="218">
    <w:p>
      <w:pPr>
        <w:pStyle w:val="FootnoteText"/>
      </w:pPr>
      <w:r>
        <w:rPr>
          <w:rStyle w:val="FootnoteReference"/>
        </w:rPr>
        <w:footnoteRef/>
      </w:r>
      <w:r>
        <w:t xml:space="preserve"> </w:t>
      </w:r>
      <w:r>
        <w:t xml:space="preserve">See</w:t>
      </w:r>
      <w:r>
        <w:t xml:space="preserve"> </w:t>
      </w:r>
      <w:hyperlink r:id="rId219">
        <w:r>
          <w:rPr>
            <w:rStyle w:val="Hyperlink"/>
          </w:rPr>
          <w:t xml:space="preserve">https://schema.org</w:t>
        </w:r>
      </w:hyperlink>
      <w:r>
        <w:t xml:space="preserve">.</w:t>
      </w:r>
    </w:p>
  </w:footnote>
  <w:footnote w:id="230">
    <w:p>
      <w:pPr>
        <w:pStyle w:val="FootnoteText"/>
      </w:pPr>
      <w:r>
        <w:rPr>
          <w:rStyle w:val="FootnoteReference"/>
        </w:rPr>
        <w:footnoteRef/>
      </w:r>
      <w:r>
        <w:t xml:space="preserve"> </w:t>
      </w:r>
      <w:hyperlink r:id="rId231">
        <w:r>
          <w:rPr>
            <w:rStyle w:val="Hyperlink"/>
          </w:rPr>
          <w:t xml:space="preserve">https://docs.ogc.org/is/17-069r4/17-069r4.html</w:t>
        </w:r>
      </w:hyperlink>
    </w:p>
  </w:footnote>
  <w:footnote w:id="232">
    <w:p>
      <w:pPr>
        <w:pStyle w:val="FootnoteText"/>
      </w:pPr>
      <w:r>
        <w:rPr>
          <w:rStyle w:val="FootnoteReference"/>
        </w:rPr>
        <w:footnoteRef/>
      </w:r>
      <w:r>
        <w:t xml:space="preserve"> </w:t>
      </w:r>
      <w:hyperlink r:id="rId233">
        <w:r>
          <w:rPr>
            <w:rStyle w:val="Hyperlink"/>
          </w:rPr>
          <w:t xml:space="preserve">https://docs.ogc.org/is/18-062r2/18-062r2.html</w:t>
        </w:r>
      </w:hyperlink>
    </w:p>
  </w:footnote>
  <w:footnote w:id="260">
    <w:p>
      <w:pPr>
        <w:pStyle w:val="FootnoteText"/>
      </w:pPr>
      <w:r>
        <w:rPr>
          <w:rStyle w:val="FootnoteReference"/>
        </w:rPr>
        <w:footnoteRef/>
      </w:r>
      <w:r>
        <w:t xml:space="preserve"> </w:t>
      </w:r>
      <w:hyperlink r:id="rId261">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20" Target="media/rId220.png" /><Relationship Type="http://schemas.openxmlformats.org/officeDocument/2006/relationships/image" Id="rId206" Target="media/rId206.png" /><Relationship Type="http://schemas.openxmlformats.org/officeDocument/2006/relationships/image" Id="rId194" Target="media/rId194.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6" Target="https://datatracker.ietf.org/doc/html/rfc2616" TargetMode="External" /><Relationship Type="http://schemas.openxmlformats.org/officeDocument/2006/relationships/hyperlink" Id="rId175"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80"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6"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84"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1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2"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6" Target="https://datatracker.ietf.org/doc/html/rfc2616" TargetMode="External" /><Relationship Type="http://schemas.openxmlformats.org/officeDocument/2006/relationships/hyperlink" Id="rId175"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80"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6"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84"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1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2"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2026-06-05T09:43:06Z</dcterms:created>
  <dcterms:modified xsi:type="dcterms:W3CDTF">2026-06-05T09:43:06Z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2026-06-05</vt:lpwstr>
  </property>
</Properties>
</file>