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8.png" ContentType="image/png"/>
  <Override PartName="/word/media/rId204.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5"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9"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not less than sixteen;</w:t>
      </w:r>
    </w:p>
    <w:p>
      <w:pPr>
        <w:numPr>
          <w:ilvl w:val="1"/>
          <w:numId w:val="1045"/>
        </w:numPr>
      </w:pPr>
      <w:r>
        <w:t xml:space="preserve">Could limit the bandwidth usage of the service to 1 Gb/s.</w:t>
      </w:r>
    </w:p>
    <w:p>
      <w:pPr>
        <w:numPr>
          <w:ilvl w:val="0"/>
          <w:numId w:val="1043"/>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25 requests per second to the API endpoint.</w:t>
      </w:r>
    </w:p>
    <w:p>
      <w:pPr>
        <w:numPr>
          <w:ilvl w:val="0"/>
          <w:numId w:val="1043"/>
        </w:numPr>
      </w:pPr>
      <w:r>
        <w:t xml:space="preserve">A Global Monitor:</w:t>
      </w:r>
    </w:p>
    <w:p>
      <w:pPr>
        <w:numPr>
          <w:ilvl w:val="1"/>
          <w:numId w:val="1047"/>
        </w:numPr>
      </w:pPr>
      <w:r>
        <w:t xml:space="preserve">Should support a minimum of 50 metrics providers;</w:t>
      </w:r>
    </w:p>
    <w:p>
      <w:pPr>
        <w:numPr>
          <w:ilvl w:val="1"/>
          <w:numId w:val="1047"/>
        </w:numPr>
      </w:pPr>
      <w:r>
        <w:t xml:space="preserve">Should support 200 simultaneous "access" to the dashboard;</w:t>
      </w:r>
    </w:p>
    <w:p>
      <w:pPr>
        <w:numPr>
          <w:ilvl w:val="1"/>
          <w:numId w:val="1047"/>
        </w:numPr>
      </w:pPr>
      <w:r>
        <w:t xml:space="preserve">Could limit the bandwidth usage of the service to 100 Mb/s.</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6"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1"/>
    <w:bookmarkStart w:id="175"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2"/>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3">
        <w:r>
          <w:rPr>
            <w:rStyle w:val="Hyperlink"/>
          </w:rPr>
          <w:t xml:space="preserve">Status Code Definitions</w:t>
        </w:r>
      </w:hyperlink>
      <w:r>
        <w:t xml:space="preserve"> </w:t>
      </w:r>
      <w:r>
        <w:t xml:space="preserve">as defined by the</w:t>
      </w:r>
      <w:r>
        <w:t xml:space="preserve"> </w:t>
      </w:r>
      <w:hyperlink r:id="rId174">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5"/>
    <w:bookmarkEnd w:id="176"/>
    <w:bookmarkStart w:id="186" w:name="Xe83d0dcd18513bbe57a5c411a3835908b8c6b21"/>
    <w:p>
      <w:pPr>
        <w:pStyle w:val="Heading3"/>
      </w:pPr>
      <w:r>
        <w:t xml:space="preserve">2.7.5 Global Discovery Catalogue</w:t>
      </w:r>
    </w:p>
    <w:bookmarkStart w:id="183"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7"/>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79"/>
      </w:r>
      <w:r>
        <w:t xml:space="preserve">, providing the following metrics as defined in the WIS2 Metric Hierarchy</w:t>
      </w:r>
      <w:r>
        <w:t xml:space="preserve"> </w:t>
      </w:r>
      <w:r>
        <w:rPr>
          <w:rStyle w:val="FootnoteReference"/>
        </w:rPr>
        <w:footnoteReference w:id="181"/>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3"/>
    <w:bookmarkStart w:id="185"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4">
        <w:r>
          <w:rPr>
            <w:rStyle w:val="Hyperlink"/>
          </w:rPr>
          <w:t xml:space="preserve">https://github.com/wmo-im/wis2-gdc</w:t>
        </w:r>
      </w:hyperlink>
      <w:r>
        <w:t xml:space="preserve">.</w:t>
      </w:r>
    </w:p>
    <w:bookmarkEnd w:id="185"/>
    <w:bookmarkEnd w:id="186"/>
    <w:bookmarkStart w:id="188" w:name="Xb46408fe4668a540edb8ef1c37fe9a479dce153"/>
    <w:p>
      <w:pPr>
        <w:pStyle w:val="Heading3"/>
      </w:pPr>
      <w:r>
        <w:t xml:space="preserve">2.7.6 Global Monitor</w:t>
      </w:r>
    </w:p>
    <w:bookmarkStart w:id="187"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7"/>
    <w:bookmarkEnd w:id="188"/>
    <w:bookmarkEnd w:id="189"/>
    <w:bookmarkStart w:id="224" w:name="X3cda763227efb85ffcf50601bb9e1b297d470ff"/>
    <w:p>
      <w:pPr>
        <w:pStyle w:val="Heading2"/>
      </w:pPr>
      <w:r>
        <w:t xml:space="preserve">2.8 Operations</w:t>
      </w:r>
    </w:p>
    <w:bookmarkStart w:id="223"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5"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0"/>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1"/>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5"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3" name="Picture"/>
            <a:graphic>
              <a:graphicData uri="http://schemas.openxmlformats.org/drawingml/2006/picture">
                <pic:pic>
                  <pic:nvPicPr>
                    <pic:cNvPr descr="images/wis2-to-swim-temp.png" id="194" name="Picture"/>
                    <pic:cNvPicPr>
                      <a:picLocks noChangeArrowheads="1" noChangeAspect="1"/>
                    </pic:cNvPicPr>
                  </pic:nvPicPr>
                  <pic:blipFill>
                    <a:blip r:embed="rId192"/>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5"/>
    <w:bookmarkStart w:id="197"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6"/>
      </w:r>
      <w:r>
        <w:t xml:space="preserve"> </w:t>
      </w:r>
      <w:r>
        <w:t xml:space="preserve">is to be used for encoding aeronautical meteorological information in SWIM.</w:t>
      </w:r>
    </w:p>
    <w:bookmarkEnd w:id="197"/>
    <w:bookmarkStart w:id="202"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8"/>
      </w:r>
      <w:r>
        <w:rPr>
          <w:rStyle w:val="FootnoteReference"/>
        </w:rPr>
        <w:footnoteReference w:id="199"/>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0"/>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1"/>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2"/>
    <w:bookmarkStart w:id="211"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3"/>
      </w:r>
    </w:p>
    <w:p>
      <w:pPr>
        <w:pStyle w:val="CaptionedFigure"/>
      </w:pPr>
      <w:r>
        <w:drawing>
          <wp:inline>
            <wp:extent cx="5334000" cy="1838335"/>
            <wp:effectExtent b="0" l="0" r="0" t="0"/>
            <wp:docPr descr="Interactions between the gateway component and the WIS2 and SWIM components" title="" id="205" name="Picture"/>
            <a:graphic>
              <a:graphicData uri="http://schemas.openxmlformats.org/drawingml/2006/picture">
                <pic:pic>
                  <pic:nvPicPr>
                    <pic:cNvPr descr="images/wis2-to-swim-interaction-temp.png" id="206" name="Picture"/>
                    <pic:cNvPicPr>
                      <a:picLocks noChangeArrowheads="1" noChangeAspect="1"/>
                    </pic:cNvPicPr>
                  </pic:nvPicPr>
                  <pic:blipFill>
                    <a:blip r:embed="rId204"/>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7"/>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8"/>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9"/>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0"/>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1"/>
    <w:bookmarkStart w:id="214"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2"/>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4"/>
    <w:bookmarkEnd w:id="215"/>
    <w:bookmarkStart w:id="222"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6"/>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1"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9" name="Picture"/>
            <a:graphic>
              <a:graphicData uri="http://schemas.openxmlformats.org/drawingml/2006/picture">
                <pic:pic>
                  <pic:nvPicPr>
                    <pic:cNvPr descr="images/wis2-odis-metadata-discovery-interop.png" id="220" name="Picture"/>
                    <pic:cNvPicPr>
                      <a:picLocks noChangeArrowheads="1" noChangeAspect="1"/>
                    </pic:cNvPicPr>
                  </pic:nvPicPr>
                  <pic:blipFill>
                    <a:blip r:embed="rId218"/>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1"/>
    <w:bookmarkEnd w:id="222"/>
    <w:bookmarkEnd w:id="223"/>
    <w:bookmarkEnd w:id="224"/>
    <w:bookmarkEnd w:id="225"/>
    <w:bookmarkStart w:id="250" w:name="Xa57fcea0326db383435a81290ee1f4280d7ce75"/>
    <w:p>
      <w:pPr>
        <w:pStyle w:val="Heading1"/>
      </w:pPr>
      <w:r>
        <w:t xml:space="preserve">PART III. Additional components</w:t>
      </w:r>
    </w:p>
    <w:bookmarkStart w:id="229" w:name="X91f34318810edfc8930b866bc6c182083d198dc"/>
    <w:p>
      <w:pPr>
        <w:pStyle w:val="Heading2"/>
      </w:pPr>
      <w:r>
        <w:t xml:space="preserve">3.1 Overview</w:t>
      </w:r>
    </w:p>
    <w:bookmarkStart w:id="226"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6"/>
    <w:bookmarkStart w:id="227"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7"/>
    <w:bookmarkStart w:id="228"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8"/>
    <w:bookmarkEnd w:id="229"/>
    <w:bookmarkStart w:id="239"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8"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30"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30"/>
    <w:bookmarkStart w:id="235"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1"/>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3"/>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5"/>
    <w:bookmarkStart w:id="237"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6">
        <w:r>
          <w:rPr>
            <w:rStyle w:val="Hyperlink"/>
          </w:rPr>
          <w:t xml:space="preserve">https://github.com/wmo-im/wis2-grep</w:t>
        </w:r>
      </w:hyperlink>
      <w:r>
        <w:t xml:space="preserve">.</w:t>
      </w:r>
    </w:p>
    <w:bookmarkEnd w:id="237"/>
    <w:bookmarkEnd w:id="238"/>
    <w:bookmarkEnd w:id="239"/>
    <w:bookmarkStart w:id="249"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40"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40"/>
    <w:bookmarkStart w:id="242"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1"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1"/>
    <w:bookmarkEnd w:id="242"/>
    <w:bookmarkStart w:id="246"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3">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5"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4">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4"/>
        </w:numPr>
      </w:pPr>
      <w:r>
        <w:t xml:space="preserve">the centre-id</w:t>
      </w:r>
    </w:p>
    <w:p>
      <w:pPr>
        <w:numPr>
          <w:ilvl w:val="0"/>
          <w:numId w:val="1094"/>
        </w:numPr>
      </w:pPr>
      <w:r>
        <w:t xml:space="preserve">the full topic where the WIS2 Notification Message has been originally published</w:t>
      </w:r>
    </w:p>
    <w:p>
      <w:pPr>
        <w:numPr>
          <w:ilvl w:val="0"/>
          <w:numId w:val="1094"/>
        </w:numPr>
      </w:pPr>
      <w:r>
        <w:t xml:space="preserve">the full WIS2 Notification Message as published by the origin centre-id</w:t>
      </w:r>
    </w:p>
    <w:p>
      <w:pPr>
        <w:numPr>
          <w:ilvl w:val="0"/>
          <w:numId w:val="1094"/>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4"/>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5"/>
    <w:bookmarkEnd w:id="246"/>
    <w:bookmarkStart w:id="248"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7" w:name="X7cccda3f3c8b7915465fcd4f401ab9bbe8d8d30"/>
    <w:p>
      <w:pPr>
        <w:pStyle w:val="Heading4"/>
      </w:pPr>
      <w:r>
        <w:t xml:space="preserve">3.3.4.1 Technical considerations</w:t>
      </w:r>
    </w:p>
    <w:p>
      <w:pPr>
        <w:numPr>
          <w:ilvl w:val="0"/>
          <w:numId w:val="1095"/>
        </w:numPr>
      </w:pPr>
      <w:r>
        <w:t xml:space="preserve">The SCGDC will connect to a minimum of two Global Brokers.</w:t>
      </w:r>
    </w:p>
    <w:p>
      <w:pPr>
        <w:numPr>
          <w:ilvl w:val="0"/>
          <w:numId w:val="1095"/>
        </w:numPr>
      </w:pPr>
      <w:r>
        <w:t xml:space="preserve">The SCGDC subscribes to the metadata topic for all GDCs, by one of the following methods:</w:t>
      </w:r>
    </w:p>
    <w:p>
      <w:pPr>
        <w:numPr>
          <w:ilvl w:val="1"/>
          <w:numId w:val="109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6"/>
        </w:numPr>
      </w:pPr>
      <w:r>
        <w:t xml:space="preserve">subscribing to each GDC via</w:t>
      </w:r>
      <w:r>
        <w:t xml:space="preserve"> </w:t>
      </w:r>
      <w:r>
        <w:rPr>
          <w:rStyle w:val="VerbatimChar"/>
        </w:rPr>
        <w:t xml:space="preserve">cache/a/wis2/centre-id/metadata</w:t>
      </w:r>
      <w:r>
        <w:t xml:space="preserve">.</w:t>
      </w:r>
    </w:p>
    <w:p>
      <w:pPr>
        <w:numPr>
          <w:ilvl w:val="0"/>
          <w:numId w:val="1095"/>
        </w:numPr>
      </w:pPr>
      <w:r>
        <w:t xml:space="preserve">The SCGDC will use the link provided in the WIS2 Notification Message received to download the zip file published by the GDC.</w:t>
      </w:r>
    </w:p>
    <w:p>
      <w:pPr>
        <w:numPr>
          <w:ilvl w:val="0"/>
          <w:numId w:val="109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5"/>
        </w:numPr>
      </w:pPr>
      <w:r>
        <w:t xml:space="preserve">Once a day, the SCGDC will analyze the content of the latest zip files received across all GDCs</w:t>
      </w:r>
    </w:p>
    <w:p>
      <w:pPr>
        <w:numPr>
          <w:ilvl w:val="1"/>
          <w:numId w:val="1097"/>
        </w:numPr>
      </w:pPr>
      <w:r>
        <w:t xml:space="preserve">Files older than 24 hours will not be analyzed.</w:t>
      </w:r>
    </w:p>
    <w:p>
      <w:pPr>
        <w:numPr>
          <w:ilvl w:val="0"/>
          <w:numId w:val="109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5"/>
        </w:numPr>
      </w:pPr>
      <w:r>
        <w:t xml:space="preserve">For each record, the SCGDC will:</w:t>
      </w:r>
    </w:p>
    <w:p>
      <w:pPr>
        <w:numPr>
          <w:ilvl w:val="1"/>
          <w:numId w:val="109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8"/>
        </w:numPr>
      </w:pPr>
      <w:r>
        <w:t xml:space="preserve">validate the record against the latest approved version of WCMP2</w:t>
      </w:r>
    </w:p>
    <w:p>
      <w:pPr>
        <w:numPr>
          <w:ilvl w:val="2"/>
          <w:numId w:val="109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7"/>
    <w:bookmarkEnd w:id="248"/>
    <w:bookmarkEnd w:id="249"/>
    <w:bookmarkEnd w:id="250"/>
    <w:bookmarkStart w:id="289" w:name="X04c845455f24d191e445239c565b08607ac9dcf"/>
    <w:p>
      <w:pPr>
        <w:pStyle w:val="Heading1"/>
      </w:pPr>
      <w:r>
        <w:t xml:space="preserve">PART IV. Information management</w:t>
      </w:r>
    </w:p>
    <w:bookmarkStart w:id="288" w:name="X7c62cedf76bc574f64106f5d3e1fa9cbfaf701c"/>
    <w:p>
      <w:pPr>
        <w:pStyle w:val="Heading2"/>
      </w:pPr>
      <w:r>
        <w:t xml:space="preserve">4.1 Introduction</w:t>
      </w:r>
    </w:p>
    <w:bookmarkStart w:id="251"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1"/>
    <w:bookmarkStart w:id="253"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2"/>
        </w:numPr>
      </w:pPr>
      <w:r>
        <w:t xml:space="preserve">Planning, information creation and acquisition. The creation of information using internal and external data sources and the acquisition of information from various sources.</w:t>
      </w:r>
    </w:p>
    <w:p>
      <w:pPr>
        <w:numPr>
          <w:ilvl w:val="0"/>
          <w:numId w:val="1102"/>
        </w:numPr>
      </w:pPr>
      <w:r>
        <w:t xml:space="preserve">Representation and metadata. The use of standards to represent metadata, data and information; this is of primary importance to enable the interoperability and long-term usability of the information.</w:t>
      </w:r>
    </w:p>
    <w:p>
      <w:pPr>
        <w:numPr>
          <w:ilvl w:val="0"/>
          <w:numId w:val="1102"/>
        </w:numPr>
      </w:pPr>
      <w:r>
        <w:t xml:space="preserve">Publication and exchange of information. The creation and publication of discovery metadata in a standardized format, enabling users to discover, access and retrieve the information.</w:t>
      </w:r>
    </w:p>
    <w:p>
      <w:pPr>
        <w:numPr>
          <w:ilvl w:val="0"/>
          <w:numId w:val="1102"/>
        </w:numPr>
      </w:pPr>
      <w:r>
        <w:t xml:space="preserve">Usage and communication. The publication of guidance material on the use of published information, including on the limitations and suitability of the information and any licensing terms.</w:t>
      </w:r>
    </w:p>
    <w:p>
      <w:pPr>
        <w:numPr>
          <w:ilvl w:val="0"/>
          <w:numId w:val="1102"/>
        </w:numPr>
      </w:pPr>
      <w:r>
        <w:t xml:space="preserve">Storage, archival and disposal. The policies and procedures for business continuity and disaster recovery, as well as retention and disposal.</w:t>
      </w:r>
    </w:p>
    <w:bookmarkStart w:id="252"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3"/>
        </w:numPr>
      </w:pPr>
      <w:r>
        <w:t xml:space="preserve">Information producers or creators (those who produce or acquire the information) - they need to ensure the scientific quality of the underpinning information;</w:t>
      </w:r>
    </w:p>
    <w:p>
      <w:pPr>
        <w:numPr>
          <w:ilvl w:val="0"/>
          <w:numId w:val="1103"/>
        </w:numPr>
      </w:pPr>
      <w:r>
        <w:t xml:space="preserve">Information managers (those who manage the information);</w:t>
      </w:r>
    </w:p>
    <w:p>
      <w:pPr>
        <w:numPr>
          <w:ilvl w:val="0"/>
          <w:numId w:val="110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3"/>
        </w:numPr>
      </w:pPr>
      <w:r>
        <w:t xml:space="preserve">Service providers (those who disseminate the information) - they are responsible for ensuring information availability and maintaining capability for easy and secure access to the information;</w:t>
      </w:r>
    </w:p>
    <w:p>
      <w:pPr>
        <w:numPr>
          <w:ilvl w:val="0"/>
          <w:numId w:val="110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2"/>
    <w:bookmarkEnd w:id="253"/>
    <w:bookmarkStart w:id="265"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4" w:name="Xcf33f9e33f107799c2797793b69e9f195f4c52b"/>
    <w:p>
      <w:pPr>
        <w:pStyle w:val="Heading4"/>
      </w:pPr>
      <w:r>
        <w:t xml:space="preserve">4.2.1 Principle 1: Information is a valued asset</w:t>
      </w:r>
    </w:p>
    <w:p>
      <w:pPr>
        <w:numPr>
          <w:ilvl w:val="0"/>
          <w:numId w:val="110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4"/>
    <w:bookmarkStart w:id="255" w:name="Xb4288ce29349341bf806bd64cd51ad35f96f74e"/>
    <w:p>
      <w:pPr>
        <w:pStyle w:val="Heading4"/>
      </w:pPr>
      <w:r>
        <w:t xml:space="preserve">4.2.2 Principle 2: Information must be managed</w:t>
      </w:r>
    </w:p>
    <w:p>
      <w:pPr>
        <w:numPr>
          <w:ilvl w:val="0"/>
          <w:numId w:val="110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5"/>
    <w:bookmarkStart w:id="257" w:name="Xd59896b8f316477a8321e381ae23e51272b3a9d"/>
    <w:p>
      <w:pPr>
        <w:pStyle w:val="Heading4"/>
      </w:pPr>
      <w:r>
        <w:t xml:space="preserve">4.2.3 Principle 3: Information must be fit for purpose</w:t>
      </w:r>
    </w:p>
    <w:p>
      <w:pPr>
        <w:numPr>
          <w:ilvl w:val="0"/>
          <w:numId w:val="1106"/>
        </w:numPr>
      </w:pPr>
      <w:r>
        <w:t xml:space="preserve">Information should be developed and managed in accordance with its function and use for internal and external users.</w:t>
      </w:r>
    </w:p>
    <w:p>
      <w:pPr>
        <w:numPr>
          <w:ilvl w:val="0"/>
          <w:numId w:val="1106"/>
        </w:numPr>
      </w:pPr>
      <w:r>
        <w:t xml:space="preserve">WMO centres should regularly assess information to ensure that it is fit for its purpose and that the related processes, procedures and documentation are adequate.</w:t>
      </w:r>
    </w:p>
    <w:p>
      <w:pPr>
        <w:numPr>
          <w:ilvl w:val="0"/>
          <w:numId w:val="1106"/>
        </w:numPr>
      </w:pPr>
      <w:r>
        <w:t xml:space="preserve">Processes should be consistent with the general provisions and principles of quality management as described in the WMO</w:t>
      </w:r>
      <w:r>
        <w:t xml:space="preserve"> </w:t>
      </w:r>
      <w:hyperlink r:id="rId256">
        <w:r>
          <w:rPr>
            <w:rStyle w:val="Hyperlink"/>
            <w:iCs/>
            <w:i/>
          </w:rPr>
          <w:t xml:space="preserve">Technical Regulations</w:t>
        </w:r>
      </w:hyperlink>
      <w:r>
        <w:t xml:space="preserve"> </w:t>
      </w:r>
      <w:r>
        <w:t xml:space="preserve">(WMO-No. 49).</w:t>
      </w:r>
    </w:p>
    <w:bookmarkEnd w:id="257"/>
    <w:bookmarkStart w:id="258" w:name="X88c8fe8230b5e5ccb947a91df6be1e7ba7b1e0b"/>
    <w:p>
      <w:pPr>
        <w:pStyle w:val="Heading4"/>
      </w:pPr>
      <w:r>
        <w:t xml:space="preserve">4.2.4 Principle 4: Information must be standardized and interoperable</w:t>
      </w:r>
    </w:p>
    <w:p>
      <w:pPr>
        <w:numPr>
          <w:ilvl w:val="0"/>
          <w:numId w:val="110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7"/>
        </w:numPr>
      </w:pPr>
      <w:r>
        <w:t xml:space="preserve">Standardization is essential for structured information such as dataset definitions and metadata to support interoperability.</w:t>
      </w:r>
    </w:p>
    <w:p>
      <w:pPr>
        <w:numPr>
          <w:ilvl w:val="0"/>
          <w:numId w:val="110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7"/>
        </w:numPr>
      </w:pPr>
      <w:r>
        <w:t xml:space="preserve">The use of closed and proprietary standards is strongly discouraged.</w:t>
      </w:r>
    </w:p>
    <w:bookmarkEnd w:id="258"/>
    <w:bookmarkStart w:id="259" w:name="X650cedf7ce84f32ea21ec80b898040f4b2f02fd"/>
    <w:p>
      <w:pPr>
        <w:pStyle w:val="Heading4"/>
      </w:pPr>
      <w:r>
        <w:t xml:space="preserve">4.2.5 Principle 5: Information must be well documented</w:t>
      </w:r>
    </w:p>
    <w:p>
      <w:pPr>
        <w:numPr>
          <w:ilvl w:val="0"/>
          <w:numId w:val="1108"/>
        </w:numPr>
      </w:pPr>
      <w:r>
        <w:t xml:space="preserve">WMO centres should comprehensively document information processes, policies, and procedures to facilitate broad and long-term use.</w:t>
      </w:r>
    </w:p>
    <w:p>
      <w:pPr>
        <w:numPr>
          <w:ilvl w:val="0"/>
          <w:numId w:val="1108"/>
        </w:numPr>
      </w:pPr>
      <w:r>
        <w:t xml:space="preserve">WMO centres should keep documentation up to date to ensure full traceability of processes along the information life cycle, particularly for its creation.</w:t>
      </w:r>
    </w:p>
    <w:p>
      <w:pPr>
        <w:numPr>
          <w:ilvl w:val="0"/>
          <w:numId w:val="110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9"/>
    <w:bookmarkStart w:id="260" w:name="X5e85ae7d00bcd35bce4a64c0572cb24fee6bbf9"/>
    <w:p>
      <w:pPr>
        <w:pStyle w:val="Heading4"/>
      </w:pPr>
      <w:r>
        <w:t xml:space="preserve">4.2.6 Principle 6: Information must be discoverable, accessible and retrievable</w:t>
      </w:r>
    </w:p>
    <w:p>
      <w:pPr>
        <w:numPr>
          <w:ilvl w:val="0"/>
          <w:numId w:val="110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9"/>
        </w:numPr>
      </w:pPr>
      <w:r>
        <w:t xml:space="preserve">For information to be easily retrievable once discovered, it should be accessible using standard data exchange protocols.</w:t>
      </w:r>
    </w:p>
    <w:bookmarkEnd w:id="260"/>
    <w:bookmarkStart w:id="263" w:name="Xcc549eaa6d6dc98ca978f8c3f8040892922057f"/>
    <w:p>
      <w:pPr>
        <w:pStyle w:val="Heading4"/>
      </w:pPr>
      <w:r>
        <w:t xml:space="preserve">4.2.7 Principle 7: Information should be reusable</w:t>
      </w:r>
    </w:p>
    <w:p>
      <w:pPr>
        <w:numPr>
          <w:ilvl w:val="0"/>
          <w:numId w:val="1110"/>
        </w:numPr>
      </w:pPr>
      <w:r>
        <w:t xml:space="preserve">In order to maximize the economic benefits of an information asset, it should be made as widely available and as accessible as possible.</w:t>
      </w:r>
    </w:p>
    <w:p>
      <w:pPr>
        <w:numPr>
          <w:ilvl w:val="0"/>
          <w:numId w:val="111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0"/>
        </w:numPr>
      </w:pPr>
      <w:r>
        <w:t xml:space="preserve">The publisher should provide an explicit and well-defined licence for each information item or dataset as part of the associated metadata.</w:t>
      </w:r>
    </w:p>
    <w:p>
      <w:pPr>
        <w:numPr>
          <w:ilvl w:val="0"/>
          <w:numId w:val="111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1"/>
      </w:r>
    </w:p>
    <w:bookmarkEnd w:id="263"/>
    <w:bookmarkStart w:id="264" w:name="Xc26fb27d9b9f189ddfb4d09b54bb3bef350c931"/>
    <w:p>
      <w:pPr>
        <w:pStyle w:val="Heading4"/>
      </w:pPr>
      <w:r>
        <w:t xml:space="preserve">4.2.8 Principle 8: Information management is subject to accountability and governance</w:t>
      </w:r>
    </w:p>
    <w:p>
      <w:pPr>
        <w:numPr>
          <w:ilvl w:val="0"/>
          <w:numId w:val="111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2"/>
        </w:numPr>
      </w:pPr>
      <w:r>
        <w:t xml:space="preserve">The implementation of general information management practices, procedures and protocols, including well-defined roles, responsibilities and restrictions on managing the information;</w:t>
      </w:r>
    </w:p>
    <w:p>
      <w:pPr>
        <w:numPr>
          <w:ilvl w:val="1"/>
          <w:numId w:val="1112"/>
        </w:numPr>
      </w:pPr>
      <w:r>
        <w:t xml:space="preserve">The definition and enforcement of an appropriate retention policy, taking into account stakeholder needs and variations in value over the information life cycle;</w:t>
      </w:r>
    </w:p>
    <w:p>
      <w:pPr>
        <w:numPr>
          <w:ilvl w:val="1"/>
          <w:numId w:val="1112"/>
        </w:numPr>
      </w:pPr>
      <w:r>
        <w:t xml:space="preserve">The establishment of licensing and the definition and enforcement of any access restrictions.</w:t>
      </w:r>
    </w:p>
    <w:p>
      <w:pPr>
        <w:numPr>
          <w:ilvl w:val="1"/>
          <w:numId w:val="1112"/>
        </w:numPr>
      </w:pPr>
      <w:r>
        <w:t xml:space="preserve">The designated owner should have budget and decision-making authority with respect to preservation and data usage, including the authority to pass ownership to another entity.</w:t>
      </w:r>
    </w:p>
    <w:bookmarkEnd w:id="264"/>
    <w:bookmarkEnd w:id="265"/>
    <w:bookmarkStart w:id="282" w:name="X4929199aec71e050b1d94930339cb902a348db4"/>
    <w:p>
      <w:pPr>
        <w:pStyle w:val="Heading3"/>
      </w:pPr>
      <w:r>
        <w:t xml:space="preserve">4.3 The information management life cycle</w:t>
      </w:r>
    </w:p>
    <w:bookmarkStart w:id="266"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3"/>
        </w:numPr>
      </w:pPr>
      <w:r>
        <w:t xml:space="preserve">Planning, creation and acquisition;</w:t>
      </w:r>
    </w:p>
    <w:p>
      <w:pPr>
        <w:numPr>
          <w:ilvl w:val="0"/>
          <w:numId w:val="1113"/>
        </w:numPr>
      </w:pPr>
      <w:r>
        <w:t xml:space="preserve">Representation and metadata;</w:t>
      </w:r>
    </w:p>
    <w:p>
      <w:pPr>
        <w:numPr>
          <w:ilvl w:val="0"/>
          <w:numId w:val="1113"/>
        </w:numPr>
      </w:pPr>
      <w:r>
        <w:t xml:space="preserve">Publication and exchange;</w:t>
      </w:r>
    </w:p>
    <w:p>
      <w:pPr>
        <w:numPr>
          <w:ilvl w:val="0"/>
          <w:numId w:val="1113"/>
        </w:numPr>
      </w:pPr>
      <w:r>
        <w:t xml:space="preserve">Usage and communication;</w:t>
      </w:r>
    </w:p>
    <w:p>
      <w:pPr>
        <w:numPr>
          <w:ilvl w:val="0"/>
          <w:numId w:val="111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6"/>
    <w:bookmarkStart w:id="269" w:name="X0db61513d36abdcc7d5bfd6f287c776c8343970"/>
    <w:p>
      <w:pPr>
        <w:pStyle w:val="Heading4"/>
      </w:pPr>
      <w:r>
        <w:t xml:space="preserve">4.3.2 Overarching requirements</w:t>
      </w:r>
    </w:p>
    <w:bookmarkStart w:id="267" w:name="X824b8f9db66ff22648090c3e6e5d189d579254d"/>
    <w:p>
      <w:pPr>
        <w:pStyle w:val="Heading5"/>
      </w:pPr>
      <w:r>
        <w:t xml:space="preserve">4.3.2.1 Governance</w:t>
      </w:r>
    </w:p>
    <w:p>
      <w:pPr>
        <w:numPr>
          <w:ilvl w:val="0"/>
          <w:numId w:val="111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4"/>
        </w:numPr>
      </w:pPr>
      <w:r>
        <w:t xml:space="preserve">WMO centres should establish a board or leadership group to develop and regularly review such a governance structure and ensure compliance with its requirements.</w:t>
      </w:r>
    </w:p>
    <w:bookmarkEnd w:id="267"/>
    <w:bookmarkStart w:id="268" w:name="Xa83a9547ee24c5b5059542879186427de25e4f8"/>
    <w:p>
      <w:pPr>
        <w:pStyle w:val="Heading5"/>
      </w:pPr>
      <w:r>
        <w:t xml:space="preserve">4.3.2.2 Documentation</w:t>
      </w:r>
    </w:p>
    <w:p>
      <w:pPr>
        <w:numPr>
          <w:ilvl w:val="0"/>
          <w:numId w:val="111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8"/>
    <w:bookmarkEnd w:id="269"/>
    <w:bookmarkStart w:id="281" w:name="X5d9956e6f7cee22294b4d51e9b21afad03cd809"/>
    <w:p>
      <w:pPr>
        <w:pStyle w:val="Heading4"/>
      </w:pPr>
      <w:r>
        <w:t xml:space="preserve">4.3.3 Aspects of the information management life cycle</w:t>
      </w:r>
    </w:p>
    <w:bookmarkStart w:id="270"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6"/>
        </w:numPr>
      </w:pPr>
      <w:r>
        <w:t xml:space="preserve">Why the information is required;</w:t>
      </w:r>
    </w:p>
    <w:p>
      <w:pPr>
        <w:numPr>
          <w:ilvl w:val="0"/>
          <w:numId w:val="1116"/>
        </w:numPr>
      </w:pPr>
      <w:r>
        <w:t xml:space="preserve">How it will be collected or created;</w:t>
      </w:r>
    </w:p>
    <w:p>
      <w:pPr>
        <w:numPr>
          <w:ilvl w:val="0"/>
          <w:numId w:val="1116"/>
        </w:numPr>
      </w:pPr>
      <w:r>
        <w:t xml:space="preserve">How it will be stored;</w:t>
      </w:r>
    </w:p>
    <w:p>
      <w:pPr>
        <w:numPr>
          <w:ilvl w:val="0"/>
          <w:numId w:val="1116"/>
        </w:numPr>
      </w:pPr>
      <w:r>
        <w:t xml:space="preserve">Whether it will be exchanged with other users and under what policy;</w:t>
      </w:r>
    </w:p>
    <w:p>
      <w:pPr>
        <w:numPr>
          <w:ilvl w:val="0"/>
          <w:numId w:val="1116"/>
        </w:numPr>
      </w:pPr>
      <w:r>
        <w:t xml:space="preserve">Where it should be submitted for long-term archival;</w:t>
      </w:r>
    </w:p>
    <w:p>
      <w:pPr>
        <w:numPr>
          <w:ilvl w:val="0"/>
          <w:numId w:val="111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70"/>
    <w:bookmarkStart w:id="272"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1">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2"/>
    <w:bookmarkStart w:id="274"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3">
        <w:r>
          <w:rPr>
            <w:rStyle w:val="Hyperlink"/>
            <w:iCs/>
            <w:i/>
          </w:rPr>
          <w:t xml:space="preserve">https://community.wmo.int/news/operational-newsletter</w:t>
        </w:r>
      </w:hyperlink>
      <w:r>
        <w:t xml:space="preserve">.</w:t>
      </w:r>
    </w:p>
    <w:bookmarkEnd w:id="274"/>
    <w:bookmarkStart w:id="278"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5">
        <w:r>
          <w:rPr>
            <w:rStyle w:val="Hyperlink"/>
            <w:iCs/>
            <w:i/>
          </w:rPr>
          <w:t xml:space="preserve">Manual on the WMO Integrated Global Observing System</w:t>
        </w:r>
      </w:hyperlink>
      <w:r>
        <w:t xml:space="preserve"> </w:t>
      </w:r>
      <w:r>
        <w:t xml:space="preserve">(WMO-No. 1160) and the</w:t>
      </w:r>
      <w:r>
        <w:t xml:space="preserve"> </w:t>
      </w:r>
      <w:hyperlink r:id="rId276">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7">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8"/>
    <w:bookmarkStart w:id="280"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9">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80"/>
    <w:bookmarkEnd w:id="281"/>
    <w:bookmarkEnd w:id="282"/>
    <w:bookmarkStart w:id="287" w:name="X35204cf3ee03a678864bfb46ad7b3703fafab2a"/>
    <w:p>
      <w:pPr>
        <w:pStyle w:val="Heading3"/>
      </w:pPr>
      <w:r>
        <w:t xml:space="preserve">4.4 Other considerations</w:t>
      </w:r>
    </w:p>
    <w:bookmarkStart w:id="284"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3">
        <w:r>
          <w:rPr>
            <w:rStyle w:val="Hyperlink"/>
            <w:iCs/>
            <w:i/>
          </w:rPr>
          <w:t xml:space="preserve">WMO Guidelines on Emerging Data Issues</w:t>
        </w:r>
      </w:hyperlink>
      <w:r>
        <w:t xml:space="preserve"> </w:t>
      </w:r>
      <w:r>
        <w:t xml:space="preserve">(WMO-No. 1239).</w:t>
      </w:r>
    </w:p>
    <w:bookmarkEnd w:id="284"/>
    <w:bookmarkStart w:id="286"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5">
        <w:r>
          <w:rPr>
            <w:rStyle w:val="Hyperlink"/>
            <w:iCs/>
            <w:i/>
          </w:rPr>
          <w:t xml:space="preserve">Guide to Information Technology Security</w:t>
        </w:r>
      </w:hyperlink>
      <w:r>
        <w:t xml:space="preserve"> </w:t>
      </w:r>
      <w:r>
        <w:t xml:space="preserve">(WMO-No. 1115).</w:t>
      </w:r>
    </w:p>
    <w:bookmarkEnd w:id="286"/>
    <w:bookmarkEnd w:id="287"/>
    <w:bookmarkEnd w:id="288"/>
    <w:bookmarkEnd w:id="289"/>
    <w:bookmarkStart w:id="291"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8"/>
        </w:numPr>
      </w:pPr>
      <w:r>
        <w:rPr>
          <w:iCs/>
          <w:i/>
        </w:rPr>
        <w:t xml:space="preserve">Guide to Information Technology Security</w:t>
      </w:r>
      <w:r>
        <w:t xml:space="preserve"> </w:t>
      </w:r>
      <w:r>
        <w:t xml:space="preserve">(WMO-No. 1115);</w:t>
      </w:r>
    </w:p>
    <w:p>
      <w:pPr>
        <w:numPr>
          <w:ilvl w:val="0"/>
          <w:numId w:val="1118"/>
        </w:numPr>
      </w:pPr>
      <w:hyperlink r:id="rId290">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1"/>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2025-2</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7">
    <w:p>
      <w:pPr>
        <w:pStyle w:val="FootnoteText"/>
      </w:pPr>
      <w:r>
        <w:rPr>
          <w:rStyle w:val="FootnoteReference"/>
        </w:rPr>
        <w:footnoteRef/>
      </w:r>
      <w:r>
        <w:t xml:space="preserve"> </w:t>
      </w:r>
      <w:r>
        <w:t xml:space="preserve">See OGC-API Records - Part 1</w:t>
      </w:r>
      <w:r>
        <w:t xml:space="preserve"> </w:t>
      </w:r>
      <w:hyperlink r:id="rId178">
        <w:r>
          <w:rPr>
            <w:rStyle w:val="Hyperlink"/>
          </w:rPr>
          <w:t xml:space="preserve">https://docs.ogc.org/is/20-004r1/20-004r1.html</w:t>
        </w:r>
      </w:hyperlink>
      <w:r>
        <w:t xml:space="preserve">.</w:t>
      </w:r>
    </w:p>
  </w:footnote>
  <w:footnote w:id="179">
    <w:p>
      <w:pPr>
        <w:pStyle w:val="FootnoteText"/>
      </w:pPr>
      <w:r>
        <w:rPr>
          <w:rStyle w:val="FootnoteReference"/>
        </w:rPr>
        <w:footnoteRef/>
      </w:r>
      <w:r>
        <w:t xml:space="preserve"> </w:t>
      </w:r>
      <w:hyperlink r:id="rId180">
        <w:r>
          <w:rPr>
            <w:rStyle w:val="Hyperlink"/>
          </w:rPr>
          <w:t xml:space="preserve">https://wmo-im.github.io/wcmp2/kpi/wcmp2-kpi-STABLE.html</w:t>
        </w:r>
      </w:hyperlink>
    </w:p>
  </w:footnote>
  <w:footnote w:id="181">
    <w:p>
      <w:pPr>
        <w:pStyle w:val="FootnoteText"/>
      </w:pPr>
      <w:r>
        <w:rPr>
          <w:rStyle w:val="FootnoteReference"/>
        </w:rPr>
        <w:footnoteRef/>
      </w:r>
      <w:r>
        <w:t xml:space="preserve"> </w:t>
      </w:r>
      <w:hyperlink r:id="rId182">
        <w:r>
          <w:rPr>
            <w:rStyle w:val="Hyperlink"/>
          </w:rPr>
          <w:t xml:space="preserve">https://github.com/wmo-im/wis2-metric-hierarchy/blob/main/metrics/gdc.csv</w:t>
        </w:r>
      </w:hyperlink>
    </w:p>
  </w:footnote>
  <w:footnote w:id="190">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1">
    <w:p>
      <w:pPr>
        <w:pStyle w:val="FootnoteText"/>
      </w:pPr>
      <w:r>
        <w:rPr>
          <w:rStyle w:val="FootnoteReference"/>
        </w:rPr>
        <w:footnoteRef/>
      </w:r>
      <w:r>
        <w:t xml:space="preserve"> </w:t>
      </w:r>
      <w:r>
        <w:t xml:space="preserve">AMQP 1.0 is one of the protocols proposed in the draft PANS-IM.</w:t>
      </w:r>
    </w:p>
  </w:footnote>
  <w:footnote w:id="196">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8">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9">
    <w:p>
      <w:pPr>
        <w:pStyle w:val="FootnoteText"/>
      </w:pPr>
      <w:r>
        <w:rPr>
          <w:rStyle w:val="FootnoteReference"/>
        </w:rPr>
        <w:footnoteRef/>
      </w:r>
      <w:r>
        <w:t xml:space="preserve"> </w:t>
      </w:r>
      <w:r>
        <w:t xml:space="preserve">WIS2 does not provide any guidance on use of Public Key Infrastructure (PKI).</w:t>
      </w:r>
    </w:p>
  </w:footnote>
  <w:footnote w:id="200">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1">
    <w:p>
      <w:pPr>
        <w:pStyle w:val="FootnoteText"/>
      </w:pPr>
      <w:r>
        <w:rPr>
          <w:rStyle w:val="FootnoteReference"/>
        </w:rPr>
        <w:footnoteRef/>
      </w:r>
      <w:r>
        <w:t xml:space="preserve"> </w:t>
      </w:r>
      <w:r>
        <w:t xml:space="preserve">Where the data resource does not exceed 4 Kb, it may be embedded in the notification message.</w:t>
      </w:r>
    </w:p>
  </w:footnote>
  <w:footnote w:id="203">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7">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8">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9">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12">
    <w:p>
      <w:pPr>
        <w:pStyle w:val="FootnoteText"/>
      </w:pPr>
      <w:r>
        <w:rPr>
          <w:rStyle w:val="FootnoteReference"/>
        </w:rPr>
        <w:footnoteRef/>
      </w:r>
      <w:r>
        <w:t xml:space="preserve"> </w:t>
      </w:r>
      <w:r>
        <w:t xml:space="preserve">See AMQP 1.0:</w:t>
      </w:r>
      <w:r>
        <w:t xml:space="preserve"> </w:t>
      </w:r>
      <w:hyperlink r:id="rId213">
        <w:r>
          <w:rPr>
            <w:rStyle w:val="Hyperlink"/>
          </w:rPr>
          <w:t xml:space="preserve">https://www.amqp.org/resources/specifications</w:t>
        </w:r>
      </w:hyperlink>
      <w:r>
        <w:t xml:space="preserve">.</w:t>
      </w:r>
    </w:p>
  </w:footnote>
  <w:footnote w:id="216">
    <w:p>
      <w:pPr>
        <w:pStyle w:val="FootnoteText"/>
      </w:pPr>
      <w:r>
        <w:rPr>
          <w:rStyle w:val="FootnoteReference"/>
        </w:rPr>
        <w:footnoteRef/>
      </w:r>
      <w:r>
        <w:t xml:space="preserve"> </w:t>
      </w:r>
      <w:r>
        <w:t xml:space="preserve">See</w:t>
      </w:r>
      <w:r>
        <w:t xml:space="preserve"> </w:t>
      </w:r>
      <w:hyperlink r:id="rId217">
        <w:r>
          <w:rPr>
            <w:rStyle w:val="Hyperlink"/>
          </w:rPr>
          <w:t xml:space="preserve">https://schema.org</w:t>
        </w:r>
      </w:hyperlink>
      <w:r>
        <w:t xml:space="preserve">.</w:t>
      </w:r>
    </w:p>
  </w:footnote>
  <w:footnote w:id="231">
    <w:p>
      <w:pPr>
        <w:pStyle w:val="FootnoteText"/>
      </w:pPr>
      <w:r>
        <w:rPr>
          <w:rStyle w:val="FootnoteReference"/>
        </w:rPr>
        <w:footnoteRef/>
      </w:r>
      <w:r>
        <w:t xml:space="preserve"> </w:t>
      </w:r>
      <w:hyperlink r:id="rId232">
        <w:r>
          <w:rPr>
            <w:rStyle w:val="Hyperlink"/>
          </w:rPr>
          <w:t xml:space="preserve">https://docs.ogc.org/is/17-069r4/17-069r4.html</w:t>
        </w:r>
      </w:hyperlink>
    </w:p>
  </w:footnote>
  <w:footnote w:id="233">
    <w:p>
      <w:pPr>
        <w:pStyle w:val="FootnoteText"/>
      </w:pPr>
      <w:r>
        <w:rPr>
          <w:rStyle w:val="FootnoteReference"/>
        </w:rPr>
        <w:footnoteRef/>
      </w:r>
      <w:r>
        <w:t xml:space="preserve"> </w:t>
      </w:r>
      <w:hyperlink r:id="rId234">
        <w:r>
          <w:rPr>
            <w:rStyle w:val="Hyperlink"/>
          </w:rPr>
          <w:t xml:space="preserve">https://docs.ogc.org/is/18-062r2/18-062r2.html</w:t>
        </w:r>
      </w:hyperlink>
    </w:p>
  </w:footnote>
  <w:footnote w:id="261">
    <w:p>
      <w:pPr>
        <w:pStyle w:val="FootnoteText"/>
      </w:pPr>
      <w:r>
        <w:rPr>
          <w:rStyle w:val="FootnoteReference"/>
        </w:rPr>
        <w:footnoteRef/>
      </w:r>
      <w:r>
        <w:t xml:space="preserve"> </w:t>
      </w:r>
      <w:hyperlink r:id="rId262">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8" Target="media/rId218.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2026-06-11T12:06:06Z</dcterms:created>
  <dcterms:modified xsi:type="dcterms:W3CDTF">2026-06-11T12:06:06Z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2026-06-11</vt:lpwstr>
  </property>
</Properties>
</file>