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5.png" ContentType="image/png"/>
  <Override PartName="/word/media/rId200.png" ContentType="image/png"/>
  <Override PartName="/word/media/rId186.png" ContentType="image/png"/>
  <Override PartName="/word/media/rId1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Volume</w:t>
      </w:r>
      <w:r>
        <w:t xml:space="preserve"> </w:t>
      </w:r>
      <w:r>
        <w:t xml:space="preserve">II</w:t>
      </w:r>
      <w:r>
        <w:t xml:space="preserve"> </w:t>
      </w:r>
      <w:r>
        <w:t xml:space="preserve">(APPROVED)</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1.0.0</w:t>
            </w:r>
          </w:p>
        </w:tc>
      </w:tr>
      <w:tr>
        <w:tc>
          <w:tcPr/>
          <w:p>
            <w:pPr>
              <w:jc w:val="left"/>
            </w:pPr>
            <w:r>
              <w:t xml:space="preserve">Document status: APPROVED</w:t>
            </w:r>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4"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6"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39"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protocol.footnote[Subscribing to notifications about newly available data ensures that the data consumers do not need to continually to poll the data server to check for updates.]</w:t>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8"/>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39"/>
    <w:bookmarkStart w:id="40"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0"/>
    <w:bookmarkStart w:id="43"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1"/>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3"/>
    <w:bookmarkStart w:id="44"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4"/>
    <w:bookmarkStart w:id="45"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5"/>
    <w:bookmarkEnd w:id="46"/>
    <w:bookmarkStart w:id="103"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7"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7"/>
    <w:bookmarkStart w:id="54"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8"/>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0"/>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w:t>
      </w:r>
      <w:r>
        <w:rPr>
          <w:rStyle w:val="FootnoteReference"/>
        </w:rPr>
        <w:footnoteReference w:id="51"/>
      </w:r>
      <w:r>
        <w:t xml:space="preserve">). Each discovery metadata record (for instance, an item that is part of the discovery metadata catalogue) can be accessed with a unique URL via the API .</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3"/>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origin/a/wis2/de-dwd/metadata/core</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bookmarkEnd w:id="54"/>
    <w:bookmarkStart w:id="101"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5"/>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7"/>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9"/>
      </w:r>
      <w:r>
        <w:t xml:space="preserve">, and making them available via a data server - most typically a web server using HTTP protocol.</w:t>
      </w:r>
      <w:r>
        <w:rPr>
          <w:rStyle w:val="FootnoteReference"/>
        </w:rPr>
        <w:footnoteReference w:id="60"/>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2"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1">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2"/>
    <w:bookmarkStart w:id="68"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3"/>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5"/>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8"/>
    <w:bookmarkStart w:id="79"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9"/>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1"/>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3"/>
      </w:r>
      <w:r>
        <w:t xml:space="preserve">, OGC API – Features</w:t>
      </w:r>
      <w:r>
        <w:rPr>
          <w:rStyle w:val="FootnoteReference"/>
        </w:rPr>
        <w:footnoteReference w:id="75"/>
      </w:r>
      <w:r>
        <w:t xml:space="preserve">, and OGC API - Coverages</w:t>
      </w:r>
      <w:r>
        <w:rPr>
          <w:rStyle w:val="FootnoteReference"/>
        </w:rPr>
        <w:footnoteReference w:id="77"/>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9"/>
    <w:bookmarkStart w:id="87"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80"/>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2"/>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3"/>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4"/>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5"/>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6"/>
      </w:r>
      <w:r>
        <w:t xml:space="preserve"> </w:t>
      </w:r>
      <w:r>
        <w:t xml:space="preserve">The Global Broker will only republish notification messages on topics specified in the discovery metadata records.</w:t>
      </w:r>
    </w:p>
    <w:bookmarkEnd w:id="87"/>
    <w:bookmarkStart w:id="91"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8"/>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9"/>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90"/>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1"/>
    <w:bookmarkStart w:id="98"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2"/>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4"/>
      </w:r>
      <w:r>
        <w:rPr>
          <w:rStyle w:val="FootnoteReference"/>
        </w:rPr>
        <w:footnoteReference w:id="95"/>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6"/>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8"/>
    <w:bookmarkStart w:id="100"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9"/>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100"/>
    <w:bookmarkEnd w:id="101"/>
    <w:bookmarkStart w:id="102"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PART III. Information management</w:t>
        </w:r>
      </w:hyperlink>
    </w:p>
    <w:p>
      <w:pPr>
        <w:numPr>
          <w:ilvl w:val="0"/>
          <w:numId w:val="1017"/>
        </w:numPr>
      </w:pPr>
      <w:hyperlink w:anchor="Xf0816da4cf7fb19671f2d7fe0d061de4ae60249">
        <w:r>
          <w:rPr>
            <w:rStyle w:val="Hyperlink"/>
          </w:rPr>
          <w:t xml:space="preserve">PART IV. Security</w:t>
        </w:r>
      </w:hyperlink>
    </w:p>
    <w:p>
      <w:pPr>
        <w:numPr>
          <w:ilvl w:val="0"/>
          <w:numId w:val="1017"/>
        </w:numPr>
      </w:pPr>
      <w:hyperlink w:anchor="X3b22a87a2b2970364529e1b1e33cb197e766c93">
        <w:r>
          <w:rPr>
            <w:rStyle w:val="Hyperlink"/>
          </w:rPr>
          <w:t xml:space="preserve">PART V. Competencies</w:t>
        </w:r>
      </w:hyperlink>
    </w:p>
    <w:p>
      <w:pPr>
        <w:pStyle w:val="FirstParagraph"/>
      </w:pPr>
      <w:r>
        <w:t xml:space="preserve">Note that</w:t>
      </w:r>
      <w:r>
        <w:t xml:space="preserve"> </w:t>
      </w:r>
      <w:r>
        <w:rPr>
          <w:iCs/>
          <w:i/>
        </w:rPr>
        <w:t xml:space="preserve">PART IV. Security</w:t>
      </w:r>
      <w:r>
        <w:t xml:space="preserve"> </w:t>
      </w:r>
      <w:r>
        <w:t xml:space="preserve">and</w:t>
      </w:r>
      <w:r>
        <w:t xml:space="preserve"> </w:t>
      </w:r>
      <w:r>
        <w:rPr>
          <w:iCs/>
          <w:i/>
        </w:rPr>
        <w:t xml:space="preserve">PART V.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2"/>
    <w:bookmarkEnd w:id="103"/>
    <w:bookmarkEnd w:id="104"/>
    <w:bookmarkStart w:id="207" w:name="X091eefe62f3e875434678e1907ab2349ff25d3c"/>
    <w:p>
      <w:pPr>
        <w:pStyle w:val="Heading1"/>
      </w:pPr>
      <w:r>
        <w:t xml:space="preserve">PART II. Architecture, implementation and operations</w:t>
      </w:r>
    </w:p>
    <w:bookmarkStart w:id="105"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5"/>
    <w:bookmarkStart w:id="110"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6"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6"/>
    <w:bookmarkStart w:id="107"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7"/>
    <w:bookmarkStart w:id="108"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8"/>
    <w:bookmarkStart w:id="109"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9"/>
    <w:bookmarkEnd w:id="110"/>
    <w:bookmarkStart w:id="111"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1"/>
    <w:bookmarkStart w:id="117" w:name="X437cf0d280dd2c8ea8a0f1dcec8faa61a3122e7"/>
    <w:p>
      <w:pPr>
        <w:pStyle w:val="Heading2"/>
      </w:pPr>
      <w:r>
        <w:t xml:space="preserve">2.4 WIS2 Components</w:t>
      </w:r>
    </w:p>
    <w:bookmarkStart w:id="112"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2"/>
    <w:bookmarkStart w:id="113"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3"/>
    <w:bookmarkStart w:id="114"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4"/>
    <w:bookmarkStart w:id="115"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5"/>
    <w:bookmarkStart w:id="116"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6"/>
    <w:bookmarkEnd w:id="117"/>
    <w:bookmarkStart w:id="124" w:name="Xd2d4fa6849f58a31365ab34a99d7515a2fa1af8"/>
    <w:p>
      <w:pPr>
        <w:pStyle w:val="Heading2"/>
      </w:pPr>
      <w:r>
        <w:t xml:space="preserve">2.5 Protocol configuration</w:t>
      </w:r>
    </w:p>
    <w:bookmarkStart w:id="120"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8"/>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20"/>
    <w:bookmarkStart w:id="123"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1"/>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3"/>
    <w:bookmarkEnd w:id="124"/>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8"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6" name="Picture"/>
            <a:graphic>
              <a:graphicData uri="http://schemas.openxmlformats.org/drawingml/2006/picture">
                <pic:pic>
                  <pic:nvPicPr>
                    <pic:cNvPr descr="images/add-wis2node.png" id="127" name="Picture"/>
                    <pic:cNvPicPr>
                      <a:picLocks noChangeArrowheads="1" noChangeAspect="1"/>
                    </pic:cNvPicPr>
                  </pic:nvPicPr>
                  <pic:blipFill>
                    <a:blip r:embed="rId125"/>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8"/>
    <w:bookmarkStart w:id="134"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9"/>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1"/>
      </w:r>
      <w:r>
        <w:t xml:space="preserve"> </w:t>
      </w:r>
      <w:r>
        <w:t xml:space="preserve">so “metoffice” is better than “ukmo”.</w:t>
      </w:r>
      <w:r>
        <w:rPr>
          <w:rStyle w:val="FootnoteReference"/>
        </w:rPr>
        <w:footnoteReference w:id="133"/>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4"/>
    <w:bookmarkStart w:id="139"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5"/>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6"/>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7"/>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8"/>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71"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57" w:name="X6c9286f3864f97cda2ea62bd0fb4492c6ebab7b"/>
    <w:p>
      <w:pPr>
        <w:pStyle w:val="Heading3"/>
      </w:pPr>
      <w:r>
        <w:t xml:space="preserve">2.7.2 Performance management and monitoring of a Global Service</w:t>
      </w:r>
    </w:p>
    <w:bookmarkStart w:id="154" w:name="Xcec45063fc0a6464b752cf9181a1d06b7acc4ee"/>
    <w:p>
      <w:pPr>
        <w:pStyle w:val="Heading4"/>
      </w:pPr>
      <w:r>
        <w:t xml:space="preserve">2.7.2.1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49"/>
      </w:r>
      <w:r>
        <w:t xml:space="preserve"> </w:t>
      </w:r>
      <w:r>
        <w:t xml:space="preserve">– the widely adopted, de-facto standard</w:t>
      </w:r>
      <w:r>
        <w:rPr>
          <w:rStyle w:val="FootnoteReference"/>
        </w:rPr>
        <w:footnoteReference w:id="151"/>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w:t>
      </w:r>
    </w:p>
    <w:p>
      <w:pPr>
        <w:pStyle w:val="SourceCode"/>
      </w:pPr>
      <w:r>
        <w:rPr>
          <w:rStyle w:val="VerbatimChar"/>
        </w:rPr>
        <w:t xml:space="preserve">``wmo_wis2_gc_downloaded_total``, and</w:t>
      </w:r>
    </w:p>
    <w:p>
      <w:pPr>
        <w:pStyle w:val="SourceCode"/>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2"/>
      </w:r>
    </w:p>
    <w:bookmarkEnd w:id="154"/>
    <w:bookmarkStart w:id="155" w:name="Xd362b0b9e354783553b6aa5c019d97d28e1bf73"/>
    <w:p>
      <w:pPr>
        <w:pStyle w:val="Heading4"/>
      </w:pPr>
      <w:r>
        <w:t xml:space="preserve">2.7.2.2 Service levels, performance indicators, and fair usage policies</w:t>
      </w:r>
    </w:p>
    <w:p>
      <w:pPr>
        <w:numPr>
          <w:ilvl w:val="0"/>
          <w:numId w:val="1042"/>
        </w:numPr>
      </w:pPr>
      <w:r>
        <w:t xml:space="preserve">Each WIS centre operating a WIS2 Node is responsible for achieving the highest possible level of service based on its resources and capabilities.</w:t>
      </w:r>
    </w:p>
    <w:p>
      <w:pPr>
        <w:numPr>
          <w:ilvl w:val="0"/>
          <w:numId w:val="1042"/>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2"/>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2"/>
        </w:numPr>
      </w:pPr>
      <w:r>
        <w:t xml:space="preserve">A Global Broker:</w:t>
      </w:r>
    </w:p>
    <w:p>
      <w:pPr>
        <w:numPr>
          <w:ilvl w:val="1"/>
          <w:numId w:val="1043"/>
        </w:numPr>
      </w:pPr>
      <w:r>
        <w:t xml:space="preserve">Should support a minimum of 200 WIS2 Nodes or Global Services;</w:t>
      </w:r>
    </w:p>
    <w:p>
      <w:pPr>
        <w:numPr>
          <w:ilvl w:val="1"/>
          <w:numId w:val="1043"/>
        </w:numPr>
      </w:pPr>
      <w:r>
        <w:t xml:space="preserve">Should support a minimum of 1 000 subscribers;</w:t>
      </w:r>
    </w:p>
    <w:p>
      <w:pPr>
        <w:numPr>
          <w:ilvl w:val="1"/>
          <w:numId w:val="1043"/>
        </w:numPr>
      </w:pPr>
      <w:r>
        <w:t xml:space="preserve">Should support the processing of a minimum of 10 000 messages per second.</w:t>
      </w:r>
    </w:p>
    <w:p>
      <w:pPr>
        <w:numPr>
          <w:ilvl w:val="0"/>
          <w:numId w:val="1042"/>
        </w:numPr>
      </w:pPr>
      <w:r>
        <w:t xml:space="preserve">A Global Cache:</w:t>
      </w:r>
    </w:p>
    <w:p>
      <w:pPr>
        <w:numPr>
          <w:ilvl w:val="1"/>
          <w:numId w:val="1044"/>
        </w:numPr>
      </w:pPr>
      <w:r>
        <w:t xml:space="preserve">Should support a minimum of 100 GB of data in the cache;</w:t>
      </w:r>
    </w:p>
    <w:p>
      <w:pPr>
        <w:numPr>
          <w:ilvl w:val="1"/>
          <w:numId w:val="1044"/>
        </w:numPr>
      </w:pPr>
      <w:r>
        <w:t xml:space="preserve">Should support a minimum of 1 000 simultaneous downloads;</w:t>
      </w:r>
    </w:p>
    <w:p>
      <w:pPr>
        <w:numPr>
          <w:ilvl w:val="1"/>
          <w:numId w:val="1044"/>
        </w:numPr>
      </w:pPr>
      <w:r>
        <w:t xml:space="preserve">Could limit the number of simultaneous connections from a user (known by its originating source IP) to five;</w:t>
      </w:r>
    </w:p>
    <w:p>
      <w:pPr>
        <w:numPr>
          <w:ilvl w:val="1"/>
          <w:numId w:val="1044"/>
        </w:numPr>
      </w:pPr>
      <w:r>
        <w:t xml:space="preserve">Could limit the bandwidth usage of the service to 1 Gb/s.</w:t>
      </w:r>
    </w:p>
    <w:p>
      <w:pPr>
        <w:numPr>
          <w:ilvl w:val="0"/>
          <w:numId w:val="1042"/>
        </w:numPr>
      </w:pPr>
      <w:r>
        <w:t xml:space="preserve">A Global Monitor:</w:t>
      </w:r>
    </w:p>
    <w:p>
      <w:pPr>
        <w:numPr>
          <w:ilvl w:val="1"/>
          <w:numId w:val="1045"/>
        </w:numPr>
      </w:pPr>
      <w:r>
        <w:t xml:space="preserve">Should support a minimum of 50 metrics providers;</w:t>
      </w:r>
    </w:p>
    <w:p>
      <w:pPr>
        <w:numPr>
          <w:ilvl w:val="1"/>
          <w:numId w:val="1045"/>
        </w:numPr>
      </w:pPr>
      <w:r>
        <w:t xml:space="preserve">Should support 200 simultaneous "access" to the dashboard;</w:t>
      </w:r>
    </w:p>
    <w:p>
      <w:pPr>
        <w:numPr>
          <w:ilvl w:val="1"/>
          <w:numId w:val="1045"/>
        </w:numPr>
      </w:pPr>
      <w:r>
        <w:t xml:space="preserve">Could limit the bandwidth usage of the service to 100 Mb/s.</w:t>
      </w:r>
    </w:p>
    <w:p>
      <w:pPr>
        <w:numPr>
          <w:ilvl w:val="0"/>
          <w:numId w:val="1042"/>
        </w:numPr>
      </w:pPr>
      <w:r>
        <w:t xml:space="preserve">A Global Discovery Catalogue:</w:t>
      </w:r>
    </w:p>
    <w:p>
      <w:pPr>
        <w:numPr>
          <w:ilvl w:val="1"/>
          <w:numId w:val="1046"/>
        </w:numPr>
      </w:pPr>
      <w:r>
        <w:t xml:space="preserve">Should support a minimum of 20 000 metadata records;</w:t>
      </w:r>
    </w:p>
    <w:p>
      <w:pPr>
        <w:numPr>
          <w:ilvl w:val="1"/>
          <w:numId w:val="1046"/>
        </w:numPr>
      </w:pPr>
      <w:r>
        <w:t xml:space="preserve">Should support a minimum of 50 requests per second to the API endpoint.</w:t>
      </w:r>
    </w:p>
    <w:bookmarkEnd w:id="155"/>
    <w:bookmarkStart w:id="156" w:name="X507ac0836320eefc09ee976b33bc54ea2328c5f"/>
    <w:p>
      <w:pPr>
        <w:pStyle w:val="Heading4"/>
      </w:pPr>
      <w:r>
        <w:t xml:space="preserve">2.7.2.3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6"/>
    <w:bookmarkEnd w:id="157"/>
    <w:bookmarkStart w:id="159" w:name="Xfcc4be4805698cc05bd4c15ebadc91a96d644ff"/>
    <w:p>
      <w:pPr>
        <w:pStyle w:val="Heading3"/>
      </w:pPr>
      <w:r>
        <w:t xml:space="preserve">2.7.3 Global Broker</w:t>
      </w:r>
    </w:p>
    <w:bookmarkStart w:id="158" w:name="X1743ecdc5ae40c6a768ea9d4a6e7d6853856958"/>
    <w:p>
      <w:pPr>
        <w:pStyle w:val="Heading4"/>
      </w:pPr>
      <w:r>
        <w:t xml:space="preserve">2.7.3.1 Technical considerations</w:t>
      </w:r>
    </w:p>
    <w:p>
      <w:pPr>
        <w:numPr>
          <w:ilvl w:val="0"/>
          <w:numId w:val="1047"/>
        </w:numPr>
      </w:pPr>
      <w:r>
        <w:t xml:space="preserve">As detailed above, there will be at least three Global Brokers to ensure that messages within WIS2 are highly available and delivered globally with low latency.</w:t>
      </w:r>
    </w:p>
    <w:p>
      <w:pPr>
        <w:numPr>
          <w:ilvl w:val="0"/>
          <w:numId w:val="1047"/>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7"/>
        </w:numPr>
      </w:pPr>
      <w:r>
        <w:t xml:space="preserve">Every WIS2 Node or Global Service must have subscriptions from at least two Global Brokers.</w:t>
      </w:r>
    </w:p>
    <w:p>
      <w:pPr>
        <w:numPr>
          <w:ilvl w:val="0"/>
          <w:numId w:val="1047"/>
        </w:numPr>
      </w:pPr>
      <w:r>
        <w:t xml:space="preserve">For full global coverage, a Global Broker will subscribe to messages from at least two other Global Brokers.</w:t>
      </w:r>
    </w:p>
    <w:p>
      <w:pPr>
        <w:numPr>
          <w:ilvl w:val="0"/>
          <w:numId w:val="1047"/>
        </w:numPr>
      </w:pPr>
      <w:r>
        <w:t xml:space="preserve">When subscribing to messages from WIS2 Nodes and other Global Services, a Global Broker must authenticate using the valid credentials managed by the WIS centre and available at WMO Secretariat.</w:t>
      </w:r>
    </w:p>
    <w:p>
      <w:pPr>
        <w:numPr>
          <w:ilvl w:val="0"/>
          <w:numId w:val="1047"/>
        </w:numPr>
      </w:pPr>
      <w:r>
        <w:t xml:space="preserve">A Global Broker is built around two software components:</w:t>
      </w:r>
    </w:p>
    <w:p>
      <w:pPr>
        <w:numPr>
          <w:ilvl w:val="1"/>
          <w:numId w:val="1048"/>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8"/>
        </w:numPr>
      </w:pPr>
      <w:r>
        <w:t xml:space="preserve">Additional features, including anti-loop detection, notification message format compliance, validation of the published topic, and metrics provision.</w:t>
      </w:r>
    </w:p>
    <w:p>
      <w:pPr>
        <w:numPr>
          <w:ilvl w:val="0"/>
          <w:numId w:val="1047"/>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7"/>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7"/>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7"/>
        </w:numPr>
      </w:pPr>
      <w:r>
        <w:t xml:space="preserve">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7"/>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7"/>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7"/>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7"/>
        </w:numPr>
      </w:pPr>
      <w:r>
        <w:t xml:space="preserve">All above-defined metrics will be made available on HTTPS endpoints that the Global Monitor will ingest from regularly.</w:t>
      </w:r>
    </w:p>
    <w:p>
      <w:pPr>
        <w:numPr>
          <w:ilvl w:val="0"/>
          <w:numId w:val="1047"/>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7"/>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58"/>
    <w:bookmarkEnd w:id="159"/>
    <w:bookmarkStart w:id="163"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60" w:name="X9c5e2e4a13ef58aa69d25e04cf77a45be046e40"/>
    <w:p>
      <w:pPr>
        <w:pStyle w:val="Heading4"/>
      </w:pPr>
      <w:r>
        <w:t xml:space="preserve">2.7.4.1 Technical considerations</w:t>
      </w:r>
    </w:p>
    <w:p>
      <w:pPr>
        <w:numPr>
          <w:ilvl w:val="0"/>
          <w:numId w:val="1049"/>
        </w:numPr>
      </w:pPr>
      <w:r>
        <w:t xml:space="preserve">A Global Cache is built around three software components:</w:t>
      </w:r>
    </w:p>
    <w:p>
      <w:pPr>
        <w:numPr>
          <w:ilvl w:val="1"/>
          <w:numId w:val="1050"/>
        </w:numPr>
      </w:pPr>
      <w:r>
        <w:t xml:space="preserve">A highly available data server allowing data consumers to download cache resources with high bandwidth and low latency;</w:t>
      </w:r>
    </w:p>
    <w:p>
      <w:pPr>
        <w:numPr>
          <w:ilvl w:val="1"/>
          <w:numId w:val="1050"/>
        </w:numPr>
      </w:pPr>
      <w:r>
        <w:t xml:space="preserve">A Message Broker implementing both MQTTv3.1.1 and MQTTv5 to publish notification messages about resources that are available from the Global Cache;</w:t>
      </w:r>
    </w:p>
    <w:p>
      <w:pPr>
        <w:numPr>
          <w:ilvl w:val="1"/>
          <w:numId w:val="1050"/>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49"/>
        </w:numPr>
      </w:pPr>
      <w:r>
        <w:t xml:space="preserve">A Global Cache will aim to contain copies of real-time and near real-time data designated as "core" within the WMO Unified Data Policy (Resolution 1 (Cg-Ext(2021))).</w:t>
      </w:r>
    </w:p>
    <w:p>
      <w:pPr>
        <w:numPr>
          <w:ilvl w:val="0"/>
          <w:numId w:val="1049"/>
        </w:numPr>
      </w:pPr>
      <w:r>
        <w:t xml:space="preserve">A Global Cache will host data objects copied from NCs/DCPCs.</w:t>
      </w:r>
    </w:p>
    <w:p>
      <w:pPr>
        <w:numPr>
          <w:ilvl w:val="0"/>
          <w:numId w:val="1049"/>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49"/>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49"/>
        </w:numPr>
      </w:pPr>
      <w:r>
        <w:t xml:space="preserve">A Global Cache will publish to the topic</w:t>
      </w:r>
      <w:r>
        <w:t xml:space="preserve"> </w:t>
      </w:r>
      <w:r>
        <w:rPr>
          <w:rStyle w:val="VerbatimChar"/>
        </w:rPr>
        <w:t xml:space="preserve">cache/a/wis2/…​</w:t>
      </w:r>
      <w:r>
        <w:t xml:space="preserve">.</w:t>
      </w:r>
    </w:p>
    <w:p>
      <w:pPr>
        <w:numPr>
          <w:ilvl w:val="0"/>
          <w:numId w:val="1049"/>
        </w:numPr>
      </w:pPr>
      <w:r>
        <w:t xml:space="preserve">There will be multiple Global Cache to ensure the highly available, low-latency global provision of real-time and near-real-time core data within WIS2.</w:t>
      </w:r>
    </w:p>
    <w:p>
      <w:pPr>
        <w:numPr>
          <w:ilvl w:val="0"/>
          <w:numId w:val="1049"/>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49"/>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49"/>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49"/>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49"/>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49"/>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49"/>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send a message on the</w:t>
      </w:r>
      <w:r>
        <w:t xml:space="preserve"> </w:t>
      </w:r>
      <w:r>
        <w:rPr>
          <w:rStyle w:val="VerbatimChar"/>
        </w:rPr>
        <w:t xml:space="preserve">monitor</w:t>
      </w:r>
      <w:r>
        <w:t xml:space="preserve"> </w:t>
      </w:r>
      <w:r>
        <w:t xml:space="preserve">topic hierarchy to inform the originating centre and its GISC. The Global Cache operator should work with the originating WIS2 Node and its GISC to remedy this issue.</w:t>
      </w:r>
    </w:p>
    <w:p>
      <w:pPr>
        <w:numPr>
          <w:ilvl w:val="0"/>
          <w:numId w:val="1049"/>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49"/>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49"/>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49"/>
        </w:numPr>
      </w:pPr>
      <w:r>
        <w:t xml:space="preserve">As a convention, the Global Cache centre-id will be</w:t>
      </w:r>
      <w:r>
        <w:t xml:space="preserve"> </w:t>
      </w:r>
      <w:r>
        <w:rPr>
          <w:rStyle w:val="VerbatimChar"/>
        </w:rPr>
        <w:t xml:space="preserve">tld-{centre-name}-global-cache</w:t>
      </w:r>
      <w:r>
        <w:t xml:space="preserve">.</w:t>
      </w:r>
    </w:p>
    <w:bookmarkEnd w:id="160"/>
    <w:bookmarkStart w:id="162" w:name="Xccc1cebb6c94847684ab046188074f284443b3a"/>
    <w:p>
      <w:pPr>
        <w:pStyle w:val="Heading4"/>
      </w:pPr>
      <w:r>
        <w:t xml:space="preserve">2.7.4.2 Practices and procedures</w:t>
      </w:r>
    </w:p>
    <w:p>
      <w:pPr>
        <w:numPr>
          <w:ilvl w:val="0"/>
          <w:numId w:val="1051"/>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61"/>
      </w:r>
    </w:p>
    <w:p>
      <w:pPr>
        <w:numPr>
          <w:ilvl w:val="0"/>
          <w:numId w:val="1051"/>
        </w:numPr>
      </w:pPr>
      <w:r>
        <w:t xml:space="preserve">A Global Cache shall retain the data and metadata it receives for a minimum of 24 hours. Requirements relating to varying retention times for different types of data may be added later.</w:t>
      </w:r>
    </w:p>
    <w:p>
      <w:pPr>
        <w:numPr>
          <w:ilvl w:val="0"/>
          <w:numId w:val="1051"/>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2"/>
        </w:numPr>
      </w:pPr>
      <w:r>
        <w:t xml:space="preserve">If the message contains the property</w:t>
      </w:r>
      <w:r>
        <w:t xml:space="preserve"> </w:t>
      </w:r>
      <w:r>
        <w:rPr>
          <w:rStyle w:val="VerbatimChar"/>
        </w:rPr>
        <w:t xml:space="preserve">"properties.cache": false</w:t>
      </w:r>
      <w:r>
        <w:t xml:space="preserve">,</w:t>
      </w:r>
    </w:p>
    <w:p>
      <w:pPr>
        <w:numPr>
          <w:ilvl w:val="2"/>
          <w:numId w:val="1053"/>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2"/>
        </w:numPr>
      </w:pPr>
      <w:r>
        <w:t xml:space="preserve">Else</w:t>
      </w:r>
    </w:p>
    <w:p>
      <w:pPr>
        <w:numPr>
          <w:ilvl w:val="2"/>
          <w:numId w:val="1054"/>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4"/>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4"/>
        </w:numPr>
      </w:pPr>
      <w:r>
        <w:t xml:space="preserve">If the message is new or updated:</w:t>
      </w:r>
    </w:p>
    <w:p>
      <w:pPr>
        <w:numPr>
          <w:ilvl w:val="3"/>
          <w:numId w:val="1055"/>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5"/>
        </w:numPr>
      </w:pPr>
      <w:r>
        <w:t xml:space="preserve">If the message contains an integrity value for the data, verify the integrity of the data;</w:t>
      </w:r>
    </w:p>
    <w:p>
      <w:pPr>
        <w:numPr>
          <w:ilvl w:val="3"/>
          <w:numId w:val="1055"/>
        </w:numPr>
      </w:pPr>
      <w:r>
        <w:t xml:space="preserve">If data is downloaded successfully, move the data to the HTTP endpoint of the Global Cache;</w:t>
      </w:r>
    </w:p>
    <w:p>
      <w:pPr>
        <w:numPr>
          <w:ilvl w:val="3"/>
          <w:numId w:val="1055"/>
        </w:numPr>
      </w:pPr>
      <w:r>
        <w:t xml:space="preserve">Wait until the data becomes available at the endpoint;</w:t>
      </w:r>
    </w:p>
    <w:p>
      <w:pPr>
        <w:numPr>
          <w:ilvl w:val="3"/>
          <w:numId w:val="1055"/>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5"/>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5"/>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4"/>
        </w:numPr>
      </w:pPr>
      <w:r>
        <w:t xml:space="preserve">Else</w:t>
      </w:r>
    </w:p>
    <w:p>
      <w:pPr>
        <w:numPr>
          <w:ilvl w:val="3"/>
          <w:numId w:val="1056"/>
        </w:numPr>
      </w:pPr>
      <w:r>
        <w:t xml:space="preserve">Drop the messages for data already present in the Global Cache.</w:t>
      </w:r>
    </w:p>
    <w:p>
      <w:pPr>
        <w:numPr>
          <w:ilvl w:val="0"/>
          <w:numId w:val="1051"/>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1"/>
        </w:numPr>
      </w:pPr>
      <w:r>
        <w:t xml:space="preserve">A Global Cache shall provide the metric defined in this Guide at an HTTP endpoint.</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1"/>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62"/>
    <w:bookmarkEnd w:id="163"/>
    <w:bookmarkStart w:id="168" w:name="Xe83d0dcd18513bbe57a5c411a3835908b8c6b21"/>
    <w:p>
      <w:pPr>
        <w:pStyle w:val="Heading3"/>
      </w:pPr>
      <w:r>
        <w:t xml:space="preserve">2.7.5 Global Discovery Catalogue</w:t>
      </w:r>
    </w:p>
    <w:bookmarkStart w:id="165" w:name="Xb7d6d3d16ef70a3c0bed12e0915cfe71af7259a"/>
    <w:p>
      <w:pPr>
        <w:pStyle w:val="Heading4"/>
      </w:pPr>
      <w:r>
        <w:t xml:space="preserve">2.7.5.1 Technical considerations</w:t>
      </w:r>
    </w:p>
    <w:p>
      <w:pPr>
        <w:numPr>
          <w:ilvl w:val="0"/>
          <w:numId w:val="1057"/>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7"/>
        </w:numPr>
      </w:pPr>
      <w:r>
        <w:t xml:space="preserve">The Global Discovery Catalogue implements the OGC API – Records – Part 1: Core standard</w:t>
      </w:r>
      <w:r>
        <w:rPr>
          <w:rStyle w:val="FootnoteReference"/>
        </w:rPr>
        <w:footnoteReference w:id="164"/>
      </w:r>
      <w:r>
        <w:t xml:space="preserve">, adhering to the following conformance classes and their dependencies:</w:t>
      </w:r>
    </w:p>
    <w:p>
      <w:pPr>
        <w:numPr>
          <w:ilvl w:val="1"/>
          <w:numId w:val="1058"/>
        </w:numPr>
      </w:pPr>
      <w:r>
        <w:t xml:space="preserve">Searchable Catalog (Deployment);</w:t>
      </w:r>
    </w:p>
    <w:p>
      <w:pPr>
        <w:numPr>
          <w:ilvl w:val="1"/>
          <w:numId w:val="1058"/>
        </w:numPr>
      </w:pPr>
      <w:r>
        <w:t xml:space="preserve">Searchable Catalog - Sorting (Deployment);</w:t>
      </w:r>
    </w:p>
    <w:p>
      <w:pPr>
        <w:numPr>
          <w:ilvl w:val="1"/>
          <w:numId w:val="1058"/>
        </w:numPr>
      </w:pPr>
      <w:r>
        <w:t xml:space="preserve">Searchable Catalog - Filtering (Deployment);</w:t>
      </w:r>
    </w:p>
    <w:p>
      <w:pPr>
        <w:numPr>
          <w:ilvl w:val="1"/>
          <w:numId w:val="1058"/>
        </w:numPr>
      </w:pPr>
      <w:r>
        <w:t xml:space="preserve">JSON (Building Block);</w:t>
      </w:r>
    </w:p>
    <w:p>
      <w:pPr>
        <w:numPr>
          <w:ilvl w:val="1"/>
          <w:numId w:val="1058"/>
        </w:numPr>
      </w:pPr>
      <w:r>
        <w:t xml:space="preserve">HTML (Building Block).</w:t>
      </w:r>
    </w:p>
    <w:p>
      <w:pPr>
        <w:numPr>
          <w:ilvl w:val="0"/>
          <w:numId w:val="1057"/>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7"/>
        </w:numPr>
      </w:pPr>
      <w:r>
        <w:t xml:space="preserve">The Global Discovery Catalogue advertises the availability of datasets and how to access them or subscribe to updates.</w:t>
      </w:r>
    </w:p>
    <w:p>
      <w:pPr>
        <w:numPr>
          <w:ilvl w:val="0"/>
          <w:numId w:val="1057"/>
        </w:numPr>
      </w:pPr>
      <w:r>
        <w:t xml:space="preserve">The Global Discovery Catalogue does not advertise or list the availability of individual data objects that comprise a dataset (that is, data files).</w:t>
      </w:r>
    </w:p>
    <w:p>
      <w:pPr>
        <w:numPr>
          <w:ilvl w:val="0"/>
          <w:numId w:val="1057"/>
        </w:numPr>
      </w:pPr>
      <w:r>
        <w:t xml:space="preserve">A single Global Discovery Catalogue is sufficient for WIS2.</w:t>
      </w:r>
    </w:p>
    <w:p>
      <w:pPr>
        <w:numPr>
          <w:ilvl w:val="0"/>
          <w:numId w:val="1057"/>
        </w:numPr>
      </w:pPr>
      <w:r>
        <w:t xml:space="preserve">Multiple Global Discovery Catalogues may be deployed for resilience.</w:t>
      </w:r>
    </w:p>
    <w:p>
      <w:pPr>
        <w:numPr>
          <w:ilvl w:val="0"/>
          <w:numId w:val="1057"/>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7"/>
        </w:numPr>
      </w:pPr>
      <w:r>
        <w:t xml:space="preserve">A Global Discovery Catalogue is populated with discovery metadata records from a Global Cache and receives messages about the availability of discovery metadata records via a Global Broker.</w:t>
      </w:r>
    </w:p>
    <w:p>
      <w:pPr>
        <w:numPr>
          <w:ilvl w:val="1"/>
          <w:numId w:val="1059"/>
        </w:numPr>
      </w:pPr>
      <w:r>
        <w:t xml:space="preserve">The subscription topic shall be</w:t>
      </w:r>
      <w:r>
        <w:t xml:space="preserve"> </w:t>
      </w:r>
      <w:r>
        <w:rPr>
          <w:rStyle w:val="VerbatimChar"/>
        </w:rPr>
        <w:t xml:space="preserve">cache/a/wis2/+/metadata/#</w:t>
      </w:r>
      <w:r>
        <w:t xml:space="preserve">.</w:t>
      </w:r>
    </w:p>
    <w:p>
      <w:pPr>
        <w:numPr>
          <w:ilvl w:val="0"/>
          <w:numId w:val="1057"/>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7"/>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7"/>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7"/>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7"/>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7"/>
        </w:numPr>
      </w:pPr>
      <w:r>
        <w:t xml:space="preserve">A Global Discovery Catalogue will remove discovery metadata that are marked for deletion as specified in the data notification message.</w:t>
      </w:r>
    </w:p>
    <w:p>
      <w:pPr>
        <w:numPr>
          <w:ilvl w:val="0"/>
          <w:numId w:val="1057"/>
        </w:numPr>
      </w:pPr>
      <w:r>
        <w:t xml:space="preserve">A Global Discovery Catalogue should apply faceting capability as specified in the cataloguing considerations of the WCMP2 specification, as defined in OGC API - Records.</w:t>
      </w:r>
    </w:p>
    <w:p>
      <w:pPr>
        <w:numPr>
          <w:ilvl w:val="0"/>
          <w:numId w:val="1057"/>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7"/>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7"/>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7"/>
        </w:numPr>
      </w:pPr>
      <w:r>
        <w:t xml:space="preserve">A Global Discovery Catalogue may initialize itself (cold start) from a zip file of all WCMP2 records published.</w:t>
      </w:r>
    </w:p>
    <w:p>
      <w:pPr>
        <w:numPr>
          <w:ilvl w:val="0"/>
          <w:numId w:val="1057"/>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65"/>
    <w:bookmarkStart w:id="167"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66">
        <w:r>
          <w:rPr>
            <w:rStyle w:val="Hyperlink"/>
          </w:rPr>
          <w:t xml:space="preserve">https://github.com/wmo-im/wis2-gdc</w:t>
        </w:r>
      </w:hyperlink>
      <w:r>
        <w:t xml:space="preserve">.</w:t>
      </w:r>
    </w:p>
    <w:bookmarkEnd w:id="167"/>
    <w:bookmarkEnd w:id="168"/>
    <w:bookmarkStart w:id="170" w:name="Xb46408fe4668a540edb8ef1c37fe9a479dce153"/>
    <w:p>
      <w:pPr>
        <w:pStyle w:val="Heading3"/>
      </w:pPr>
      <w:r>
        <w:t xml:space="preserve">2.7.6 Global Monitor</w:t>
      </w:r>
    </w:p>
    <w:bookmarkStart w:id="169"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69"/>
    <w:bookmarkEnd w:id="170"/>
    <w:bookmarkEnd w:id="171"/>
    <w:bookmarkStart w:id="206" w:name="X3cda763227efb85ffcf50601bb9e1b297d470ff"/>
    <w:p>
      <w:pPr>
        <w:pStyle w:val="Heading2"/>
      </w:pPr>
      <w:r>
        <w:t xml:space="preserve">2.8 Operations</w:t>
      </w:r>
    </w:p>
    <w:bookmarkStart w:id="205"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197"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72"/>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73"/>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2"/>
        </w:numPr>
      </w:pPr>
      <w:r>
        <w:t xml:space="preserve">Mechanisms used by SWIM to discover service providers and services;</w:t>
      </w:r>
    </w:p>
    <w:p>
      <w:pPr>
        <w:numPr>
          <w:ilvl w:val="0"/>
          <w:numId w:val="1062"/>
        </w:numPr>
      </w:pPr>
      <w:r>
        <w:t xml:space="preserve">Specifications of SWIM data messages;</w:t>
      </w:r>
    </w:p>
    <w:p>
      <w:pPr>
        <w:numPr>
          <w:ilvl w:val="0"/>
          <w:numId w:val="1062"/>
        </w:numPr>
      </w:pPr>
      <w:r>
        <w:t xml:space="preserve">AMQP Message Broker configuration;</w:t>
      </w:r>
    </w:p>
    <w:p>
      <w:pPr>
        <w:numPr>
          <w:ilvl w:val="0"/>
          <w:numId w:val="1062"/>
        </w:numPr>
      </w:pPr>
      <w:r>
        <w:t xml:space="preserve">Operation, logging and monitoring;</w:t>
      </w:r>
    </w:p>
    <w:p>
      <w:pPr>
        <w:numPr>
          <w:ilvl w:val="0"/>
          <w:numId w:val="1062"/>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77"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75" name="Picture"/>
            <a:graphic>
              <a:graphicData uri="http://schemas.openxmlformats.org/drawingml/2006/picture">
                <pic:pic>
                  <pic:nvPicPr>
                    <pic:cNvPr descr="images/wis2-to-swim-temp.png" id="176" name="Picture"/>
                    <pic:cNvPicPr>
                      <a:picLocks noChangeArrowheads="1" noChangeAspect="1"/>
                    </pic:cNvPicPr>
                  </pic:nvPicPr>
                  <pic:blipFill>
                    <a:blip r:embed="rId174"/>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77"/>
    <w:bookmarkStart w:id="179"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78"/>
      </w:r>
      <w:r>
        <w:t xml:space="preserve"> </w:t>
      </w:r>
      <w:r>
        <w:t xml:space="preserve">is to be used for encoding aeronautical meteorological information in SWIM.</w:t>
      </w:r>
    </w:p>
    <w:bookmarkEnd w:id="179"/>
    <w:bookmarkStart w:id="184"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3"/>
        </w:numPr>
      </w:pPr>
      <w:r>
        <w:t xml:space="preserve">May be subject to conditions on use and reuse;</w:t>
      </w:r>
    </w:p>
    <w:p>
      <w:pPr>
        <w:numPr>
          <w:ilvl w:val="0"/>
          <w:numId w:val="1063"/>
        </w:numPr>
      </w:pPr>
      <w:r>
        <w:t xml:space="preserve">May have access controls</w:t>
      </w:r>
      <w:r>
        <w:rPr>
          <w:rStyle w:val="FootnoteReference"/>
        </w:rPr>
        <w:footnoteReference w:id="180"/>
      </w:r>
      <w:r>
        <w:rPr>
          <w:rStyle w:val="FootnoteReference"/>
        </w:rPr>
        <w:footnoteReference w:id="181"/>
      </w:r>
      <w:r>
        <w:t xml:space="preserve"> </w:t>
      </w:r>
      <w:r>
        <w:t xml:space="preserve">applied at the WIS2 Node;</w:t>
      </w:r>
    </w:p>
    <w:p>
      <w:pPr>
        <w:numPr>
          <w:ilvl w:val="0"/>
          <w:numId w:val="1063"/>
        </w:numPr>
      </w:pPr>
      <w:r>
        <w:t xml:space="preserve">Are not cached within WIS2 by the Global Caches.</w:t>
      </w:r>
      <w:r>
        <w:rPr>
          <w:rStyle w:val="FootnoteReference"/>
        </w:rPr>
        <w:footnoteReference w:id="182"/>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4"/>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4"/>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4"/>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5"/>
        </w:numPr>
      </w:pPr>
      <w:r>
        <w:t xml:space="preserve">Publish the data as a resource via a web server (or web service);</w:t>
      </w:r>
    </w:p>
    <w:p>
      <w:pPr>
        <w:numPr>
          <w:ilvl w:val="0"/>
          <w:numId w:val="1065"/>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83"/>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84"/>
    <w:bookmarkStart w:id="193"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85"/>
      </w:r>
    </w:p>
    <w:p>
      <w:pPr>
        <w:pStyle w:val="CaptionedFigure"/>
      </w:pPr>
      <w:r>
        <w:drawing>
          <wp:inline>
            <wp:extent cx="5334000" cy="1838335"/>
            <wp:effectExtent b="0" l="0" r="0" t="0"/>
            <wp:docPr descr="Interactions between the gateway component and the WIS2 and SWIM components" title="" id="187" name="Picture"/>
            <a:graphic>
              <a:graphicData uri="http://schemas.openxmlformats.org/drawingml/2006/picture">
                <pic:pic>
                  <pic:nvPicPr>
                    <pic:cNvPr descr="images/wis2-to-swim-interaction-temp.png" id="188" name="Picture"/>
                    <pic:cNvPicPr>
                      <a:picLocks noChangeArrowheads="1" noChangeAspect="1"/>
                    </pic:cNvPicPr>
                  </pic:nvPicPr>
                  <pic:blipFill>
                    <a:blip r:embed="rId186"/>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6"/>
        </w:numPr>
      </w:pPr>
      <w:r>
        <w:t xml:space="preserve">Subscribe to the pertinent topic(s) for notifications about new</w:t>
      </w:r>
      <w:r>
        <w:t xml:space="preserve"> </w:t>
      </w:r>
      <w:r>
        <w:t xml:space="preserve">aeronautical meteorological information;</w:t>
      </w:r>
      <w:r>
        <w:rPr>
          <w:rStyle w:val="FootnoteReference"/>
        </w:rPr>
        <w:footnoteReference w:id="189"/>
      </w:r>
    </w:p>
    <w:p>
      <w:pPr>
        <w:numPr>
          <w:ilvl w:val="0"/>
          <w:numId w:val="1066"/>
        </w:numPr>
      </w:pPr>
      <w:r>
        <w:t xml:space="preserve">On receipt of notification messages about newly available data:</w:t>
      </w:r>
    </w:p>
    <w:p>
      <w:pPr>
        <w:numPr>
          <w:ilvl w:val="1"/>
          <w:numId w:val="1067"/>
        </w:numPr>
      </w:pPr>
      <w:r>
        <w:t xml:space="preserve">Parse the notification message, discarding duplicate messages already</w:t>
      </w:r>
      <w:r>
        <w:t xml:space="preserve"> </w:t>
      </w:r>
      <w:r>
        <w:t xml:space="preserve">processed;</w:t>
      </w:r>
    </w:p>
    <w:p>
      <w:pPr>
        <w:numPr>
          <w:ilvl w:val="1"/>
          <w:numId w:val="1067"/>
        </w:numPr>
      </w:pPr>
      <w:r>
        <w:t xml:space="preserve">Download the data resource from the WIS2</w:t>
      </w:r>
      <w:r>
        <w:t xml:space="preserve"> </w:t>
      </w:r>
      <w:r>
        <w:t xml:space="preserve">Node</w:t>
      </w:r>
      <w:r>
        <w:rPr>
          <w:rStyle w:val="FootnoteReference"/>
        </w:rPr>
        <w:footnoteReference w:id="190"/>
      </w:r>
      <w:r>
        <w:t xml:space="preserve"> </w:t>
      </w:r>
      <w:r>
        <w:t xml:space="preserve">using the URL in the message - the</w:t>
      </w:r>
      <w:r>
        <w:t xml:space="preserve"> </w:t>
      </w:r>
      <w:r>
        <w:t xml:space="preserve">resource should be in IWXXM format;</w:t>
      </w:r>
    </w:p>
    <w:p>
      <w:pPr>
        <w:numPr>
          <w:ilvl w:val="1"/>
          <w:numId w:val="1067"/>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191"/>
      </w:r>
      <w:r>
        <w:t xml:space="preserve">, and embed the aviation weather data resource</w:t>
      </w:r>
      <w:r>
        <w:t xml:space="preserve"> </w:t>
      </w:r>
      <w:r>
        <w:t xml:space="preserve">within the data message;</w:t>
      </w:r>
    </w:p>
    <w:p>
      <w:pPr>
        <w:numPr>
          <w:ilvl w:val="1"/>
          <w:numId w:val="1067"/>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192"/>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193"/>
    <w:bookmarkStart w:id="196"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194"/>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196"/>
    <w:bookmarkEnd w:id="197"/>
    <w:bookmarkStart w:id="204"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198"/>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03"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01" name="Picture"/>
            <a:graphic>
              <a:graphicData uri="http://schemas.openxmlformats.org/drawingml/2006/picture">
                <pic:pic>
                  <pic:nvPicPr>
                    <pic:cNvPr descr="images/wis2-odis-metadata-discovery-interop.png" id="202" name="Picture"/>
                    <pic:cNvPicPr>
                      <a:picLocks noChangeArrowheads="1" noChangeAspect="1"/>
                    </pic:cNvPicPr>
                  </pic:nvPicPr>
                  <pic:blipFill>
                    <a:blip r:embed="rId200"/>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03"/>
    <w:bookmarkEnd w:id="204"/>
    <w:bookmarkEnd w:id="205"/>
    <w:bookmarkEnd w:id="206"/>
    <w:bookmarkEnd w:id="207"/>
    <w:bookmarkStart w:id="246" w:name="X389c54ef161459295e2409da7e6e7a438d97537"/>
    <w:p>
      <w:pPr>
        <w:pStyle w:val="Heading1"/>
      </w:pPr>
      <w:r>
        <w:t xml:space="preserve">PART III. Information management</w:t>
      </w:r>
    </w:p>
    <w:bookmarkStart w:id="245" w:name="X29365788aa66f3af0efa9737d84cbd02d19affb"/>
    <w:p>
      <w:pPr>
        <w:pStyle w:val="Heading2"/>
      </w:pPr>
      <w:r>
        <w:t xml:space="preserve">3.1 Introduction</w:t>
      </w:r>
    </w:p>
    <w:bookmarkStart w:id="208" w:name="X2f7e03b24e7ab9acdd025dfeadabbe710425640"/>
    <w:p>
      <w:pPr>
        <w:pStyle w:val="Heading3"/>
      </w:pPr>
      <w:r>
        <w:t xml:space="preserve">3.1.1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08"/>
    <w:bookmarkStart w:id="210" w:name="Xeb6f0482b407e0590647e4472798e67e94690ff"/>
    <w:p>
      <w:pPr>
        <w:pStyle w:val="Heading3"/>
      </w:pPr>
      <w:r>
        <w:t xml:space="preserve">3.1.2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3.3 The information management life cycle</w:t>
        </w:r>
      </w:hyperlink>
      <w:r>
        <w:t xml:space="preserve"> </w:t>
      </w:r>
      <w:r>
        <w:t xml:space="preserve">describes five focus areas.</w:t>
      </w:r>
    </w:p>
    <w:p>
      <w:pPr>
        <w:numPr>
          <w:ilvl w:val="0"/>
          <w:numId w:val="1068"/>
        </w:numPr>
      </w:pPr>
      <w:r>
        <w:t xml:space="preserve">Planning, information creation and acquisition. The creation of information using internal and external data sources and the acquisition of information from various sources.</w:t>
      </w:r>
    </w:p>
    <w:p>
      <w:pPr>
        <w:numPr>
          <w:ilvl w:val="0"/>
          <w:numId w:val="1068"/>
        </w:numPr>
      </w:pPr>
      <w:r>
        <w:t xml:space="preserve">Representation and metadata. The use of standards to represent metadata, data and information; this is of primary importance to enable the interoperability and long-term usability of the information.</w:t>
      </w:r>
    </w:p>
    <w:p>
      <w:pPr>
        <w:numPr>
          <w:ilvl w:val="0"/>
          <w:numId w:val="1068"/>
        </w:numPr>
      </w:pPr>
      <w:r>
        <w:t xml:space="preserve">Publication and exchange of information. The creation and publication of discovery metadata in a standardized format, enabling users to discover, access and retrieve the information.</w:t>
      </w:r>
    </w:p>
    <w:p>
      <w:pPr>
        <w:numPr>
          <w:ilvl w:val="0"/>
          <w:numId w:val="1068"/>
        </w:numPr>
      </w:pPr>
      <w:r>
        <w:t xml:space="preserve">Usage and communication. The publication of guidance material on the use of published information, including on the limitations and suitability of the information and any licensing terms.</w:t>
      </w:r>
    </w:p>
    <w:p>
      <w:pPr>
        <w:numPr>
          <w:ilvl w:val="0"/>
          <w:numId w:val="1068"/>
        </w:numPr>
      </w:pPr>
      <w:r>
        <w:t xml:space="preserve">Storage, archival and disposal. The policies and procedures for business continuity and disaster recovery, as well as retention and disposal.</w:t>
      </w:r>
    </w:p>
    <w:bookmarkStart w:id="209" w:name="X8b8ad48f7582aa9bea92618dd90e4ce613c1f0f"/>
    <w:p>
      <w:pPr>
        <w:pStyle w:val="Heading4"/>
      </w:pPr>
      <w:r>
        <w:t xml:space="preserve">3.1.3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069"/>
        </w:numPr>
      </w:pPr>
      <w:r>
        <w:t xml:space="preserve">Information producers or creators (those who produce or acquire the information) - they need to ensure the scientific quality of the underpinning information;</w:t>
      </w:r>
    </w:p>
    <w:p>
      <w:pPr>
        <w:numPr>
          <w:ilvl w:val="0"/>
          <w:numId w:val="1069"/>
        </w:numPr>
      </w:pPr>
      <w:r>
        <w:t xml:space="preserve">Information managers (those who manage the information);</w:t>
      </w:r>
    </w:p>
    <w:p>
      <w:pPr>
        <w:numPr>
          <w:ilvl w:val="0"/>
          <w:numId w:val="1069"/>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069"/>
        </w:numPr>
      </w:pPr>
      <w:r>
        <w:t xml:space="preserve">Service providers (those who disseminate the information) - they are responsible for ensuring information availability and maintaining capability for easy and secure access to the information;</w:t>
      </w:r>
    </w:p>
    <w:p>
      <w:pPr>
        <w:numPr>
          <w:ilvl w:val="0"/>
          <w:numId w:val="1069"/>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09"/>
    <w:bookmarkEnd w:id="210"/>
    <w:bookmarkStart w:id="222" w:name="Xf824fca74b047d29cced130f7e8c526d1c0cead"/>
    <w:p>
      <w:pPr>
        <w:pStyle w:val="Heading3"/>
      </w:pPr>
      <w:r>
        <w:t xml:space="preserve">3.2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11" w:name="Xb4d17d321a1229eb9bdd27c8c3c25433220a700"/>
    <w:p>
      <w:pPr>
        <w:pStyle w:val="Heading4"/>
      </w:pPr>
      <w:r>
        <w:t xml:space="preserve">3.2.1 Principle 1: Information is a valued asset</w:t>
      </w:r>
    </w:p>
    <w:p>
      <w:pPr>
        <w:numPr>
          <w:ilvl w:val="0"/>
          <w:numId w:val="1070"/>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070"/>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11"/>
    <w:bookmarkStart w:id="212" w:name="X89d0de355d212bc6613f545e4353ea8d60915df"/>
    <w:p>
      <w:pPr>
        <w:pStyle w:val="Heading4"/>
      </w:pPr>
      <w:r>
        <w:t xml:space="preserve">3.2.2 Principle 2: Information must be managed</w:t>
      </w:r>
    </w:p>
    <w:p>
      <w:pPr>
        <w:numPr>
          <w:ilvl w:val="0"/>
          <w:numId w:val="1071"/>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071"/>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071"/>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12"/>
    <w:bookmarkStart w:id="214" w:name="X22045a63598b23a763086711f278e1d2a44211b"/>
    <w:p>
      <w:pPr>
        <w:pStyle w:val="Heading4"/>
      </w:pPr>
      <w:r>
        <w:t xml:space="preserve">3.2.3 Principle 3: Information must be fit for purpose</w:t>
      </w:r>
    </w:p>
    <w:p>
      <w:pPr>
        <w:numPr>
          <w:ilvl w:val="0"/>
          <w:numId w:val="1072"/>
        </w:numPr>
      </w:pPr>
      <w:r>
        <w:t xml:space="preserve">Information should be developed and managed in accordance with its function and use for internal and external users.</w:t>
      </w:r>
    </w:p>
    <w:p>
      <w:pPr>
        <w:numPr>
          <w:ilvl w:val="0"/>
          <w:numId w:val="1072"/>
        </w:numPr>
      </w:pPr>
      <w:r>
        <w:t xml:space="preserve">WMO centres should regularly assess information to ensure that it is fit for its purpose and that the related processes, procedures and documentation are adequate.</w:t>
      </w:r>
    </w:p>
    <w:p>
      <w:pPr>
        <w:numPr>
          <w:ilvl w:val="0"/>
          <w:numId w:val="1072"/>
        </w:numPr>
      </w:pPr>
      <w:r>
        <w:t xml:space="preserve">Processes should be consistent with the general provisions and principles of quality management as described in the WMO</w:t>
      </w:r>
      <w:r>
        <w:t xml:space="preserve"> </w:t>
      </w:r>
      <w:hyperlink r:id="rId213">
        <w:r>
          <w:rPr>
            <w:rStyle w:val="Hyperlink"/>
            <w:iCs/>
            <w:i/>
          </w:rPr>
          <w:t xml:space="preserve">Technical Regulations</w:t>
        </w:r>
      </w:hyperlink>
      <w:r>
        <w:t xml:space="preserve"> </w:t>
      </w:r>
      <w:r>
        <w:t xml:space="preserve">(WMO-No. 49).</w:t>
      </w:r>
    </w:p>
    <w:bookmarkEnd w:id="214"/>
    <w:bookmarkStart w:id="215" w:name="X99dc711475662a6e02ccc131662769964befb48"/>
    <w:p>
      <w:pPr>
        <w:pStyle w:val="Heading4"/>
      </w:pPr>
      <w:r>
        <w:t xml:space="preserve">3.2.4 Principle 4: Information must be standardized and interoperable</w:t>
      </w:r>
    </w:p>
    <w:p>
      <w:pPr>
        <w:numPr>
          <w:ilvl w:val="0"/>
          <w:numId w:val="1073"/>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073"/>
        </w:numPr>
      </w:pPr>
      <w:r>
        <w:t xml:space="preserve">Standardization is essential for structured information such as dataset definitions and metadata to support interoperability.</w:t>
      </w:r>
    </w:p>
    <w:p>
      <w:pPr>
        <w:numPr>
          <w:ilvl w:val="0"/>
          <w:numId w:val="1073"/>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073"/>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073"/>
        </w:numPr>
      </w:pPr>
      <w:r>
        <w:t xml:space="preserve">The use of closed and proprietary standards is strongly discouraged.</w:t>
      </w:r>
    </w:p>
    <w:bookmarkEnd w:id="215"/>
    <w:bookmarkStart w:id="216" w:name="X4c710a7cbc3759aa6649820379d60f1f177ba9c"/>
    <w:p>
      <w:pPr>
        <w:pStyle w:val="Heading4"/>
      </w:pPr>
      <w:r>
        <w:t xml:space="preserve">3.2.5 Principle 5: Information must be well documented</w:t>
      </w:r>
    </w:p>
    <w:p>
      <w:pPr>
        <w:numPr>
          <w:ilvl w:val="0"/>
          <w:numId w:val="1074"/>
        </w:numPr>
      </w:pPr>
      <w:r>
        <w:t xml:space="preserve">WMO centres should comprehensively document information processes, policies, and procedures to facilitate broad and long-term use.</w:t>
      </w:r>
    </w:p>
    <w:p>
      <w:pPr>
        <w:numPr>
          <w:ilvl w:val="0"/>
          <w:numId w:val="1074"/>
        </w:numPr>
      </w:pPr>
      <w:r>
        <w:t xml:space="preserve">WMO centres should keep documentation up to date to ensure full traceability of processes along the information life cycle, particularly for its creation.</w:t>
      </w:r>
    </w:p>
    <w:p>
      <w:pPr>
        <w:numPr>
          <w:ilvl w:val="0"/>
          <w:numId w:val="1074"/>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16"/>
    <w:bookmarkStart w:id="217" w:name="Xe9a225bd08c02aa3805eabec1559f89b21d7c7f"/>
    <w:p>
      <w:pPr>
        <w:pStyle w:val="Heading4"/>
      </w:pPr>
      <w:r>
        <w:t xml:space="preserve">3.2.6 Principle 6: Information must be discoverable, accessible and retrievable</w:t>
      </w:r>
    </w:p>
    <w:p>
      <w:pPr>
        <w:numPr>
          <w:ilvl w:val="0"/>
          <w:numId w:val="1075"/>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075"/>
        </w:numPr>
      </w:pPr>
      <w:r>
        <w:t xml:space="preserve">For information to be easily retrievable once discovered, it should be accessible using standard data exchange protocols.</w:t>
      </w:r>
    </w:p>
    <w:bookmarkEnd w:id="217"/>
    <w:bookmarkStart w:id="220" w:name="Xd7aae325eb000d7fe5916fc0cb31629ef8f12dd"/>
    <w:p>
      <w:pPr>
        <w:pStyle w:val="Heading4"/>
      </w:pPr>
      <w:r>
        <w:t xml:space="preserve">3.2.7 Principle 7: Information should be reusable</w:t>
      </w:r>
    </w:p>
    <w:p>
      <w:pPr>
        <w:numPr>
          <w:ilvl w:val="0"/>
          <w:numId w:val="1076"/>
        </w:numPr>
      </w:pPr>
      <w:r>
        <w:t xml:space="preserve">In order to maximize the economic benefits of an information asset, it should be made as widely available and as accessible as possible.</w:t>
      </w:r>
    </w:p>
    <w:p>
      <w:pPr>
        <w:numPr>
          <w:ilvl w:val="0"/>
          <w:numId w:val="1076"/>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076"/>
        </w:numPr>
      </w:pPr>
      <w:r>
        <w:t xml:space="preserve">The publisher should provide an explicit and well-defined licence for each information item or dataset as part of the associated metadata.</w:t>
      </w:r>
    </w:p>
    <w:p>
      <w:pPr>
        <w:numPr>
          <w:ilvl w:val="0"/>
          <w:numId w:val="1076"/>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18"/>
      </w:r>
    </w:p>
    <w:bookmarkEnd w:id="220"/>
    <w:bookmarkStart w:id="221" w:name="Xedb3934128acbb54e6fd2dff0b6502d8457de98"/>
    <w:p>
      <w:pPr>
        <w:pStyle w:val="Heading4"/>
      </w:pPr>
      <w:r>
        <w:t xml:space="preserve">3.2.8 Principle 8: Information management is subject to accountability and governance</w:t>
      </w:r>
    </w:p>
    <w:p>
      <w:pPr>
        <w:numPr>
          <w:ilvl w:val="0"/>
          <w:numId w:val="1077"/>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078"/>
        </w:numPr>
      </w:pPr>
      <w:r>
        <w:t xml:space="preserve">The implementation of general information management practices, procedures and protocols, including well-defined roles, responsibilities and restrictions on managing the information;</w:t>
      </w:r>
    </w:p>
    <w:p>
      <w:pPr>
        <w:numPr>
          <w:ilvl w:val="1"/>
          <w:numId w:val="1078"/>
        </w:numPr>
      </w:pPr>
      <w:r>
        <w:t xml:space="preserve">The definition and enforcement of an appropriate retention policy, taking into account stakeholder needs and variations in value over the information life cycle;</w:t>
      </w:r>
    </w:p>
    <w:p>
      <w:pPr>
        <w:numPr>
          <w:ilvl w:val="1"/>
          <w:numId w:val="1078"/>
        </w:numPr>
      </w:pPr>
      <w:r>
        <w:t xml:space="preserve">The establishment of licensing and the definition and enforcement of any access restrictions.</w:t>
      </w:r>
    </w:p>
    <w:p>
      <w:pPr>
        <w:numPr>
          <w:ilvl w:val="1"/>
          <w:numId w:val="1078"/>
        </w:numPr>
      </w:pPr>
      <w:r>
        <w:t xml:space="preserve">The designated owner should have budget and decision-making authority with respect to preservation and data usage, including the authority to pass ownership to another entity.</w:t>
      </w:r>
    </w:p>
    <w:bookmarkEnd w:id="221"/>
    <w:bookmarkEnd w:id="222"/>
    <w:bookmarkStart w:id="239" w:name="X99413cd7ab4f54193ab80a913e7ead8f7550165"/>
    <w:p>
      <w:pPr>
        <w:pStyle w:val="Heading3"/>
      </w:pPr>
      <w:r>
        <w:t xml:space="preserve">3.3 The information management life cycle</w:t>
      </w:r>
    </w:p>
    <w:bookmarkStart w:id="223" w:name="Xeccc5e301c97b991026cb4b4fb0a2ad90b4b8ce"/>
    <w:p>
      <w:pPr>
        <w:pStyle w:val="Heading4"/>
      </w:pPr>
      <w:r>
        <w:t xml:space="preserve">3.3.1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079"/>
        </w:numPr>
      </w:pPr>
      <w:r>
        <w:t xml:space="preserve">Planning, creation and acquisition;</w:t>
      </w:r>
    </w:p>
    <w:p>
      <w:pPr>
        <w:numPr>
          <w:ilvl w:val="0"/>
          <w:numId w:val="1079"/>
        </w:numPr>
      </w:pPr>
      <w:r>
        <w:t xml:space="preserve">Representation and metadata;</w:t>
      </w:r>
    </w:p>
    <w:p>
      <w:pPr>
        <w:numPr>
          <w:ilvl w:val="0"/>
          <w:numId w:val="1079"/>
        </w:numPr>
      </w:pPr>
      <w:r>
        <w:t xml:space="preserve">Publication and exchange;</w:t>
      </w:r>
    </w:p>
    <w:p>
      <w:pPr>
        <w:numPr>
          <w:ilvl w:val="0"/>
          <w:numId w:val="1079"/>
        </w:numPr>
      </w:pPr>
      <w:r>
        <w:t xml:space="preserve">Usage and communication;</w:t>
      </w:r>
    </w:p>
    <w:p>
      <w:pPr>
        <w:numPr>
          <w:ilvl w:val="0"/>
          <w:numId w:val="1079"/>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23"/>
    <w:bookmarkStart w:id="226" w:name="Xf536e9dd56d909a9ad040396fc55cc1f2d8010b"/>
    <w:p>
      <w:pPr>
        <w:pStyle w:val="Heading4"/>
      </w:pPr>
      <w:r>
        <w:t xml:space="preserve">3.3.2 Overarching requirements</w:t>
      </w:r>
    </w:p>
    <w:bookmarkStart w:id="224" w:name="X45b743228135d36e8bda76fa64a5364530f2c0f"/>
    <w:p>
      <w:pPr>
        <w:pStyle w:val="Heading5"/>
      </w:pPr>
      <w:r>
        <w:t xml:space="preserve">3.3.2.1 Governance</w:t>
      </w:r>
    </w:p>
    <w:p>
      <w:pPr>
        <w:numPr>
          <w:ilvl w:val="0"/>
          <w:numId w:val="1080"/>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080"/>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080"/>
        </w:numPr>
      </w:pPr>
      <w:r>
        <w:t xml:space="preserve">WMO centres should establish a board or leadership group to develop and regularly review such a governance structure and ensure compliance with its requirements.</w:t>
      </w:r>
    </w:p>
    <w:bookmarkEnd w:id="224"/>
    <w:bookmarkStart w:id="225" w:name="X1ba3fb91a9c7f4af333ef2b72ba292e773669f9"/>
    <w:p>
      <w:pPr>
        <w:pStyle w:val="Heading5"/>
      </w:pPr>
      <w:r>
        <w:t xml:space="preserve">3.3.2.2 Documentation</w:t>
      </w:r>
    </w:p>
    <w:p>
      <w:pPr>
        <w:numPr>
          <w:ilvl w:val="0"/>
          <w:numId w:val="1081"/>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081"/>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25"/>
    <w:bookmarkEnd w:id="226"/>
    <w:bookmarkStart w:id="238" w:name="Xce03414fa90bc571a21e26cd6754cf945b230e0"/>
    <w:p>
      <w:pPr>
        <w:pStyle w:val="Heading4"/>
      </w:pPr>
      <w:r>
        <w:t xml:space="preserve">3.3.3 Aspects of the information management life cycle</w:t>
      </w:r>
    </w:p>
    <w:bookmarkStart w:id="227" w:name="X4f8ba816f7b8aa97bb15bd5af5a1f7f2fd3a919"/>
    <w:p>
      <w:pPr>
        <w:pStyle w:val="Heading5"/>
      </w:pPr>
      <w:r>
        <w:t xml:space="preserve">3.3.3.1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082"/>
        </w:numPr>
      </w:pPr>
      <w:r>
        <w:t xml:space="preserve">Why the information is required;</w:t>
      </w:r>
    </w:p>
    <w:p>
      <w:pPr>
        <w:numPr>
          <w:ilvl w:val="0"/>
          <w:numId w:val="1082"/>
        </w:numPr>
      </w:pPr>
      <w:r>
        <w:t xml:space="preserve">How it will be collected or created;</w:t>
      </w:r>
    </w:p>
    <w:p>
      <w:pPr>
        <w:numPr>
          <w:ilvl w:val="0"/>
          <w:numId w:val="1082"/>
        </w:numPr>
      </w:pPr>
      <w:r>
        <w:t xml:space="preserve">How it will be stored;</w:t>
      </w:r>
    </w:p>
    <w:p>
      <w:pPr>
        <w:numPr>
          <w:ilvl w:val="0"/>
          <w:numId w:val="1082"/>
        </w:numPr>
      </w:pPr>
      <w:r>
        <w:t xml:space="preserve">Whether it will be exchanged with other users and under what policy;</w:t>
      </w:r>
    </w:p>
    <w:p>
      <w:pPr>
        <w:numPr>
          <w:ilvl w:val="0"/>
          <w:numId w:val="1082"/>
        </w:numPr>
      </w:pPr>
      <w:r>
        <w:t xml:space="preserve">Where it should be submitted for long-term archival;</w:t>
      </w:r>
    </w:p>
    <w:p>
      <w:pPr>
        <w:numPr>
          <w:ilvl w:val="0"/>
          <w:numId w:val="1082"/>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27"/>
    <w:bookmarkStart w:id="229" w:name="X49274d3e2b95ee2f6b62ac78feb00523ab6815d"/>
    <w:p>
      <w:pPr>
        <w:pStyle w:val="Heading5"/>
      </w:pPr>
      <w:r>
        <w:t xml:space="preserve">3.3.3.2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2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29"/>
    <w:bookmarkStart w:id="231" w:name="Xa7fab7390f658e9a7f9c1dd97f4f9989f0b7890"/>
    <w:p>
      <w:pPr>
        <w:pStyle w:val="Heading5"/>
      </w:pPr>
      <w:r>
        <w:t xml:space="preserve">3.3.3.3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30">
        <w:r>
          <w:rPr>
            <w:rStyle w:val="Hyperlink"/>
            <w:iCs/>
            <w:i/>
          </w:rPr>
          <w:t xml:space="preserve">https://community.wmo.int/news/operational-newsletter</w:t>
        </w:r>
      </w:hyperlink>
      <w:r>
        <w:t xml:space="preserve">.</w:t>
      </w:r>
    </w:p>
    <w:bookmarkEnd w:id="231"/>
    <w:bookmarkStart w:id="235" w:name="X3e24a7edb6c0c7cedae631be79bacb110074b53"/>
    <w:p>
      <w:pPr>
        <w:pStyle w:val="Heading5"/>
      </w:pPr>
      <w:r>
        <w:t xml:space="preserve">3.3.3.4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083"/>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083"/>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32">
        <w:r>
          <w:rPr>
            <w:rStyle w:val="Hyperlink"/>
            <w:iCs/>
            <w:i/>
          </w:rPr>
          <w:t xml:space="preserve">Manual on the WMO Integrated Global Observing System</w:t>
        </w:r>
      </w:hyperlink>
      <w:r>
        <w:t xml:space="preserve"> </w:t>
      </w:r>
      <w:r>
        <w:t xml:space="preserve">(WMO-No. 1160) and the</w:t>
      </w:r>
      <w:r>
        <w:t xml:space="preserve"> </w:t>
      </w:r>
      <w:hyperlink r:id="rId23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3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3.3.3.1 Planning, information creation and acquisition</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3.3.3.3 Publication and exchange of information</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35"/>
    <w:bookmarkStart w:id="237" w:name="X3ae9333dc6fdf8cb90e60a84f51ab1cb4529e61"/>
    <w:p>
      <w:pPr>
        <w:pStyle w:val="Heading5"/>
      </w:pPr>
      <w:r>
        <w:t xml:space="preserve">3.3.3.5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3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37"/>
    <w:bookmarkEnd w:id="238"/>
    <w:bookmarkEnd w:id="239"/>
    <w:bookmarkStart w:id="244" w:name="X7391e3c3ea1b541c803bd3d5ce697585133e88b"/>
    <w:p>
      <w:pPr>
        <w:pStyle w:val="Heading3"/>
      </w:pPr>
      <w:r>
        <w:t xml:space="preserve">3.4 Other considerations</w:t>
      </w:r>
    </w:p>
    <w:bookmarkStart w:id="241" w:name="Xa64de298ded50f9c724ff5d648e87a4e9fbd147"/>
    <w:p>
      <w:pPr>
        <w:pStyle w:val="Heading4"/>
      </w:pPr>
      <w:r>
        <w:t xml:space="preserve">3.4.1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40">
        <w:r>
          <w:rPr>
            <w:rStyle w:val="Hyperlink"/>
            <w:iCs/>
            <w:i/>
          </w:rPr>
          <w:t xml:space="preserve">WMO Guidelines on Emerging Data Issues</w:t>
        </w:r>
      </w:hyperlink>
      <w:r>
        <w:t xml:space="preserve"> </w:t>
      </w:r>
      <w:r>
        <w:t xml:space="preserve">(WMO-No. 1239).</w:t>
      </w:r>
    </w:p>
    <w:bookmarkEnd w:id="241"/>
    <w:bookmarkStart w:id="243" w:name="Xc9ea048877dfd968048ffc95998a2f64ce311e4"/>
    <w:p>
      <w:pPr>
        <w:pStyle w:val="Heading4"/>
      </w:pPr>
      <w:r>
        <w:t xml:space="preserve">3.4.2 Information security</w:t>
      </w:r>
    </w:p>
    <w:p>
      <w:pPr>
        <w:pStyle w:val="FirstParagraph"/>
      </w:pPr>
      <w:r>
        <w:t xml:space="preserve">Further information on information security and best practices can be found in the</w:t>
      </w:r>
      <w:r>
        <w:t xml:space="preserve"> </w:t>
      </w:r>
      <w:hyperlink r:id="rId242">
        <w:r>
          <w:rPr>
            <w:rStyle w:val="Hyperlink"/>
            <w:iCs/>
            <w:i/>
          </w:rPr>
          <w:t xml:space="preserve">Guide to Information Technology Security</w:t>
        </w:r>
      </w:hyperlink>
      <w:r>
        <w:t xml:space="preserve"> </w:t>
      </w:r>
      <w:r>
        <w:t xml:space="preserve">(WMO-No. 1115).</w:t>
      </w:r>
    </w:p>
    <w:bookmarkEnd w:id="243"/>
    <w:bookmarkEnd w:id="244"/>
    <w:bookmarkEnd w:id="245"/>
    <w:bookmarkEnd w:id="246"/>
    <w:bookmarkStart w:id="248" w:name="Xf0816da4cf7fb19671f2d7fe0d061de4ae60249"/>
    <w:p>
      <w:pPr>
        <w:pStyle w:val="Heading1"/>
      </w:pPr>
      <w:r>
        <w:t xml:space="preserve">PART IV.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084"/>
        </w:numPr>
      </w:pPr>
      <w:r>
        <w:rPr>
          <w:iCs/>
          <w:i/>
        </w:rPr>
        <w:t xml:space="preserve">Guide to Information Technology Security</w:t>
      </w:r>
      <w:r>
        <w:t xml:space="preserve"> </w:t>
      </w:r>
      <w:r>
        <w:t xml:space="preserve">(WMO-No. 1115);</w:t>
      </w:r>
    </w:p>
    <w:p>
      <w:pPr>
        <w:numPr>
          <w:ilvl w:val="0"/>
          <w:numId w:val="1084"/>
        </w:numPr>
      </w:pPr>
      <w:hyperlink r:id="rId24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48"/>
    <w:bookmarkStart w:id="249" w:name="X3b22a87a2b2970364529e1b1e33cb197e766c93"/>
    <w:p>
      <w:pPr>
        <w:pStyle w:val="Heading1"/>
      </w:pPr>
      <w:r>
        <w:t xml:space="preserve">PART V.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1">
    <w:p>
      <w:pPr>
        <w:pStyle w:val="FootnoteText"/>
      </w:pPr>
      <w:r>
        <w:rPr>
          <w:rStyle w:val="FootnoteReference"/>
        </w:rPr>
        <w:footnoteRef/>
      </w:r>
      <w:r>
        <w:t xml:space="preserve"> </w:t>
      </w:r>
      <w:r>
        <w:t xml:space="preserve">See Internet Assigned Numbers Authority (IANA) Link Relations:</w:t>
      </w:r>
      <w:r>
        <w:t xml:space="preserve"> </w:t>
      </w:r>
      <w:hyperlink r:id="rId42">
        <w:r>
          <w:rPr>
            <w:rStyle w:val="Hyperlink"/>
          </w:rPr>
          <w:t xml:space="preserve">https://www.iana.org/assignments/link-relations/link-relations.xhtml</w:t>
        </w:r>
      </w:hyperlink>
    </w:p>
  </w:footnote>
  <w:footnote w:id="48">
    <w:p>
      <w:pPr>
        <w:pStyle w:val="FootnoteText"/>
      </w:pPr>
      <w:r>
        <w:rPr>
          <w:rStyle w:val="FootnoteReference"/>
        </w:rPr>
        <w:footnoteRef/>
      </w:r>
      <w:r>
        <w:t xml:space="preserve"> </w:t>
      </w:r>
      <w:r>
        <w:t xml:space="preserve">See RFC 7946 - The GeoJSON Format:</w:t>
      </w:r>
      <w:r>
        <w:t xml:space="preserve"> </w:t>
      </w:r>
      <w:hyperlink r:id="rId49">
        <w:r>
          <w:rPr>
            <w:rStyle w:val="Hyperlink"/>
          </w:rPr>
          <w:t xml:space="preserve">https://datatracker.ietf.org/doc/html/rfc7946</w:t>
        </w:r>
      </w:hyperlink>
      <w:r>
        <w:t xml:space="preserve">.</w:t>
      </w:r>
    </w:p>
  </w:footnote>
  <w:footnote w:id="50">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1">
    <w:p>
      <w:pPr>
        <w:pStyle w:val="FootnoteText"/>
      </w:pPr>
      <w:r>
        <w:rPr>
          <w:rStyle w:val="FootnoteReference"/>
        </w:rPr>
        <w:footnoteRef/>
      </w:r>
      <w:r>
        <w:t xml:space="preserve"> </w:t>
      </w:r>
      <w:r>
        <w:t xml:space="preserve">See OGC API - Records - Part 1: Core:</w:t>
      </w:r>
      <w:r>
        <w:t xml:space="preserve"> </w:t>
      </w:r>
      <w:hyperlink r:id="rId52">
        <w:r>
          <w:rPr>
            <w:rStyle w:val="Hyperlink"/>
          </w:rPr>
          <w:t xml:space="preserve">https://docs.ogc.org/DRAFTS/20-004.html</w:t>
        </w:r>
      </w:hyperlink>
      <w:r>
        <w:t xml:space="preserve">.</w:t>
      </w:r>
    </w:p>
  </w:footnote>
  <w:footnote w:id="53">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5">
    <w:p>
      <w:pPr>
        <w:pStyle w:val="FootnoteText"/>
      </w:pPr>
      <w:r>
        <w:rPr>
          <w:rStyle w:val="FootnoteReference"/>
        </w:rPr>
        <w:footnoteRef/>
      </w:r>
      <w:r>
        <w:t xml:space="preserve"> </w:t>
      </w:r>
      <w:r>
        <w:t xml:space="preserve">See Architecture of the World Wide Web, Volume One:</w:t>
      </w:r>
      <w:r>
        <w:t xml:space="preserve"> </w:t>
      </w:r>
      <w:hyperlink r:id="rId56">
        <w:r>
          <w:rPr>
            <w:rStyle w:val="Hyperlink"/>
          </w:rPr>
          <w:t xml:space="preserve">https://www.w3.org/TR/webarch/</w:t>
        </w:r>
      </w:hyperlink>
      <w:r>
        <w:t xml:space="preserve">.</w:t>
      </w:r>
    </w:p>
  </w:footnote>
  <w:footnote w:id="57">
    <w:p>
      <w:pPr>
        <w:pStyle w:val="FootnoteText"/>
      </w:pPr>
      <w:r>
        <w:rPr>
          <w:rStyle w:val="FootnoteReference"/>
        </w:rPr>
        <w:footnoteRef/>
      </w:r>
      <w:r>
        <w:t xml:space="preserve"> </w:t>
      </w:r>
      <w:r>
        <w:t xml:space="preserve">See RFC 3986 - Uniform Resource Identifier (URI) - Generic Syntax:</w:t>
      </w:r>
      <w:r>
        <w:t xml:space="preserve"> </w:t>
      </w:r>
      <w:hyperlink r:id="rId58">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8">
        <w:r>
          <w:rPr>
            <w:rStyle w:val="Hyperlink"/>
          </w:rPr>
          <w:t xml:space="preserve">https://datatracker.ietf.org/doc/html/rfc3986</w:t>
        </w:r>
      </w:hyperlink>
      <w:r>
        <w:t xml:space="preserve">.</w:t>
      </w:r>
    </w:p>
  </w:footnote>
  <w:footnote w:id="60">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3">
    <w:p>
      <w:pPr>
        <w:pStyle w:val="FootnoteText"/>
      </w:pPr>
      <w:r>
        <w:rPr>
          <w:rStyle w:val="FootnoteReference"/>
        </w:rPr>
        <w:footnoteRef/>
      </w:r>
      <w:r>
        <w:t xml:space="preserve"> </w:t>
      </w:r>
      <w:r>
        <w:t xml:space="preserve">See STAC: SpatioTemporal Asset Catalogs:</w:t>
      </w:r>
      <w:r>
        <w:t xml:space="preserve"> </w:t>
      </w:r>
      <w:hyperlink r:id="rId64">
        <w:r>
          <w:rPr>
            <w:rStyle w:val="Hyperlink"/>
          </w:rPr>
          <w:t xml:space="preserve">https://stacspec.org/en</w:t>
        </w:r>
      </w:hyperlink>
      <w:r>
        <w:t xml:space="preserve">.</w:t>
      </w:r>
    </w:p>
  </w:footnote>
  <w:footnote w:id="65">
    <w:p>
      <w:pPr>
        <w:pStyle w:val="FootnoteText"/>
      </w:pPr>
      <w:r>
        <w:rPr>
          <w:rStyle w:val="FootnoteReference"/>
        </w:rPr>
        <w:footnoteRef/>
      </w:r>
      <w:r>
        <w:t xml:space="preserve"> </w:t>
      </w:r>
      <w:r>
        <w:t xml:space="preserve">See</w:t>
      </w:r>
      <w:r>
        <w:t xml:space="preserve"> </w:t>
      </w:r>
      <w:hyperlink r:id="rId66">
        <w:r>
          <w:rPr>
            <w:rStyle w:val="Hyperlink"/>
          </w:rPr>
          <w:t xml:space="preserve">https://www.iasa-web.org/tc04/submission-information-package-sip</w:t>
        </w:r>
      </w:hyperlink>
      <w:r>
        <w:t xml:space="preserve"> </w:t>
      </w:r>
      <w:r>
        <w:t xml:space="preserve">or</w:t>
      </w:r>
      <w:r>
        <w:t xml:space="preserve"> </w:t>
      </w:r>
      <w:hyperlink r:id="rId67">
        <w:r>
          <w:rPr>
            <w:rStyle w:val="Hyperlink"/>
          </w:rPr>
          <w:t xml:space="preserve">https://user.eumetsat.int/resources/user-guides/formats</w:t>
        </w:r>
      </w:hyperlink>
      <w:r>
        <w:t xml:space="preserve">.</w:t>
      </w:r>
    </w:p>
  </w:footnote>
  <w:footnote w:id="69">
    <w:p>
      <w:pPr>
        <w:pStyle w:val="FootnoteText"/>
      </w:pPr>
      <w:r>
        <w:rPr>
          <w:rStyle w:val="FootnoteReference"/>
        </w:rPr>
        <w:footnoteRef/>
      </w:r>
      <w:r>
        <w:t xml:space="preserve"> </w:t>
      </w:r>
      <w:r>
        <w:t xml:space="preserve">See OpenAPI Specification v3.1.0:</w:t>
      </w:r>
      <w:r>
        <w:t xml:space="preserve"> </w:t>
      </w:r>
      <w:hyperlink r:id="rId70">
        <w:r>
          <w:rPr>
            <w:rStyle w:val="Hyperlink"/>
          </w:rPr>
          <w:t xml:space="preserve">https://spec.openapis.org/oas/v3.1.0</w:t>
        </w:r>
      </w:hyperlink>
      <w:r>
        <w:t xml:space="preserve">.</w:t>
      </w:r>
    </w:p>
  </w:footnote>
  <w:footnote w:id="71">
    <w:p>
      <w:pPr>
        <w:pStyle w:val="FootnoteText"/>
      </w:pPr>
      <w:r>
        <w:rPr>
          <w:rStyle w:val="FootnoteReference"/>
        </w:rPr>
        <w:footnoteRef/>
      </w:r>
      <w:r>
        <w:t xml:space="preserve"> </w:t>
      </w:r>
      <w:r>
        <w:t xml:space="preserve">See OGC API:</w:t>
      </w:r>
      <w:r>
        <w:t xml:space="preserve"> </w:t>
      </w:r>
      <w:hyperlink r:id="rId72">
        <w:r>
          <w:rPr>
            <w:rStyle w:val="Hyperlink"/>
          </w:rPr>
          <w:t xml:space="preserve">https://ogcapi.ogc.org/</w:t>
        </w:r>
      </w:hyperlink>
      <w:r>
        <w:t xml:space="preserve">.</w:t>
      </w:r>
    </w:p>
  </w:footnote>
  <w:footnote w:id="73">
    <w:p>
      <w:pPr>
        <w:pStyle w:val="FootnoteText"/>
      </w:pPr>
      <w:r>
        <w:rPr>
          <w:rStyle w:val="FootnoteReference"/>
        </w:rPr>
        <w:footnoteRef/>
      </w:r>
      <w:r>
        <w:t xml:space="preserve"> </w:t>
      </w:r>
      <w:r>
        <w:t xml:space="preserve">See OGC API - Environmental Data Retrieval (EDR):</w:t>
      </w:r>
      <w:r>
        <w:t xml:space="preserve"> </w:t>
      </w:r>
      <w:hyperlink r:id="rId74">
        <w:r>
          <w:rPr>
            <w:rStyle w:val="Hyperlink"/>
          </w:rPr>
          <w:t xml:space="preserve">https://ogcapi.ogc.org/edr</w:t>
        </w:r>
      </w:hyperlink>
      <w:r>
        <w:t xml:space="preserve">.</w:t>
      </w:r>
    </w:p>
  </w:footnote>
  <w:footnote w:id="75">
    <w:p>
      <w:pPr>
        <w:pStyle w:val="FootnoteText"/>
      </w:pPr>
      <w:r>
        <w:rPr>
          <w:rStyle w:val="FootnoteReference"/>
        </w:rPr>
        <w:footnoteRef/>
      </w:r>
      <w:r>
        <w:t xml:space="preserve"> </w:t>
      </w:r>
      <w:r>
        <w:t xml:space="preserve">See OGC API - Features:</w:t>
      </w:r>
      <w:r>
        <w:t xml:space="preserve"> </w:t>
      </w:r>
      <w:hyperlink r:id="rId76">
        <w:r>
          <w:rPr>
            <w:rStyle w:val="Hyperlink"/>
          </w:rPr>
          <w:t xml:space="preserve">https://ogcapi.ogc.org/features</w:t>
        </w:r>
      </w:hyperlink>
      <w:r>
        <w:t xml:space="preserve">.</w:t>
      </w:r>
    </w:p>
  </w:footnote>
  <w:footnote w:id="77">
    <w:p>
      <w:pPr>
        <w:pStyle w:val="FootnoteText"/>
      </w:pPr>
      <w:r>
        <w:rPr>
          <w:rStyle w:val="FootnoteReference"/>
        </w:rPr>
        <w:footnoteRef/>
      </w:r>
      <w:r>
        <w:t xml:space="preserve"> </w:t>
      </w:r>
      <w:r>
        <w:t xml:space="preserve">See OGC API - Coverages:</w:t>
      </w:r>
      <w:r>
        <w:t xml:space="preserve"> </w:t>
      </w:r>
      <w:hyperlink r:id="rId78">
        <w:r>
          <w:rPr>
            <w:rStyle w:val="Hyperlink"/>
          </w:rPr>
          <w:t xml:space="preserve">https://ogcapi.ogc.org/coverages</w:t>
        </w:r>
      </w:hyperlink>
      <w:r>
        <w:t xml:space="preserve">.</w:t>
      </w:r>
    </w:p>
  </w:footnote>
  <w:footnote w:id="80">
    <w:p>
      <w:pPr>
        <w:pStyle w:val="FootnoteText"/>
      </w:pPr>
      <w:r>
        <w:rPr>
          <w:rStyle w:val="FootnoteReference"/>
        </w:rPr>
        <w:footnoteRef/>
      </w:r>
      <w:r>
        <w:t xml:space="preserve"> </w:t>
      </w:r>
      <w:r>
        <w:t xml:space="preserve">See World Weather Watch:</w:t>
      </w:r>
      <w:r>
        <w:t xml:space="preserve"> </w:t>
      </w:r>
      <w:hyperlink r:id="rId81">
        <w:r>
          <w:rPr>
            <w:rStyle w:val="Hyperlink"/>
          </w:rPr>
          <w:t xml:space="preserve">https://wmo.int/world-weather-watch</w:t>
        </w:r>
      </w:hyperlink>
      <w:r>
        <w:t xml:space="preserve">.</w:t>
      </w:r>
    </w:p>
  </w:footnote>
  <w:footnote w:id="82">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3">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4">
    <w:p>
      <w:pPr>
        <w:pStyle w:val="FootnoteText"/>
      </w:pPr>
      <w:r>
        <w:rPr>
          <w:rStyle w:val="FootnoteReference"/>
        </w:rPr>
        <w:footnoteRef/>
      </w:r>
      <w:r>
        <w:t xml:space="preserve"> </w:t>
      </w:r>
      <w:r>
        <w:t xml:space="preserve">See Internet Assigned Numbers Authority (IANA) Link Relations:</w:t>
      </w:r>
      <w:r>
        <w:t xml:space="preserve"> </w:t>
      </w:r>
      <w:hyperlink r:id="rId42">
        <w:r>
          <w:rPr>
            <w:rStyle w:val="Hyperlink"/>
          </w:rPr>
          <w:t xml:space="preserve">https://www.iana.org/assignments/link-relations/link-relations.xhtml</w:t>
        </w:r>
      </w:hyperlink>
      <w:r>
        <w:t xml:space="preserve">.</w:t>
      </w:r>
    </w:p>
  </w:footnote>
  <w:footnote w:id="85">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6">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8">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9">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90">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2">
    <w:p>
      <w:pPr>
        <w:pStyle w:val="FootnoteText"/>
      </w:pPr>
      <w:r>
        <w:rPr>
          <w:rStyle w:val="FootnoteReference"/>
        </w:rPr>
        <w:footnoteRef/>
      </w:r>
      <w:r>
        <w:t xml:space="preserve"> </w:t>
      </w:r>
      <w:r>
        <w:t xml:space="preserve">See OpenAPI Security Scheme Object:</w:t>
      </w:r>
      <w:r>
        <w:t xml:space="preserve"> </w:t>
      </w:r>
      <w:hyperlink r:id="rId93">
        <w:r>
          <w:rPr>
            <w:rStyle w:val="Hyperlink"/>
          </w:rPr>
          <w:t xml:space="preserve">https://spec.openapis.org/oas/v3.1.0#security-scheme-object</w:t>
        </w:r>
      </w:hyperlink>
      <w:r>
        <w:t xml:space="preserve">.</w:t>
      </w:r>
    </w:p>
  </w:footnote>
  <w:footnote w:id="94">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5">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6">
    <w:p>
      <w:pPr>
        <w:pStyle w:val="FootnoteText"/>
      </w:pPr>
      <w:r>
        <w:rPr>
          <w:rStyle w:val="FootnoteReference"/>
        </w:rPr>
        <w:footnoteRef/>
      </w:r>
      <w:r>
        <w:t xml:space="preserve"> </w:t>
      </w:r>
      <w:r>
        <w:t xml:space="preserve">See working with presigned URLs on Amazon S3:</w:t>
      </w:r>
      <w:r>
        <w:t xml:space="preserve"> </w:t>
      </w:r>
      <w:hyperlink r:id="rId97">
        <w:r>
          <w:rPr>
            <w:rStyle w:val="Hyperlink"/>
          </w:rPr>
          <w:t xml:space="preserve">https://docs.aws.amazon.com/AmazonS3/latest/userguide/using-presigned-url.html</w:t>
        </w:r>
      </w:hyperlink>
      <w:r>
        <w:t xml:space="preserve">.</w:t>
      </w:r>
    </w:p>
  </w:footnote>
  <w:footnote w:id="99">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8">
    <w:p>
      <w:pPr>
        <w:pStyle w:val="FootnoteText"/>
      </w:pPr>
      <w:r>
        <w:rPr>
          <w:rStyle w:val="FootnoteReference"/>
        </w:rPr>
        <w:footnoteRef/>
      </w:r>
      <w:r>
        <w:t xml:space="preserve"> </w:t>
      </w:r>
      <w:r>
        <w:t xml:space="preserve">See MQTT Specifications:</w:t>
      </w:r>
      <w:r>
        <w:t xml:space="preserve"> </w:t>
      </w:r>
      <w:hyperlink r:id="rId119">
        <w:r>
          <w:rPr>
            <w:rStyle w:val="Hyperlink"/>
          </w:rPr>
          <w:t xml:space="preserve">https://mqtt.org/mqtt-specification/</w:t>
        </w:r>
      </w:hyperlink>
      <w:r>
        <w:t xml:space="preserve">.</w:t>
      </w:r>
    </w:p>
  </w:footnote>
  <w:footnote w:id="121">
    <w:p>
      <w:pPr>
        <w:pStyle w:val="FootnoteText"/>
      </w:pPr>
      <w:r>
        <w:rPr>
          <w:rStyle w:val="FootnoteReference"/>
        </w:rPr>
        <w:footnoteRef/>
      </w:r>
      <w:r>
        <w:t xml:space="preserve"> </w:t>
      </w:r>
      <w:r>
        <w:t xml:space="preserve">See RFC 7231 - Hypertext Transfer Protocol (HTTP/1.1): Semantics and Content:</w:t>
      </w:r>
      <w:r>
        <w:t xml:space="preserve"> </w:t>
      </w:r>
      <w:hyperlink r:id="rId122">
        <w:r>
          <w:rPr>
            <w:rStyle w:val="Hyperlink"/>
          </w:rPr>
          <w:t xml:space="preserve">https://datatracker.ietf.org/doc/html/rfc7231</w:t>
        </w:r>
      </w:hyperlink>
      <w:r>
        <w:t xml:space="preserve">.</w:t>
      </w:r>
    </w:p>
  </w:footnote>
  <w:footnote w:id="129">
    <w:p>
      <w:pPr>
        <w:pStyle w:val="FootnoteText"/>
      </w:pPr>
      <w:r>
        <w:rPr>
          <w:rStyle w:val="FootnoteReference"/>
        </w:rPr>
        <w:footnoteRef/>
      </w:r>
      <w:r>
        <w:t xml:space="preserve"> </w:t>
      </w:r>
      <w:r>
        <w:t xml:space="preserve">See IANA TLDs:</w:t>
      </w:r>
      <w:r>
        <w:t xml:space="preserve"> </w:t>
      </w:r>
      <w:hyperlink r:id="rId130">
        <w:r>
          <w:rPr>
            <w:rStyle w:val="Hyperlink"/>
          </w:rPr>
          <w:t xml:space="preserve">https://data.iana.org/TLD</w:t>
        </w:r>
      </w:hyperlink>
      <w:r>
        <w:t xml:space="preserve">.</w:t>
      </w:r>
    </w:p>
  </w:footnote>
  <w:footnote w:id="131">
    <w:p>
      <w:pPr>
        <w:pStyle w:val="FootnoteText"/>
      </w:pPr>
      <w:r>
        <w:rPr>
          <w:rStyle w:val="FootnoteReference"/>
        </w:rPr>
        <w:footnoteRef/>
      </w:r>
      <w:r>
        <w:t xml:space="preserve"> </w:t>
      </w:r>
      <w:r>
        <w:t xml:space="preserve">See</w:t>
      </w:r>
      <w:r>
        <w:t xml:space="preserve"> </w:t>
      </w:r>
      <w:hyperlink r:id="rId132">
        <w:r>
          <w:rPr>
            <w:rStyle w:val="Hyperlink"/>
          </w:rPr>
          <w:t xml:space="preserve">http://www.metoffice.gov.uk</w:t>
        </w:r>
      </w:hyperlink>
      <w:r>
        <w:t xml:space="preserve">.</w:t>
      </w:r>
    </w:p>
  </w:footnote>
  <w:footnote w:id="133">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5">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6">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7">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8">
    <w:p>
      <w:pPr>
        <w:pStyle w:val="FootnoteText"/>
      </w:pPr>
      <w:r>
        <w:rPr>
          <w:rStyle w:val="FootnoteReference"/>
        </w:rPr>
        <w:footnoteRef/>
      </w:r>
      <w:r>
        <w:t xml:space="preserve"> </w:t>
      </w:r>
      <w:r>
        <w:t xml:space="preserve">See OpenAPI Specification - Security Scheme Object:</w:t>
      </w:r>
      <w:r>
        <w:t xml:space="preserve"> </w:t>
      </w:r>
      <w:hyperlink r:id="rId93">
        <w:r>
          <w:rPr>
            <w:rStyle w:val="Hyperlink"/>
          </w:rPr>
          <w:t xml:space="preserve">https://spec.openapis.org/oas/v3.1.0#security-scheme-object</w:t>
        </w:r>
      </w:hyperlink>
      <w:r>
        <w:t xml:space="preserve">.</w:t>
      </w:r>
    </w:p>
  </w:footnote>
  <w:footnote w:id="14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51">
    <w:p>
      <w:pPr>
        <w:pStyle w:val="FootnoteText"/>
      </w:pPr>
      <w:r>
        <w:rPr>
          <w:rStyle w:val="FootnoteReference"/>
        </w:rPr>
        <w:footnoteRef/>
      </w:r>
      <w:r>
        <w:t xml:space="preserve"> </w:t>
      </w:r>
      <w:r>
        <w:t xml:space="preserve">OpenMetrics is proposed as a draft standard within the Internet Engineering Task Force (IETF).</w:t>
      </w:r>
    </w:p>
  </w:footnote>
  <w:footnote w:id="152">
    <w:p>
      <w:pPr>
        <w:pStyle w:val="FootnoteText"/>
      </w:pPr>
      <w:r>
        <w:rPr>
          <w:rStyle w:val="FootnoteReference"/>
        </w:rPr>
        <w:footnoteRef/>
      </w:r>
      <w:r>
        <w:t xml:space="preserve"> </w:t>
      </w:r>
      <w:r>
        <w:t xml:space="preserve">See</w:t>
      </w:r>
      <w:r>
        <w:t xml:space="preserve"> </w:t>
      </w:r>
      <w:hyperlink r:id="rId153">
        <w:r>
          <w:rPr>
            <w:rStyle w:val="Hyperlink"/>
          </w:rPr>
          <w:t xml:space="preserve">https://github.com/wmo-im/wis2-metric-hierarchy</w:t>
        </w:r>
      </w:hyperlink>
      <w:r>
        <w:t xml:space="preserve">.</w:t>
      </w:r>
    </w:p>
  </w:footnote>
  <w:footnote w:id="161">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64">
    <w:p>
      <w:pPr>
        <w:pStyle w:val="FootnoteText"/>
      </w:pPr>
      <w:r>
        <w:rPr>
          <w:rStyle w:val="FootnoteReference"/>
        </w:rPr>
        <w:footnoteRef/>
      </w:r>
      <w:r>
        <w:t xml:space="preserve"> </w:t>
      </w:r>
      <w:r>
        <w:t xml:space="preserve">See OGC-API Records - Part 1</w:t>
      </w:r>
      <w:r>
        <w:t xml:space="preserve"> </w:t>
      </w:r>
      <w:hyperlink r:id="rId52">
        <w:r>
          <w:rPr>
            <w:rStyle w:val="Hyperlink"/>
          </w:rPr>
          <w:t xml:space="preserve">https://docs.ogc.org/DRAFTS/20-004.html</w:t>
        </w:r>
      </w:hyperlink>
      <w:r>
        <w:t xml:space="preserve">.</w:t>
      </w:r>
    </w:p>
  </w:footnote>
  <w:footnote w:id="172">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73">
    <w:p>
      <w:pPr>
        <w:pStyle w:val="FootnoteText"/>
      </w:pPr>
      <w:r>
        <w:rPr>
          <w:rStyle w:val="FootnoteReference"/>
        </w:rPr>
        <w:footnoteRef/>
      </w:r>
      <w:r>
        <w:t xml:space="preserve"> </w:t>
      </w:r>
      <w:r>
        <w:t xml:space="preserve">AMQP 1.0 is one of the protocols proposed in the draft PANS-IM.</w:t>
      </w:r>
    </w:p>
  </w:footnote>
  <w:footnote w:id="178">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80">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3">
        <w:r>
          <w:rPr>
            <w:rStyle w:val="Hyperlink"/>
          </w:rPr>
          <w:t xml:space="preserve">https://spec.openapis.org/oas/v3.1.0#security-scheme-object</w:t>
        </w:r>
      </w:hyperlink>
      <w:r>
        <w:t xml:space="preserve">.</w:t>
      </w:r>
    </w:p>
  </w:footnote>
  <w:footnote w:id="181">
    <w:p>
      <w:pPr>
        <w:pStyle w:val="FootnoteText"/>
      </w:pPr>
      <w:r>
        <w:rPr>
          <w:rStyle w:val="FootnoteReference"/>
        </w:rPr>
        <w:footnoteRef/>
      </w:r>
      <w:r>
        <w:t xml:space="preserve"> </w:t>
      </w:r>
      <w:r>
        <w:t xml:space="preserve">WIS2 does not provide any guidance on use of Public Key Infrastructure (PKI).</w:t>
      </w:r>
    </w:p>
  </w:footnote>
  <w:footnote w:id="182">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83">
    <w:p>
      <w:pPr>
        <w:pStyle w:val="FootnoteText"/>
      </w:pPr>
      <w:r>
        <w:rPr>
          <w:rStyle w:val="FootnoteReference"/>
        </w:rPr>
        <w:footnoteRef/>
      </w:r>
      <w:r>
        <w:t xml:space="preserve"> </w:t>
      </w:r>
      <w:r>
        <w:t xml:space="preserve">Where the data resource does not exceed 4 Kb, it may be embedded in the notification message.</w:t>
      </w:r>
    </w:p>
  </w:footnote>
  <w:footnote w:id="185">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189">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190">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191">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192">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94">
    <w:p>
      <w:pPr>
        <w:pStyle w:val="FootnoteText"/>
      </w:pPr>
      <w:r>
        <w:rPr>
          <w:rStyle w:val="FootnoteReference"/>
        </w:rPr>
        <w:footnoteRef/>
      </w:r>
      <w:r>
        <w:t xml:space="preserve"> </w:t>
      </w:r>
      <w:r>
        <w:t xml:space="preserve">See AMQP 1.0:</w:t>
      </w:r>
      <w:r>
        <w:t xml:space="preserve"> </w:t>
      </w:r>
      <w:hyperlink r:id="rId195">
        <w:r>
          <w:rPr>
            <w:rStyle w:val="Hyperlink"/>
          </w:rPr>
          <w:t xml:space="preserve">https://www.amqp.org/resources/specifications</w:t>
        </w:r>
      </w:hyperlink>
      <w:r>
        <w:t xml:space="preserve">.</w:t>
      </w:r>
    </w:p>
  </w:footnote>
  <w:footnote w:id="198">
    <w:p>
      <w:pPr>
        <w:pStyle w:val="FootnoteText"/>
      </w:pPr>
      <w:r>
        <w:rPr>
          <w:rStyle w:val="FootnoteReference"/>
        </w:rPr>
        <w:footnoteRef/>
      </w:r>
      <w:r>
        <w:t xml:space="preserve"> </w:t>
      </w:r>
      <w:r>
        <w:t xml:space="preserve">See</w:t>
      </w:r>
      <w:r>
        <w:t xml:space="preserve"> </w:t>
      </w:r>
      <w:hyperlink r:id="rId199">
        <w:r>
          <w:rPr>
            <w:rStyle w:val="Hyperlink"/>
          </w:rPr>
          <w:t xml:space="preserve">https://schema.org</w:t>
        </w:r>
      </w:hyperlink>
      <w:r>
        <w:t xml:space="preserve">.</w:t>
      </w:r>
    </w:p>
  </w:footnote>
  <w:footnote w:id="218">
    <w:p>
      <w:pPr>
        <w:pStyle w:val="FootnoteText"/>
      </w:pPr>
      <w:r>
        <w:rPr>
          <w:rStyle w:val="FootnoteReference"/>
        </w:rPr>
        <w:footnoteRef/>
      </w:r>
      <w:r>
        <w:t xml:space="preserve"> </w:t>
      </w:r>
      <w:hyperlink r:id="rId21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5" Target="media/rId125.png" /><Relationship Type="http://schemas.openxmlformats.org/officeDocument/2006/relationships/image" Id="rId200" Target="media/rId200.png" /><Relationship Type="http://schemas.openxmlformats.org/officeDocument/2006/relationships/image" Id="rId186" Target="media/rId186.png" /><Relationship Type="http://schemas.openxmlformats.org/officeDocument/2006/relationships/image" Id="rId174" Target="media/rId174.png" /><Relationship Type="http://schemas.openxmlformats.org/officeDocument/2006/relationships/hyperlink" Id="rId132"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30" Target="https://community.wmo.int/news/operational-newsletter" TargetMode="External" /><Relationship Type="http://schemas.openxmlformats.org/officeDocument/2006/relationships/hyperlink" Id="rId130" Target="https://data.iana.org/TLD" TargetMode="External" /><Relationship Type="http://schemas.openxmlformats.org/officeDocument/2006/relationships/hyperlink" Id="rId58" Target="https://datatracker.ietf.org/doc/html/rfc3986" TargetMode="External" /><Relationship Type="http://schemas.openxmlformats.org/officeDocument/2006/relationships/hyperlink" Id="rId122" Target="https://datatracker.ietf.org/doc/html/rfc7231" TargetMode="External" /><Relationship Type="http://schemas.openxmlformats.org/officeDocument/2006/relationships/hyperlink" Id="rId49" Target="https://datatracker.ietf.org/doc/html/rfc7946" TargetMode="External" /><Relationship Type="http://schemas.openxmlformats.org/officeDocument/2006/relationships/hyperlink" Id="rId97" Target="https://docs.aws.amazon.com/AmazonS3/latest/userguide/using-presigned-url.html" TargetMode="External" /><Relationship Type="http://schemas.openxmlformats.org/officeDocument/2006/relationships/hyperlink" Id="rId52" Target="https://docs.ogc.org/DRAFTS/20-004.html" TargetMode="External" /><Relationship Type="http://schemas.openxmlformats.org/officeDocument/2006/relationships/hyperlink" Id="rId144" Target="https://docs.wis2box.wis.wmo.int" TargetMode="External" /><Relationship Type="http://schemas.openxmlformats.org/officeDocument/2006/relationships/hyperlink" Id="rId166" Target="https://github.com/wmo-im/wis2-gdc" TargetMode="External" /><Relationship Type="http://schemas.openxmlformats.org/officeDocument/2006/relationships/hyperlink" Id="rId153" Target="https://github.com/wmo-im/wis2-metric-hierarchy" TargetMode="External" /><Relationship Type="http://schemas.openxmlformats.org/officeDocument/2006/relationships/hyperlink" Id="rId145" Target="https://github.com/wmo-im/wis2box" TargetMode="External" /><Relationship Type="http://schemas.openxmlformats.org/officeDocument/2006/relationships/hyperlink" Id="rId219" Target="https://go-fair.org" TargetMode="External" /><Relationship Type="http://schemas.openxmlformats.org/officeDocument/2006/relationships/hyperlink" Id="rId247" Target="https://library.wmo.int/idurl/4/28988" TargetMode="External" /><Relationship Type="http://schemas.openxmlformats.org/officeDocument/2006/relationships/hyperlink" Id="rId61" Target="https://library.wmo.int/idurl/4/35625" TargetMode="External" /><Relationship Type="http://schemas.openxmlformats.org/officeDocument/2006/relationships/hyperlink" Id="rId234" Target="https://library.wmo.int/idurl/4/35703" TargetMode="External" /><Relationship Type="http://schemas.openxmlformats.org/officeDocument/2006/relationships/hyperlink" Id="rId213" Target="https://library.wmo.int/idurl/4/35722" TargetMode="External" /><Relationship Type="http://schemas.openxmlformats.org/officeDocument/2006/relationships/hyperlink" Id="rId228" Target="https://library.wmo.int/idurl/4/35769" TargetMode="External" /><Relationship Type="http://schemas.openxmlformats.org/officeDocument/2006/relationships/hyperlink" Id="rId236" Target="https://library.wmo.int/idurl/4/41585" TargetMode="External" /><Relationship Type="http://schemas.openxmlformats.org/officeDocument/2006/relationships/hyperlink" Id="rId242" Target="https://library.wmo.int/idurl/4/51145" TargetMode="External" /><Relationship Type="http://schemas.openxmlformats.org/officeDocument/2006/relationships/hyperlink" Id="rId232" Target="https://library.wmo.int/idurl/4/55063" TargetMode="External" /><Relationship Type="http://schemas.openxmlformats.org/officeDocument/2006/relationships/hyperlink" Id="rId233" Target="https://library.wmo.int/idurl/4/55696" TargetMode="External" /><Relationship Type="http://schemas.openxmlformats.org/officeDocument/2006/relationships/hyperlink" Id="rId24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9" Target="https://mqtt.org/mqtt-specification/" TargetMode="External" /><Relationship Type="http://schemas.openxmlformats.org/officeDocument/2006/relationships/hyperlink" Id="rId72" Target="https://ogcapi.ogc.org/" TargetMode="External" /><Relationship Type="http://schemas.openxmlformats.org/officeDocument/2006/relationships/hyperlink" Id="rId78" Target="https://ogcapi.ogc.org/coverages" TargetMode="External" /><Relationship Type="http://schemas.openxmlformats.org/officeDocument/2006/relationships/hyperlink" Id="rId74" Target="https://ogcapi.ogc.org/edr" TargetMode="External" /><Relationship Type="http://schemas.openxmlformats.org/officeDocument/2006/relationships/hyperlink" Id="rId76"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199" Target="https://schema.org" TargetMode="External" /><Relationship Type="http://schemas.openxmlformats.org/officeDocument/2006/relationships/hyperlink" Id="rId70" Target="https://spec.openapis.org/oas/v3.1.0" TargetMode="External" /><Relationship Type="http://schemas.openxmlformats.org/officeDocument/2006/relationships/hyperlink" Id="rId93" Target="https://spec.openapis.org/oas/v3.1.0#security-scheme-object" TargetMode="External" /><Relationship Type="http://schemas.openxmlformats.org/officeDocument/2006/relationships/hyperlink" Id="rId64" Target="https://stacspec.org/en" TargetMode="External" /><Relationship Type="http://schemas.openxmlformats.org/officeDocument/2006/relationships/hyperlink" Id="rId67" Target="https://user.eumetsat.int/resources/user-guides/formats"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81" Target="https://wmo.int/world-weather-watch" TargetMode="External" /><Relationship Type="http://schemas.openxmlformats.org/officeDocument/2006/relationships/hyperlink" Id="rId195" Target="https://www.amqp.org/resources/specifications" TargetMode="External" /><Relationship Type="http://schemas.openxmlformats.org/officeDocument/2006/relationships/hyperlink" Id="rId42" Target="https://www.iana.org/assignments/link-relations/link-relations.xhtml" TargetMode="External" /><Relationship Type="http://schemas.openxmlformats.org/officeDocument/2006/relationships/hyperlink" Id="rId66"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6"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2"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30" Target="https://community.wmo.int/news/operational-newsletter" TargetMode="External" /><Relationship Type="http://schemas.openxmlformats.org/officeDocument/2006/relationships/hyperlink" Id="rId130" Target="https://data.iana.org/TLD" TargetMode="External" /><Relationship Type="http://schemas.openxmlformats.org/officeDocument/2006/relationships/hyperlink" Id="rId58" Target="https://datatracker.ietf.org/doc/html/rfc3986" TargetMode="External" /><Relationship Type="http://schemas.openxmlformats.org/officeDocument/2006/relationships/hyperlink" Id="rId122" Target="https://datatracker.ietf.org/doc/html/rfc7231" TargetMode="External" /><Relationship Type="http://schemas.openxmlformats.org/officeDocument/2006/relationships/hyperlink" Id="rId49" Target="https://datatracker.ietf.org/doc/html/rfc7946" TargetMode="External" /><Relationship Type="http://schemas.openxmlformats.org/officeDocument/2006/relationships/hyperlink" Id="rId97" Target="https://docs.aws.amazon.com/AmazonS3/latest/userguide/using-presigned-url.html" TargetMode="External" /><Relationship Type="http://schemas.openxmlformats.org/officeDocument/2006/relationships/hyperlink" Id="rId52" Target="https://docs.ogc.org/DRAFTS/20-004.html" TargetMode="External" /><Relationship Type="http://schemas.openxmlformats.org/officeDocument/2006/relationships/hyperlink" Id="rId144" Target="https://docs.wis2box.wis.wmo.int" TargetMode="External" /><Relationship Type="http://schemas.openxmlformats.org/officeDocument/2006/relationships/hyperlink" Id="rId166" Target="https://github.com/wmo-im/wis2-gdc" TargetMode="External" /><Relationship Type="http://schemas.openxmlformats.org/officeDocument/2006/relationships/hyperlink" Id="rId153" Target="https://github.com/wmo-im/wis2-metric-hierarchy" TargetMode="External" /><Relationship Type="http://schemas.openxmlformats.org/officeDocument/2006/relationships/hyperlink" Id="rId145" Target="https://github.com/wmo-im/wis2box" TargetMode="External" /><Relationship Type="http://schemas.openxmlformats.org/officeDocument/2006/relationships/hyperlink" Id="rId219" Target="https://go-fair.org" TargetMode="External" /><Relationship Type="http://schemas.openxmlformats.org/officeDocument/2006/relationships/hyperlink" Id="rId247" Target="https://library.wmo.int/idurl/4/28988" TargetMode="External" /><Relationship Type="http://schemas.openxmlformats.org/officeDocument/2006/relationships/hyperlink" Id="rId61" Target="https://library.wmo.int/idurl/4/35625" TargetMode="External" /><Relationship Type="http://schemas.openxmlformats.org/officeDocument/2006/relationships/hyperlink" Id="rId234" Target="https://library.wmo.int/idurl/4/35703" TargetMode="External" /><Relationship Type="http://schemas.openxmlformats.org/officeDocument/2006/relationships/hyperlink" Id="rId213" Target="https://library.wmo.int/idurl/4/35722" TargetMode="External" /><Relationship Type="http://schemas.openxmlformats.org/officeDocument/2006/relationships/hyperlink" Id="rId228" Target="https://library.wmo.int/idurl/4/35769" TargetMode="External" /><Relationship Type="http://schemas.openxmlformats.org/officeDocument/2006/relationships/hyperlink" Id="rId236" Target="https://library.wmo.int/idurl/4/41585" TargetMode="External" /><Relationship Type="http://schemas.openxmlformats.org/officeDocument/2006/relationships/hyperlink" Id="rId242" Target="https://library.wmo.int/idurl/4/51145" TargetMode="External" /><Relationship Type="http://schemas.openxmlformats.org/officeDocument/2006/relationships/hyperlink" Id="rId232" Target="https://library.wmo.int/idurl/4/55063" TargetMode="External" /><Relationship Type="http://schemas.openxmlformats.org/officeDocument/2006/relationships/hyperlink" Id="rId233" Target="https://library.wmo.int/idurl/4/55696" TargetMode="External" /><Relationship Type="http://schemas.openxmlformats.org/officeDocument/2006/relationships/hyperlink" Id="rId24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9" Target="https://mqtt.org/mqtt-specification/" TargetMode="External" /><Relationship Type="http://schemas.openxmlformats.org/officeDocument/2006/relationships/hyperlink" Id="rId72" Target="https://ogcapi.ogc.org/" TargetMode="External" /><Relationship Type="http://schemas.openxmlformats.org/officeDocument/2006/relationships/hyperlink" Id="rId78" Target="https://ogcapi.ogc.org/coverages" TargetMode="External" /><Relationship Type="http://schemas.openxmlformats.org/officeDocument/2006/relationships/hyperlink" Id="rId74" Target="https://ogcapi.ogc.org/edr" TargetMode="External" /><Relationship Type="http://schemas.openxmlformats.org/officeDocument/2006/relationships/hyperlink" Id="rId76"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199" Target="https://schema.org" TargetMode="External" /><Relationship Type="http://schemas.openxmlformats.org/officeDocument/2006/relationships/hyperlink" Id="rId70" Target="https://spec.openapis.org/oas/v3.1.0" TargetMode="External" /><Relationship Type="http://schemas.openxmlformats.org/officeDocument/2006/relationships/hyperlink" Id="rId93" Target="https://spec.openapis.org/oas/v3.1.0#security-scheme-object" TargetMode="External" /><Relationship Type="http://schemas.openxmlformats.org/officeDocument/2006/relationships/hyperlink" Id="rId64" Target="https://stacspec.org/en" TargetMode="External" /><Relationship Type="http://schemas.openxmlformats.org/officeDocument/2006/relationships/hyperlink" Id="rId67" Target="https://user.eumetsat.int/resources/user-guides/formats"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81" Target="https://wmo.int/world-weather-watch" TargetMode="External" /><Relationship Type="http://schemas.openxmlformats.org/officeDocument/2006/relationships/hyperlink" Id="rId195" Target="https://www.amqp.org/resources/specifications" TargetMode="External" /><Relationship Type="http://schemas.openxmlformats.org/officeDocument/2006/relationships/hyperlink" Id="rId42" Target="https://www.iana.org/assignments/link-relations/link-relations.xhtml" TargetMode="External" /><Relationship Type="http://schemas.openxmlformats.org/officeDocument/2006/relationships/hyperlink" Id="rId66"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6"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Volume II (APPROVED) - WMO Information System 2.0</dc:title>
  <dc:creator/>
  <cp:keywords/>
  <dcterms:created xsi:type="dcterms:W3CDTF">2026-01-20T13:19:51Z</dcterms:created>
  <dcterms:modified xsi:type="dcterms:W3CDTF">2026-01-20T13:19:51Z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2026-01-20</vt:lpwstr>
  </property>
</Properties>
</file>