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2026-08-18</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The per-component operational criteria are provided in Appendix A to this Guide. Criteria for other types of Global Service will be added in subsequent revisions of this Guide.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 The deduplication mechanism mentioned above applies; only one WME per non-cached data instance shall be generated, regardless of the number of received notification messages.</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SourceCode"/>
      </w:pPr>
      <w:r>
        <w:rPr>
          <w:rStyle w:val="VerbatimChar"/>
        </w:rPr>
        <w:t xml:space="preserve">Additional information to 2.7.2. Performance management and monitoring of a Global Service.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2026-08-18T17:23:08Z</dcterms:created>
  <dcterms:modified xsi:type="dcterms:W3CDTF">2026-08-18T17:23:08Z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2026-08-18</vt:lpwstr>
  </property>
</Properties>
</file>