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5.png" ContentType="image/png"/>
  <Override PartName="/word/media/rId201.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2026-06-17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1.3.0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389c54ef161459295e2409da7e6e7a438d97537">
        <w:r>
          <w:rPr>
            <w:rStyle w:val="Hyperlink"/>
          </w:rPr>
          <w:t xml:space="preserve">???</w:t>
        </w:r>
      </w:hyperlink>
    </w:p>
    <w:p>
      <w:pPr>
        <w:numPr>
          <w:ilvl w:val="0"/>
          <w:numId w:val="1018"/>
        </w:numPr>
      </w:pPr>
      <w:hyperlink w:anchor="Xf0816da4cf7fb19671f2d7fe0d061de4ae60249">
        <w:r>
          <w:rPr>
            <w:rStyle w:val="Hyperlink"/>
          </w:rPr>
          <w:t xml:space="preserve">???</w:t>
        </w:r>
      </w:hyperlink>
    </w:p>
    <w:p>
      <w:pPr>
        <w:numPr>
          <w:ilvl w:val="0"/>
          <w:numId w:val="1018"/>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messages.</w:t>
      </w:r>
    </w:p>
    <w:p>
      <w:pPr>
        <w:numPr>
          <w:ilvl w:val="0"/>
          <w:numId w:val="1028"/>
        </w:numPr>
      </w:pPr>
      <w:r>
        <w:t xml:space="preserve">A Global Broker subscribes to notifications from other Global Brokers to ensure that it receives a copy of all notification messages.</w:t>
      </w:r>
    </w:p>
    <w:p>
      <w:pPr>
        <w:numPr>
          <w:ilvl w:val="0"/>
          <w:numId w:val="1028"/>
        </w:numPr>
      </w:pPr>
      <w:r>
        <w:t xml:space="preserve">A Global Broker republishes notification messages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86"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68" w:name="X6c9286f3864f97cda2ea62bd0fb4492c6ebab7b"/>
    <w:p>
      <w:pPr>
        <w:pStyle w:val="Heading3"/>
      </w:pPr>
      <w:r>
        <w:t xml:space="preserve">2.7.2 Performance management and monitoring of a Global Service</w:t>
      </w:r>
    </w:p>
    <w:bookmarkStart w:id="149"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49"/>
    <w:bookmarkStart w:id="155"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0"/>
      </w:r>
      <w:r>
        <w:t xml:space="preserve"> </w:t>
      </w:r>
      <w:r>
        <w:t xml:space="preserve">– the widely adopted, de-facto standard</w:t>
      </w:r>
      <w:r>
        <w:rPr>
          <w:rStyle w:val="FootnoteReference"/>
        </w:rPr>
        <w:footnoteReference w:id="152"/>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3"/>
      </w:r>
    </w:p>
    <w:bookmarkEnd w:id="155"/>
    <w:bookmarkStart w:id="156"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6"/>
    <w:bookmarkStart w:id="157"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7"/>
    <w:bookmarkStart w:id="158"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8"/>
    <w:bookmarkStart w:id="159"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59"/>
    <w:bookmarkStart w:id="160"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0"/>
    <w:bookmarkStart w:id="164" w:name="X1f2b8056b1bd6aa22a5e64a361c532f9248adb0"/>
    <w:p>
      <w:pPr>
        <w:pStyle w:val="Heading4"/>
      </w:pPr>
      <w:r>
        <w:t xml:space="preserve">2.7.2.8 Remediation and restoration</w:t>
      </w:r>
    </w:p>
    <w:bookmarkStart w:id="161" w:name="Xa6489e71dbb7adf3869f5288cf5cfd57c0adae1"/>
    <w:p>
      <w:pPr>
        <w:pStyle w:val="Heading5"/>
      </w:pPr>
      <w:r>
        <w:t xml:space="preserve">2.7.2.8.1 Deadline for restoring performance</w:t>
      </w:r>
    </w:p>
    <w:p>
      <w:pPr>
        <w:pStyle w:val="FirstParagraph"/>
      </w:pPr>
      <w:r>
        <w:t xml:space="preserve">Following notification under §2.8.2.1 of the Manual,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1"/>
    <w:bookmarkStart w:id="162"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2"/>
    <w:bookmarkStart w:id="163"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3"/>
    <w:bookmarkEnd w:id="164"/>
    <w:bookmarkStart w:id="167" w:name="Xbb196aef4bbe90acded942acff9df772a2bc37d"/>
    <w:p>
      <w:pPr>
        <w:pStyle w:val="Heading4"/>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technical checks corresponding to each criterion are maintained by the WMO Secretariat on behalf of SC-IMT and are published as a technical reference.</w:t>
      </w:r>
    </w:p>
    <w:bookmarkStart w:id="165" w:name="X4aeea2dea805644bc11c7a153267ed928120044"/>
    <w:p>
      <w:pPr>
        <w:pStyle w:val="Heading5"/>
      </w:pPr>
      <w:r>
        <w:t xml:space="preserve">2.7.2.9.1 Global Broker</w:t>
      </w:r>
    </w:p>
    <w:p>
      <w:pPr>
        <w:pStyle w:val="FirstParagraph"/>
      </w:pPr>
      <w:r>
        <w:t xml:space="preserve">The operational status of a Global Broker is assessed against two criteria, both measured through the Sensor Centres for Global Brokers operating in different parts of the globe so as to reduce the influence of localized network conditions or of any individual Sensor Centre. The first criterion, message completeness, is the proportion of the notification messages available on WIS 2.0 that the Global Broker makes available to its subscribers; it is computed for each hour by comparing the number of messages received from the Global Broker by the Sensor Centres against the reference number of messages determined across all Global Brokers. The second criterion, connectivity, is the proportion of the hour during which the public MQTT endpoints of the Global Broker are reachable; it is determined from the connection status recorded by the Sensor Centres for each Global Broker.</w:t>
      </w:r>
    </w:p>
    <w:p>
      <w:pPr>
        <w:pStyle w:val="BodyText"/>
      </w:pPr>
      <w:r>
        <w:t xml:space="preserve">For each hour, the Global Broker is considered operational where both message completeness and connectivity are not less than 95 per cent. The proportion of operational time for the calendar month is computed from these hourly determinations in accordance with section 2.7.2.6. The topic hierarchy conforms with Appendix D of the Manual, and the operational metrics required under §4.7 of the Manual are published. The detailed metric definitions are set out in the technical reference document.</w:t>
      </w:r>
    </w:p>
    <w:p>
      <w:pPr>
        <w:pStyle w:val="BodyText"/>
      </w:pPr>
      <w:r>
        <w:t xml:space="preserve">For a Global Broker, the service level is not less than 99.5 per cent of operational time per calendar month.</w:t>
      </w:r>
    </w:p>
    <w:bookmarkEnd w:id="165"/>
    <w:bookmarkStart w:id="166" w:name="Xa31f67b04273c588471c29ff2749a0cbc79116a"/>
    <w:p>
      <w:pPr>
        <w:pStyle w:val="Heading5"/>
      </w:pPr>
      <w:r>
        <w:t xml:space="preserve">2.7.2.9.2 Global Cache</w:t>
      </w:r>
    </w:p>
    <w:p>
      <w:pPr>
        <w:pStyle w:val="FirstParagraph"/>
      </w:pPr>
      <w:r>
        <w:t xml:space="preserve">The operational status of a Global Cache is assessed against two criteria, both measured through the Sensor Centres for Global Caches operating in different parts of the globe so as to reduce the influence of localized network conditions or of any individual Sensor Centre. The first criterion, cache completeness, is the proportion of data granules required to be cached, that is excluding granules not designated for caching, that are successfully cached by the Global Cache; it is computed for each hour from the metrics published by the Sensor Centres, as the number of messages published less the number of messages missed, divided by the number of messages published. The second criterion, download availability, is the proportion of cached data granules that can be successfully downloaded from the Global Cache; it is computed for each hour from a random sample of cached granules selected and retrieved by each Sensor Centre.</w:t>
      </w:r>
    </w:p>
    <w:p>
      <w:pPr>
        <w:pStyle w:val="BodyText"/>
      </w:pPr>
      <w:r>
        <w:t xml:space="preserve">For each hour, the Global Cache is considered operational where both cache completeness and download availability are not less than 95 per cent. The proportion of operational time for the calendar month is computed from these hourly determinations in accordance with section 2.7.2.6. One hundred per cent of cached data is retained for the period required by Part III of the Manual, and the operational metrics required under §4.7 of the Manual are published. The size of the hourly download sample and the detailed metric definitions are set out in the technical reference document.</w:t>
      </w:r>
    </w:p>
    <w:p>
      <w:pPr>
        <w:pStyle w:val="BodyText"/>
      </w:pPr>
      <w:r>
        <w:t xml:space="preserve">For a Global Cache, the service level is not less than 98 per cent of operational time per calendar month.</w:t>
      </w:r>
    </w:p>
    <w:bookmarkEnd w:id="166"/>
    <w:bookmarkEnd w:id="167"/>
    <w:bookmarkEnd w:id="168"/>
    <w:bookmarkStart w:id="170" w:name="Xfcc4be4805698cc05bd4c15ebadc91a96d644ff"/>
    <w:p>
      <w:pPr>
        <w:pStyle w:val="Heading3"/>
      </w:pPr>
      <w:r>
        <w:t xml:space="preserve">2.7.3 Global Broker</w:t>
      </w:r>
    </w:p>
    <w:bookmarkStart w:id="169"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from at least two other Global Brokers.</w:t>
      </w:r>
    </w:p>
    <w:p>
      <w:pPr>
        <w:numPr>
          <w:ilvl w:val="0"/>
          <w:numId w:val="1049"/>
        </w:numPr>
      </w:pPr>
      <w:r>
        <w:t xml:space="preserve">When subscribing to messages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9"/>
    <w:bookmarkEnd w:id="170"/>
    <w:bookmarkStart w:id="173"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2"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1"/>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2"/>
    <w:bookmarkEnd w:id="173"/>
    <w:bookmarkStart w:id="183" w:name="Xe83d0dcd18513bbe57a5c411a3835908b8c6b21"/>
    <w:p>
      <w:pPr>
        <w:pStyle w:val="Heading3"/>
      </w:pPr>
      <w:r>
        <w:t xml:space="preserve">2.7.5 Global Discovery Catalogue</w:t>
      </w:r>
    </w:p>
    <w:bookmarkStart w:id="180"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4"/>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6"/>
      </w:r>
      <w:r>
        <w:t xml:space="preserve">, providing the following metrics as defined in the WIS2 Metric Hierarchy</w:t>
      </w:r>
      <w:r>
        <w:t xml:space="preserve"> </w:t>
      </w:r>
      <w:r>
        <w:rPr>
          <w:rStyle w:val="FootnoteReference"/>
        </w:rPr>
        <w:footnoteReference w:id="178"/>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80"/>
    <w:bookmarkStart w:id="182"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1">
        <w:r>
          <w:rPr>
            <w:rStyle w:val="Hyperlink"/>
          </w:rPr>
          <w:t xml:space="preserve">https://github.com/wmo-im/wis2-gdc</w:t>
        </w:r>
      </w:hyperlink>
      <w:r>
        <w:t xml:space="preserve">.</w:t>
      </w:r>
    </w:p>
    <w:bookmarkEnd w:id="182"/>
    <w:bookmarkEnd w:id="183"/>
    <w:bookmarkStart w:id="185" w:name="Xb46408fe4668a540edb8ef1c37fe9a479dce153"/>
    <w:p>
      <w:pPr>
        <w:pStyle w:val="Heading3"/>
      </w:pPr>
      <w:r>
        <w:t xml:space="preserve">2.7.6 Global Monitor</w:t>
      </w:r>
    </w:p>
    <w:bookmarkStart w:id="184"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4"/>
    <w:bookmarkEnd w:id="185"/>
    <w:bookmarkEnd w:id="186"/>
    <w:bookmarkStart w:id="221" w:name="X3cda763227efb85ffcf50601bb9e1b297d470ff"/>
    <w:p>
      <w:pPr>
        <w:pStyle w:val="Heading2"/>
      </w:pPr>
      <w:r>
        <w:t xml:space="preserve">2.8 Operations</w:t>
      </w:r>
    </w:p>
    <w:bookmarkStart w:id="220"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2"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7"/>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8"/>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2"/>
        </w:numPr>
      </w:pPr>
      <w:r>
        <w:t xml:space="preserve">Mechanisms used by SWIM to discover service providers and services;</w:t>
      </w:r>
    </w:p>
    <w:p>
      <w:pPr>
        <w:numPr>
          <w:ilvl w:val="0"/>
          <w:numId w:val="1062"/>
        </w:numPr>
      </w:pPr>
      <w:r>
        <w:t xml:space="preserve">Specifications of SWIM data messages;</w:t>
      </w:r>
    </w:p>
    <w:p>
      <w:pPr>
        <w:numPr>
          <w:ilvl w:val="0"/>
          <w:numId w:val="1062"/>
        </w:numPr>
      </w:pPr>
      <w:r>
        <w:t xml:space="preserve">AMQP Message Broker configuration;</w:t>
      </w:r>
    </w:p>
    <w:p>
      <w:pPr>
        <w:numPr>
          <w:ilvl w:val="0"/>
          <w:numId w:val="1062"/>
        </w:numPr>
      </w:pPr>
      <w:r>
        <w:t xml:space="preserve">Operation, logging and monitoring;</w:t>
      </w:r>
    </w:p>
    <w:p>
      <w:pPr>
        <w:numPr>
          <w:ilvl w:val="0"/>
          <w:numId w:val="1062"/>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2"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0" name="Picture"/>
            <a:graphic>
              <a:graphicData uri="http://schemas.openxmlformats.org/drawingml/2006/picture">
                <pic:pic>
                  <pic:nvPicPr>
                    <pic:cNvPr descr="images/wis2-to-swim-temp.png" id="191" name="Picture"/>
                    <pic:cNvPicPr>
                      <a:picLocks noChangeArrowheads="1" noChangeAspect="1"/>
                    </pic:cNvPicPr>
                  </pic:nvPicPr>
                  <pic:blipFill>
                    <a:blip r:embed="rId189"/>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2"/>
    <w:bookmarkStart w:id="194"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3"/>
      </w:r>
      <w:r>
        <w:t xml:space="preserve"> </w:t>
      </w:r>
      <w:r>
        <w:t xml:space="preserve">is to be used for encoding aeronautical meteorological information in SWIM.</w:t>
      </w:r>
    </w:p>
    <w:bookmarkEnd w:id="194"/>
    <w:bookmarkStart w:id="199"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3"/>
        </w:numPr>
      </w:pPr>
      <w:r>
        <w:t xml:space="preserve">May be subject to conditions on use and reuse;</w:t>
      </w:r>
    </w:p>
    <w:p>
      <w:pPr>
        <w:numPr>
          <w:ilvl w:val="0"/>
          <w:numId w:val="1063"/>
        </w:numPr>
      </w:pPr>
      <w:r>
        <w:t xml:space="preserve">May have access controls</w:t>
      </w:r>
      <w:r>
        <w:rPr>
          <w:rStyle w:val="FootnoteReference"/>
        </w:rPr>
        <w:footnoteReference w:id="195"/>
      </w:r>
      <w:r>
        <w:rPr>
          <w:rStyle w:val="FootnoteReference"/>
        </w:rPr>
        <w:footnoteReference w:id="196"/>
      </w:r>
      <w:r>
        <w:t xml:space="preserve"> </w:t>
      </w:r>
      <w:r>
        <w:t xml:space="preserve">applied at the WIS2 Node;</w:t>
      </w:r>
    </w:p>
    <w:p>
      <w:pPr>
        <w:numPr>
          <w:ilvl w:val="0"/>
          <w:numId w:val="1063"/>
        </w:numPr>
      </w:pPr>
      <w:r>
        <w:t xml:space="preserve">Are not cached within WIS2 by the Global Caches.</w:t>
      </w:r>
      <w:r>
        <w:rPr>
          <w:rStyle w:val="FootnoteReference"/>
        </w:rPr>
        <w:footnoteReference w:id="197"/>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4"/>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4"/>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4"/>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5"/>
        </w:numPr>
      </w:pPr>
      <w:r>
        <w:t xml:space="preserve">Publish the data as a resource via a web server (or web service);</w:t>
      </w:r>
    </w:p>
    <w:p>
      <w:pPr>
        <w:numPr>
          <w:ilvl w:val="0"/>
          <w:numId w:val="1065"/>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8"/>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9"/>
    <w:bookmarkStart w:id="208"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0"/>
      </w:r>
    </w:p>
    <w:p>
      <w:pPr>
        <w:pStyle w:val="CaptionedFigure"/>
      </w:pPr>
      <w:r>
        <w:drawing>
          <wp:inline>
            <wp:extent cx="5334000" cy="1838335"/>
            <wp:effectExtent b="0" l="0" r="0" t="0"/>
            <wp:docPr descr="Interactions between the gateway component and the WIS2 and SWIM components" title="" id="202" name="Picture"/>
            <a:graphic>
              <a:graphicData uri="http://schemas.openxmlformats.org/drawingml/2006/picture">
                <pic:pic>
                  <pic:nvPicPr>
                    <pic:cNvPr descr="images/wis2-to-swim-interaction-temp.png" id="203" name="Picture"/>
                    <pic:cNvPicPr>
                      <a:picLocks noChangeArrowheads="1" noChangeAspect="1"/>
                    </pic:cNvPicPr>
                  </pic:nvPicPr>
                  <pic:blipFill>
                    <a:blip r:embed="rId201"/>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6"/>
        </w:numPr>
      </w:pPr>
      <w:r>
        <w:t xml:space="preserve">Subscribe to the pertinent topic(s) for notifications about new</w:t>
      </w:r>
      <w:r>
        <w:t xml:space="preserve"> </w:t>
      </w:r>
      <w:r>
        <w:t xml:space="preserve">aeronautical meteorological information;</w:t>
      </w:r>
      <w:r>
        <w:rPr>
          <w:rStyle w:val="FootnoteReference"/>
        </w:rPr>
        <w:footnoteReference w:id="204"/>
      </w:r>
    </w:p>
    <w:p>
      <w:pPr>
        <w:numPr>
          <w:ilvl w:val="0"/>
          <w:numId w:val="1066"/>
        </w:numPr>
      </w:pPr>
      <w:r>
        <w:t xml:space="preserve">On receipt of notification messages about newly available data:</w:t>
      </w:r>
    </w:p>
    <w:p>
      <w:pPr>
        <w:numPr>
          <w:ilvl w:val="1"/>
          <w:numId w:val="1067"/>
        </w:numPr>
      </w:pPr>
      <w:r>
        <w:t xml:space="preserve">Parse the notification message, discarding duplicate messages already</w:t>
      </w:r>
      <w:r>
        <w:t xml:space="preserve"> </w:t>
      </w:r>
      <w:r>
        <w:t xml:space="preserve">processed;</w:t>
      </w:r>
    </w:p>
    <w:p>
      <w:pPr>
        <w:numPr>
          <w:ilvl w:val="1"/>
          <w:numId w:val="1067"/>
        </w:numPr>
      </w:pPr>
      <w:r>
        <w:t xml:space="preserve">Download the data resource from the WIS2</w:t>
      </w:r>
      <w:r>
        <w:t xml:space="preserve"> </w:t>
      </w:r>
      <w:r>
        <w:t xml:space="preserve">Node</w:t>
      </w:r>
      <w:r>
        <w:rPr>
          <w:rStyle w:val="FootnoteReference"/>
        </w:rPr>
        <w:footnoteReference w:id="205"/>
      </w:r>
      <w:r>
        <w:t xml:space="preserve"> </w:t>
      </w:r>
      <w:r>
        <w:t xml:space="preserve">using the URL in the message - the</w:t>
      </w:r>
      <w:r>
        <w:t xml:space="preserve"> </w:t>
      </w:r>
      <w:r>
        <w:t xml:space="preserve">resource should be in IWXXM format;</w:t>
      </w:r>
    </w:p>
    <w:p>
      <w:pPr>
        <w:numPr>
          <w:ilvl w:val="1"/>
          <w:numId w:val="1067"/>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6"/>
      </w:r>
      <w:r>
        <w:t xml:space="preserve">, and embed the aviation weather data resource</w:t>
      </w:r>
      <w:r>
        <w:t xml:space="preserve"> </w:t>
      </w:r>
      <w:r>
        <w:t xml:space="preserve">within the data message;</w:t>
      </w:r>
    </w:p>
    <w:p>
      <w:pPr>
        <w:numPr>
          <w:ilvl w:val="1"/>
          <w:numId w:val="1067"/>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7"/>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8"/>
    <w:bookmarkStart w:id="211"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9"/>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1"/>
    <w:bookmarkEnd w:id="212"/>
    <w:bookmarkStart w:id="219"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3"/>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8"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6" name="Picture"/>
            <a:graphic>
              <a:graphicData uri="http://schemas.openxmlformats.org/drawingml/2006/picture">
                <pic:pic>
                  <pic:nvPicPr>
                    <pic:cNvPr descr="images/wis2-odis-metadata-discovery-interop.png" id="217" name="Picture"/>
                    <pic:cNvPicPr>
                      <a:picLocks noChangeArrowheads="1" noChangeAspect="1"/>
                    </pic:cNvPicPr>
                  </pic:nvPicPr>
                  <pic:blipFill>
                    <a:blip r:embed="rId215"/>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8"/>
    <w:bookmarkEnd w:id="219"/>
    <w:bookmarkEnd w:id="220"/>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8"/>
        </w:numPr>
      </w:pPr>
      <w:r>
        <w:t xml:space="preserve">provide value added capabilities and insights into WIS2</w:t>
      </w:r>
    </w:p>
    <w:p>
      <w:pPr>
        <w:numPr>
          <w:ilvl w:val="0"/>
          <w:numId w:val="1068"/>
        </w:numPr>
      </w:pPr>
      <w:r>
        <w:t xml:space="preserve">are not required components of WIS2</w:t>
      </w:r>
    </w:p>
    <w:p>
      <w:pPr>
        <w:numPr>
          <w:ilvl w:val="0"/>
          <w:numId w:val="1068"/>
        </w:numPr>
      </w:pPr>
      <w:r>
        <w:t xml:space="preserve">may be provided with various access control policies depending on their scope</w:t>
      </w:r>
    </w:p>
    <w:p>
      <w:pPr>
        <w:pStyle w:val="FirstParagraph"/>
      </w:pPr>
      <w:r>
        <w:t xml:space="preserve">Sensor Centres:</w:t>
      </w:r>
    </w:p>
    <w:p>
      <w:pPr>
        <w:numPr>
          <w:ilvl w:val="0"/>
          <w:numId w:val="1069"/>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organisation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0"/>
        </w:numPr>
      </w:pPr>
      <w:r>
        <w:t xml:space="preserve">Request to host an Additional Component: the "service offer".</w:t>
      </w:r>
    </w:p>
    <w:p>
      <w:pPr>
        <w:numPr>
          <w:ilvl w:val="1"/>
          <w:numId w:val="1071"/>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1"/>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0"/>
        </w:numPr>
      </w:pPr>
      <w:r>
        <w:t xml:space="preserve">Complete the WIS2 Register.</w:t>
      </w:r>
    </w:p>
    <w:p>
      <w:pPr>
        <w:numPr>
          <w:ilvl w:val="1"/>
          <w:numId w:val="1072"/>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0"/>
        </w:numPr>
      </w:pPr>
      <w:r>
        <w:t xml:space="preserve">Provide details of WIS2 components.</w:t>
      </w:r>
    </w:p>
    <w:p>
      <w:pPr>
        <w:numPr>
          <w:ilvl w:val="1"/>
          <w:numId w:val="1073"/>
        </w:numPr>
      </w:pPr>
      <w:r>
        <w:t xml:space="preserve">The Secretariat provides connection details (such as IP addresses or hostnames) for the WIS2 services or components to which Additional Component needs to connect.</w:t>
      </w:r>
    </w:p>
    <w:p>
      <w:pPr>
        <w:numPr>
          <w:ilvl w:val="0"/>
          <w:numId w:val="1070"/>
        </w:numPr>
      </w:pPr>
      <w:r>
        <w:t xml:space="preserve">Additional Component assessment.</w:t>
      </w:r>
    </w:p>
    <w:p>
      <w:pPr>
        <w:numPr>
          <w:ilvl w:val="1"/>
          <w:numId w:val="1074"/>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4"/>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0"/>
        </w:numPr>
      </w:pPr>
      <w:r>
        <w:t xml:space="preserve">Approve the designation of the Additional Component.</w:t>
      </w:r>
    </w:p>
    <w:p>
      <w:pPr>
        <w:numPr>
          <w:ilvl w:val="1"/>
          <w:numId w:val="1075"/>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0"/>
        </w:numPr>
      </w:pPr>
      <w:r>
        <w:t xml:space="preserve">Add new Additional Component to WIS2 (if approved).</w:t>
      </w:r>
    </w:p>
    <w:p>
      <w:pPr>
        <w:numPr>
          <w:ilvl w:val="1"/>
          <w:numId w:val="1076"/>
        </w:numPr>
      </w:pPr>
      <w:r>
        <w:t xml:space="preserve">The Additional Component is added to the list of designated Additional Components maintained and published by the WMO Secretariat.</w:t>
      </w:r>
    </w:p>
    <w:p>
      <w:pPr>
        <w:numPr>
          <w:ilvl w:val="1"/>
          <w:numId w:val="1076"/>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7"/>
        </w:numPr>
      </w:pPr>
      <w:r>
        <w:t xml:space="preserve">WIS2 may include a Global Replay.</w:t>
      </w:r>
    </w:p>
    <w:p>
      <w:pPr>
        <w:numPr>
          <w:ilvl w:val="0"/>
          <w:numId w:val="1077"/>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7"/>
        </w:numPr>
      </w:pPr>
      <w:r>
        <w:t xml:space="preserve">A Global Replay subscribes to all notification messages and monitoring events as published by Global Broker. It stores the notification message and monitoring events.</w:t>
      </w:r>
    </w:p>
    <w:p>
      <w:pPr>
        <w:numPr>
          <w:ilvl w:val="0"/>
          <w:numId w:val="1077"/>
        </w:numPr>
      </w:pPr>
      <w:r>
        <w:t xml:space="preserve">A Global Replay shall store copies of notification messages and monitoring events for a duration compatible with the real-time or near real-time schedule of the data and not less than:</w:t>
      </w:r>
    </w:p>
    <w:p>
      <w:pPr>
        <w:numPr>
          <w:ilvl w:val="1"/>
          <w:numId w:val="1078"/>
        </w:numPr>
      </w:pPr>
      <w:r>
        <w:t xml:space="preserve">1 day for notification messages.</w:t>
      </w:r>
    </w:p>
    <w:p>
      <w:pPr>
        <w:numPr>
          <w:ilvl w:val="1"/>
          <w:numId w:val="1078"/>
        </w:numPr>
      </w:pPr>
      <w:r>
        <w:t xml:space="preserve">7 days for monitoring events.</w:t>
      </w:r>
    </w:p>
    <w:p>
      <w:pPr>
        <w:numPr>
          <w:ilvl w:val="0"/>
          <w:numId w:val="1077"/>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79"/>
        </w:numPr>
      </w:pPr>
      <w:r>
        <w:t xml:space="preserve">The Global Replay provides Global Services and data consumers with a mechanism to search, query and subscribe to notification messages and monitoring events of interest.</w:t>
      </w:r>
    </w:p>
    <w:p>
      <w:pPr>
        <w:numPr>
          <w:ilvl w:val="0"/>
          <w:numId w:val="1079"/>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0"/>
        </w:numPr>
      </w:pPr>
      <w:r>
        <w:t xml:space="preserve">Core</w:t>
      </w:r>
    </w:p>
    <w:p>
      <w:pPr>
        <w:numPr>
          <w:ilvl w:val="1"/>
          <w:numId w:val="1080"/>
        </w:numPr>
      </w:pPr>
      <w:r>
        <w:t xml:space="preserve">GeoJSON</w:t>
      </w:r>
    </w:p>
    <w:p>
      <w:pPr>
        <w:numPr>
          <w:ilvl w:val="0"/>
          <w:numId w:val="1079"/>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1"/>
        </w:numPr>
      </w:pPr>
      <w:r>
        <w:t xml:space="preserve">Core</w:t>
      </w:r>
    </w:p>
    <w:p>
      <w:pPr>
        <w:numPr>
          <w:ilvl w:val="1"/>
          <w:numId w:val="1081"/>
        </w:numPr>
      </w:pPr>
      <w:r>
        <w:t xml:space="preserve">OGC Process Description</w:t>
      </w:r>
    </w:p>
    <w:p>
      <w:pPr>
        <w:numPr>
          <w:ilvl w:val="1"/>
          <w:numId w:val="1081"/>
        </w:numPr>
      </w:pPr>
      <w:r>
        <w:t xml:space="preserve">JSON</w:t>
      </w:r>
    </w:p>
    <w:p>
      <w:pPr>
        <w:numPr>
          <w:ilvl w:val="0"/>
          <w:numId w:val="1079"/>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79"/>
        </w:numPr>
      </w:pPr>
      <w:r>
        <w:t xml:space="preserve">A Global Replay shall use the notification message and monitoring event identifier to deduplicate notifications and events.</w:t>
      </w:r>
    </w:p>
    <w:p>
      <w:pPr>
        <w:numPr>
          <w:ilvl w:val="0"/>
          <w:numId w:val="1079"/>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79"/>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79"/>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2"/>
        </w:numPr>
      </w:pPr>
      <w:r>
        <w:t xml:space="preserve">the API process request accepts the following inputs:</w:t>
      </w:r>
    </w:p>
    <w:p>
      <w:pPr>
        <w:numPr>
          <w:ilvl w:val="2"/>
          <w:numId w:val="1083"/>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3"/>
        </w:numPr>
      </w:pPr>
      <w:r>
        <w:rPr>
          <w:rStyle w:val="VerbatimChar"/>
        </w:rPr>
        <w:t xml:space="preserve">subscriber-id</w:t>
      </w:r>
      <w:r>
        <w:t xml:space="preserve">: a unique identifier (UUID) defined by the user/client. This identifier may be reused.</w:t>
      </w:r>
    </w:p>
    <w:p>
      <w:pPr>
        <w:numPr>
          <w:ilvl w:val="2"/>
          <w:numId w:val="1083"/>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2"/>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4"/>
        </w:numPr>
      </w:pPr>
      <w:r>
        <w:rPr>
          <w:rStyle w:val="VerbatimChar"/>
        </w:rPr>
        <w:t xml:space="preserve">topic</w:t>
      </w:r>
      <w:r>
        <w:t xml:space="preserve"> </w:t>
      </w:r>
      <w:r>
        <w:t xml:space="preserve">is the full topic of the message as previously published to WIS2.</w:t>
      </w:r>
    </w:p>
    <w:p>
      <w:pPr>
        <w:numPr>
          <w:ilvl w:val="1"/>
          <w:numId w:val="1082"/>
        </w:numPr>
      </w:pPr>
      <w:r>
        <w:t xml:space="preserve">the API process will set temporal boundary limits to 15 minutes. When exceeded, it will result in an error message prohibiting the republishing of messages.</w:t>
      </w:r>
    </w:p>
    <w:p>
      <w:pPr>
        <w:numPr>
          <w:ilvl w:val="1"/>
          <w:numId w:val="1082"/>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79"/>
        </w:numPr>
      </w:pPr>
      <w:r>
        <w:t xml:space="preserve">A single Global Replay instance is sufficient for WIS2.</w:t>
      </w:r>
    </w:p>
    <w:p>
      <w:pPr>
        <w:numPr>
          <w:ilvl w:val="0"/>
          <w:numId w:val="1079"/>
        </w:numPr>
      </w:pPr>
      <w:r>
        <w:t xml:space="preserve">Multiple Global Replay instances may be deployed for resilience.</w:t>
      </w:r>
    </w:p>
    <w:p>
      <w:pPr>
        <w:numPr>
          <w:ilvl w:val="0"/>
          <w:numId w:val="1079"/>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79"/>
        </w:numPr>
      </w:pPr>
      <w:r>
        <w:t xml:space="preserve">A Global Replay is populated with notification messages and monitoring events received via a Global Broker instance.</w:t>
      </w:r>
    </w:p>
    <w:p>
      <w:pPr>
        <w:numPr>
          <w:ilvl w:val="0"/>
          <w:numId w:val="1079"/>
        </w:numPr>
      </w:pPr>
      <w:r>
        <w:t xml:space="preserve">A Global Replay is connected to at least two (2) Global Brokers.</w:t>
      </w:r>
    </w:p>
    <w:p>
      <w:pPr>
        <w:numPr>
          <w:ilvl w:val="0"/>
          <w:numId w:val="1079"/>
        </w:numPr>
      </w:pPr>
      <w:r>
        <w:t xml:space="preserve">A Global Replay instance will discard duplicate messages as needed.</w:t>
      </w:r>
    </w:p>
    <w:p>
      <w:pPr>
        <w:numPr>
          <w:ilvl w:val="0"/>
          <w:numId w:val="1079"/>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79"/>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79"/>
        </w:numPr>
      </w:pPr>
      <w:r>
        <w:t xml:space="preserve">A Global Replay will remove notification messages after the required retention period.</w:t>
      </w:r>
    </w:p>
    <w:p>
      <w:pPr>
        <w:numPr>
          <w:ilvl w:val="0"/>
          <w:numId w:val="1079"/>
        </w:numPr>
      </w:pPr>
      <w:r>
        <w:t xml:space="preserve">A Global Replay will remove monitoring events after the required retention period.</w:t>
      </w:r>
    </w:p>
    <w:p>
      <w:pPr>
        <w:numPr>
          <w:ilvl w:val="0"/>
          <w:numId w:val="1079"/>
        </w:numPr>
      </w:pPr>
      <w:r>
        <w:t xml:space="preserve">A Global Replay may choose to implement access control for controlling usage.</w:t>
      </w:r>
    </w:p>
    <w:p>
      <w:pPr>
        <w:numPr>
          <w:ilvl w:val="0"/>
          <w:numId w:val="1079"/>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5"/>
        </w:numPr>
      </w:pPr>
      <w:r>
        <w:t xml:space="preserve">notification messages and monitoring event subscription from a Global Broker insrtance</w:t>
      </w:r>
    </w:p>
    <w:p>
      <w:pPr>
        <w:numPr>
          <w:ilvl w:val="0"/>
          <w:numId w:val="1085"/>
        </w:numPr>
      </w:pPr>
      <w:r>
        <w:t xml:space="preserve">notification message and monitoring event ingest and API publication</w:t>
      </w:r>
    </w:p>
    <w:p>
      <w:pPr>
        <w:numPr>
          <w:ilvl w:val="0"/>
          <w:numId w:val="1085"/>
        </w:numPr>
      </w:pPr>
      <w:r>
        <w:t xml:space="preserve">user defined subscription for MQTT message replay from a Global Broker instance</w:t>
      </w:r>
    </w:p>
    <w:p>
      <w:pPr>
        <w:numPr>
          <w:ilvl w:val="0"/>
          <w:numId w:val="1085"/>
        </w:numPr>
      </w:pPr>
      <w:r>
        <w:t xml:space="preserve">OGC API - Features - Part 1: Core compliance</w:t>
      </w:r>
    </w:p>
    <w:p>
      <w:pPr>
        <w:numPr>
          <w:ilvl w:val="0"/>
          <w:numId w:val="1085"/>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6"/>
        </w:numPr>
      </w:pPr>
      <w:r>
        <w:t xml:space="preserve">the quality and performance of Global Services</w:t>
      </w:r>
    </w:p>
    <w:p>
      <w:pPr>
        <w:numPr>
          <w:ilvl w:val="0"/>
          <w:numId w:val="1086"/>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7"/>
        </w:numPr>
      </w:pPr>
      <w:r>
        <w:t xml:space="preserve">The SCGB will connect to all Global Brokers.</w:t>
      </w:r>
    </w:p>
    <w:p>
      <w:pPr>
        <w:numPr>
          <w:ilvl w:val="0"/>
          <w:numId w:val="1087"/>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7"/>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7"/>
        </w:numPr>
      </w:pPr>
      <w:r>
        <w:t xml:space="preserve">When a message is received on a subscription,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8"/>
        </w:numPr>
      </w:pPr>
      <w:r>
        <w:t xml:space="preserve">what is the average delay to cache the data made available by WIS2 Node</w:t>
      </w:r>
    </w:p>
    <w:p>
      <w:pPr>
        <w:numPr>
          <w:ilvl w:val="0"/>
          <w:numId w:val="1088"/>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8"/>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89"/>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0"/>
        </w:numPr>
      </w:pPr>
      <w:r>
        <w:t xml:space="preserve">Discard the Notification Message if is it</w:t>
      </w:r>
      <w:r>
        <w:t xml:space="preserve"> </w:t>
      </w:r>
      <w:r>
        <w:rPr>
          <w:rStyle w:val="VerbatimChar"/>
        </w:rPr>
        <w:t xml:space="preserve">recommended</w:t>
      </w:r>
      <w:r>
        <w:t xml:space="preserve"> </w:t>
      </w:r>
      <w:r>
        <w:t xml:space="preserve">data as it will not be cached</w:t>
      </w:r>
    </w:p>
    <w:p>
      <w:pPr>
        <w:numPr>
          <w:ilvl w:val="0"/>
          <w:numId w:val="1090"/>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0"/>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90"/>
        </w:numPr>
      </w:pPr>
      <w:r>
        <w:t xml:space="preserve">Store the time where the message as been received</w:t>
      </w:r>
    </w:p>
    <w:p>
      <w:pPr>
        <w:numPr>
          <w:ilvl w:val="0"/>
          <w:numId w:val="1090"/>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 `properties.global-cache`value to select the Global Cache:</w:t>
      </w:r>
    </w:p>
    <w:p>
      <w:pPr>
        <w:numPr>
          <w:ilvl w:val="0"/>
          <w:numId w:val="1091"/>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2"/>
        </w:numPr>
      </w:pPr>
      <w:r>
        <w:t xml:space="preserve">For each Notification Message and using</w:t>
      </w:r>
      <w:r>
        <w:t xml:space="preserve"> </w:t>
      </w:r>
      <w:r>
        <w:rPr>
          <w:rStyle w:val="VerbatimChar"/>
        </w:rPr>
        <w:t xml:space="preserve">data_id</w:t>
      </w:r>
      <w:r>
        <w:t xml:space="preserve">, make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2"/>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2"/>
        </w:numPr>
      </w:pPr>
      <w:r>
        <w:t xml:space="preserve">Compare this value with the three threshold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that 300s, less than 600s)</w:t>
      </w:r>
    </w:p>
    <w:p>
      <w:pPr>
        <w:numPr>
          <w:ilvl w:val="0"/>
          <w:numId w:val="1091"/>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3"/>
        </w:numPr>
      </w:pPr>
      <w:r>
        <w:t xml:space="preserve">Select randomly every minute a sample of at least 5 data granules successfully cached by all Global Caches</w:t>
      </w:r>
    </w:p>
    <w:p>
      <w:pPr>
        <w:numPr>
          <w:ilvl w:val="0"/>
          <w:numId w:val="1093"/>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3"/>
        </w:numPr>
      </w:pPr>
      <w:r>
        <w:t xml:space="preserve">Attempt a download for that same granule against all Global Caches</w:t>
      </w:r>
    </w:p>
    <w:p>
      <w:pPr>
        <w:numPr>
          <w:ilvl w:val="0"/>
          <w:numId w:val="1093"/>
        </w:numPr>
      </w:pPr>
      <w:r>
        <w:t xml:space="preserve">Increment</w:t>
      </w:r>
      <w:r>
        <w:t xml:space="preserve"> </w:t>
      </w:r>
      <w:r>
        <w:rPr>
          <w:rStyle w:val="VerbatimChar"/>
        </w:rPr>
        <w:t xml:space="preserve">wmo_wis2_scgc_download_successful_total</w:t>
      </w:r>
      <w:r>
        <w:t xml:space="preserve"> </w:t>
      </w:r>
      <w:r>
        <w:t xml:space="preserve">by 1 if the download is succesful</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4"/>
        </w:numPr>
      </w:pPr>
      <w:r>
        <w:t xml:space="preserve">the centre-id</w:t>
      </w:r>
    </w:p>
    <w:p>
      <w:pPr>
        <w:numPr>
          <w:ilvl w:val="0"/>
          <w:numId w:val="1094"/>
        </w:numPr>
      </w:pPr>
      <w:r>
        <w:t xml:space="preserve">the full topic where the WIS2 Notification Message has been originally published</w:t>
      </w:r>
    </w:p>
    <w:p>
      <w:pPr>
        <w:numPr>
          <w:ilvl w:val="0"/>
          <w:numId w:val="1094"/>
        </w:numPr>
      </w:pPr>
      <w:r>
        <w:t xml:space="preserve">the full WIS2 Notification Message as published by the origin centre-id</w:t>
      </w:r>
    </w:p>
    <w:p>
      <w:pPr>
        <w:numPr>
          <w:ilvl w:val="0"/>
          <w:numId w:val="1094"/>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4"/>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5"/>
        </w:numPr>
      </w:pPr>
      <w:r>
        <w:t xml:space="preserve">The SCGDC will connect to a minimum of two Global Brokers.</w:t>
      </w:r>
    </w:p>
    <w:p>
      <w:pPr>
        <w:numPr>
          <w:ilvl w:val="0"/>
          <w:numId w:val="1095"/>
        </w:numPr>
      </w:pPr>
      <w:r>
        <w:t xml:space="preserve">The SCGDC subscribes to the metadata topic for all GDCs, by one of the following methods:</w:t>
      </w:r>
    </w:p>
    <w:p>
      <w:pPr>
        <w:numPr>
          <w:ilvl w:val="1"/>
          <w:numId w:val="1096"/>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6"/>
        </w:numPr>
      </w:pPr>
      <w:r>
        <w:t xml:space="preserve">subscribing to each GDC via</w:t>
      </w:r>
      <w:r>
        <w:t xml:space="preserve"> </w:t>
      </w:r>
      <w:r>
        <w:rPr>
          <w:rStyle w:val="VerbatimChar"/>
        </w:rPr>
        <w:t xml:space="preserve">cache/a/wis2/centre-id/metadata</w:t>
      </w:r>
      <w:r>
        <w:t xml:space="preserve">.</w:t>
      </w:r>
    </w:p>
    <w:p>
      <w:pPr>
        <w:numPr>
          <w:ilvl w:val="0"/>
          <w:numId w:val="1095"/>
        </w:numPr>
      </w:pPr>
      <w:r>
        <w:t xml:space="preserve">The SCGDC will use the link provided in the WIS2 Notification Message received to download the zip file published by the GDC.</w:t>
      </w:r>
    </w:p>
    <w:p>
      <w:pPr>
        <w:numPr>
          <w:ilvl w:val="0"/>
          <w:numId w:val="1095"/>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5"/>
        </w:numPr>
      </w:pPr>
      <w:r>
        <w:t xml:space="preserve">Once a day, the SCGDC will analyze the content of the latest zip files received across all GDCs</w:t>
      </w:r>
    </w:p>
    <w:p>
      <w:pPr>
        <w:numPr>
          <w:ilvl w:val="1"/>
          <w:numId w:val="1097"/>
        </w:numPr>
      </w:pPr>
      <w:r>
        <w:t xml:space="preserve">Files older than 24 hours will not be analyzed.</w:t>
      </w:r>
    </w:p>
    <w:p>
      <w:pPr>
        <w:numPr>
          <w:ilvl w:val="0"/>
          <w:numId w:val="1095"/>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5"/>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5"/>
        </w:numPr>
      </w:pPr>
      <w:r>
        <w:t xml:space="preserve">For each record, the SCGDC will:</w:t>
      </w:r>
    </w:p>
    <w:p>
      <w:pPr>
        <w:numPr>
          <w:ilvl w:val="1"/>
          <w:numId w:val="1098"/>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8"/>
        </w:numPr>
      </w:pPr>
      <w:r>
        <w:t xml:space="preserve">validate the record against the latest approved version of WCMP2</w:t>
      </w:r>
    </w:p>
    <w:p>
      <w:pPr>
        <w:numPr>
          <w:ilvl w:val="2"/>
          <w:numId w:val="1099"/>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8"/>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8"/>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8"/>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0"/>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8"/>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5"/>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102"/>
        </w:numPr>
      </w:pPr>
      <w:r>
        <w:t xml:space="preserve">Planning, information creation and acquisition. The creation of information using internal and external data sources and the acquisition of information from various sources.</w:t>
      </w:r>
    </w:p>
    <w:p>
      <w:pPr>
        <w:numPr>
          <w:ilvl w:val="0"/>
          <w:numId w:val="1102"/>
        </w:numPr>
      </w:pPr>
      <w:r>
        <w:t xml:space="preserve">Representation and metadata. The use of standards to represent metadata, data and information; this is of primary importance to enable the interoperability and long-term usability of the information.</w:t>
      </w:r>
    </w:p>
    <w:p>
      <w:pPr>
        <w:numPr>
          <w:ilvl w:val="0"/>
          <w:numId w:val="1102"/>
        </w:numPr>
      </w:pPr>
      <w:r>
        <w:t xml:space="preserve">Publication and exchange of information. The creation and publication of discovery metadata in a standardized format, enabling users to discover, access and retrieve the information.</w:t>
      </w:r>
    </w:p>
    <w:p>
      <w:pPr>
        <w:numPr>
          <w:ilvl w:val="0"/>
          <w:numId w:val="1102"/>
        </w:numPr>
      </w:pPr>
      <w:r>
        <w:t xml:space="preserve">Usage and communication. The publication of guidance material on the use of published information, including on the limitations and suitability of the information and any licensing terms.</w:t>
      </w:r>
    </w:p>
    <w:p>
      <w:pPr>
        <w:numPr>
          <w:ilvl w:val="0"/>
          <w:numId w:val="1102"/>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3"/>
        </w:numPr>
      </w:pPr>
      <w:r>
        <w:t xml:space="preserve">Information producers or creators (those who produce or acquire the information) - they need to ensure the scientific quality of the underpinning information;</w:t>
      </w:r>
    </w:p>
    <w:p>
      <w:pPr>
        <w:numPr>
          <w:ilvl w:val="0"/>
          <w:numId w:val="1103"/>
        </w:numPr>
      </w:pPr>
      <w:r>
        <w:t xml:space="preserve">Information managers (those who manage the information);</w:t>
      </w:r>
    </w:p>
    <w:p>
      <w:pPr>
        <w:numPr>
          <w:ilvl w:val="0"/>
          <w:numId w:val="1103"/>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3"/>
        </w:numPr>
      </w:pPr>
      <w:r>
        <w:t xml:space="preserve">Service providers (those who disseminate the information) - they are responsible for ensuring information availability and maintaining capability for easy and secure access to the information;</w:t>
      </w:r>
    </w:p>
    <w:p>
      <w:pPr>
        <w:numPr>
          <w:ilvl w:val="0"/>
          <w:numId w:val="1103"/>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4"/>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4"/>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5"/>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5"/>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5"/>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6"/>
        </w:numPr>
      </w:pPr>
      <w:r>
        <w:t xml:space="preserve">Information should be developed and managed in accordance with its function and use for internal and external users.</w:t>
      </w:r>
    </w:p>
    <w:p>
      <w:pPr>
        <w:numPr>
          <w:ilvl w:val="0"/>
          <w:numId w:val="1106"/>
        </w:numPr>
      </w:pPr>
      <w:r>
        <w:t xml:space="preserve">WMO centres should regularly assess information to ensure that it is fit for its purpose and that the related processes, procedures and documentation are adequate.</w:t>
      </w:r>
    </w:p>
    <w:p>
      <w:pPr>
        <w:numPr>
          <w:ilvl w:val="0"/>
          <w:numId w:val="1106"/>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7"/>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7"/>
        </w:numPr>
      </w:pPr>
      <w:r>
        <w:t xml:space="preserve">Standardization is essential for structured information such as dataset definitions and metadata to support interoperability.</w:t>
      </w:r>
    </w:p>
    <w:p>
      <w:pPr>
        <w:numPr>
          <w:ilvl w:val="0"/>
          <w:numId w:val="1107"/>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7"/>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7"/>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8"/>
        </w:numPr>
      </w:pPr>
      <w:r>
        <w:t xml:space="preserve">WMO centres should comprehensively document information processes, policies, and procedures to facilitate broad and long-term use.</w:t>
      </w:r>
    </w:p>
    <w:p>
      <w:pPr>
        <w:numPr>
          <w:ilvl w:val="0"/>
          <w:numId w:val="1108"/>
        </w:numPr>
      </w:pPr>
      <w:r>
        <w:t xml:space="preserve">WMO centres should keep documentation up to date to ensure full traceability of processes along the information life cycle, particularly for its creation.</w:t>
      </w:r>
    </w:p>
    <w:p>
      <w:pPr>
        <w:numPr>
          <w:ilvl w:val="0"/>
          <w:numId w:val="1108"/>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09"/>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09"/>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0"/>
        </w:numPr>
      </w:pPr>
      <w:r>
        <w:t xml:space="preserve">In order to maximize the economic benefits of an information asset, it should be made as widely available and as accessible as possible.</w:t>
      </w:r>
    </w:p>
    <w:p>
      <w:pPr>
        <w:numPr>
          <w:ilvl w:val="0"/>
          <w:numId w:val="1110"/>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0"/>
        </w:numPr>
      </w:pPr>
      <w:r>
        <w:t xml:space="preserve">The publisher should provide an explicit and well-defined licence for each information item or dataset as part of the associated metadata.</w:t>
      </w:r>
    </w:p>
    <w:p>
      <w:pPr>
        <w:numPr>
          <w:ilvl w:val="0"/>
          <w:numId w:val="1110"/>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1"/>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2"/>
        </w:numPr>
      </w:pPr>
      <w:r>
        <w:t xml:space="preserve">The implementation of general information management practices, procedures and protocols, including well-defined roles, responsibilities and restrictions on managing the information;</w:t>
      </w:r>
    </w:p>
    <w:p>
      <w:pPr>
        <w:numPr>
          <w:ilvl w:val="1"/>
          <w:numId w:val="1112"/>
        </w:numPr>
      </w:pPr>
      <w:r>
        <w:t xml:space="preserve">The definition and enforcement of an appropriate retention policy, taking into account stakeholder needs and variations in value over the information life cycle;</w:t>
      </w:r>
    </w:p>
    <w:p>
      <w:pPr>
        <w:numPr>
          <w:ilvl w:val="1"/>
          <w:numId w:val="1112"/>
        </w:numPr>
      </w:pPr>
      <w:r>
        <w:t xml:space="preserve">The establishment of licensing and the definition and enforcement of any access restrictions.</w:t>
      </w:r>
    </w:p>
    <w:p>
      <w:pPr>
        <w:numPr>
          <w:ilvl w:val="1"/>
          <w:numId w:val="1112"/>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3"/>
        </w:numPr>
      </w:pPr>
      <w:r>
        <w:t xml:space="preserve">Planning, creation and acquisition;</w:t>
      </w:r>
    </w:p>
    <w:p>
      <w:pPr>
        <w:numPr>
          <w:ilvl w:val="0"/>
          <w:numId w:val="1113"/>
        </w:numPr>
      </w:pPr>
      <w:r>
        <w:t xml:space="preserve">Representation and metadata;</w:t>
      </w:r>
    </w:p>
    <w:p>
      <w:pPr>
        <w:numPr>
          <w:ilvl w:val="0"/>
          <w:numId w:val="1113"/>
        </w:numPr>
      </w:pPr>
      <w:r>
        <w:t xml:space="preserve">Publication and exchange;</w:t>
      </w:r>
    </w:p>
    <w:p>
      <w:pPr>
        <w:numPr>
          <w:ilvl w:val="0"/>
          <w:numId w:val="1113"/>
        </w:numPr>
      </w:pPr>
      <w:r>
        <w:t xml:space="preserve">Usage and communication;</w:t>
      </w:r>
    </w:p>
    <w:p>
      <w:pPr>
        <w:numPr>
          <w:ilvl w:val="0"/>
          <w:numId w:val="1113"/>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4"/>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4"/>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4"/>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5"/>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5"/>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6"/>
        </w:numPr>
      </w:pPr>
      <w:r>
        <w:t xml:space="preserve">Why the information is required;</w:t>
      </w:r>
    </w:p>
    <w:p>
      <w:pPr>
        <w:numPr>
          <w:ilvl w:val="0"/>
          <w:numId w:val="1116"/>
        </w:numPr>
      </w:pPr>
      <w:r>
        <w:t xml:space="preserve">How it will be collected or created;</w:t>
      </w:r>
    </w:p>
    <w:p>
      <w:pPr>
        <w:numPr>
          <w:ilvl w:val="0"/>
          <w:numId w:val="1116"/>
        </w:numPr>
      </w:pPr>
      <w:r>
        <w:t xml:space="preserve">How it will be stored;</w:t>
      </w:r>
    </w:p>
    <w:p>
      <w:pPr>
        <w:numPr>
          <w:ilvl w:val="0"/>
          <w:numId w:val="1116"/>
        </w:numPr>
      </w:pPr>
      <w:r>
        <w:t xml:space="preserve">Whether it will be exchanged with other users and under what policy;</w:t>
      </w:r>
    </w:p>
    <w:p>
      <w:pPr>
        <w:numPr>
          <w:ilvl w:val="0"/>
          <w:numId w:val="1116"/>
        </w:numPr>
      </w:pPr>
      <w:r>
        <w:t xml:space="preserve">Where it should be submitted for long-term archival;</w:t>
      </w:r>
    </w:p>
    <w:p>
      <w:pPr>
        <w:numPr>
          <w:ilvl w:val="0"/>
          <w:numId w:val="1116"/>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7"/>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7"/>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8"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8"/>
        </w:numPr>
      </w:pPr>
      <w:r>
        <w:rPr>
          <w:iCs/>
          <w:i/>
        </w:rPr>
        <w:t xml:space="preserve">Guide to Information Technology Security</w:t>
      </w:r>
      <w:r>
        <w:t xml:space="preserve"> </w:t>
      </w:r>
      <w:r>
        <w:t xml:space="preserve">(WMO-No. 1115);</w:t>
      </w:r>
    </w:p>
    <w:p>
      <w:pPr>
        <w:numPr>
          <w:ilvl w:val="0"/>
          <w:numId w:val="1118"/>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88"/>
    <w:bookmarkStart w:id="292"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89">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0">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291">
              <w:r>
                <w:rPr>
                  <w:rStyle w:val="Hyperlink"/>
                </w:rPr>
                <w:t xml:space="preserve">See GitHub</w:t>
              </w:r>
            </w:hyperlink>
          </w:p>
        </w:tc>
        <w:tc>
          <w:tcPr/>
          <w:p>
            <w:pPr>
              <w:jc w:val="left"/>
            </w:pPr>
            <w:r>
              <w:t xml:space="preserve">Fast-track 2026-1</w:t>
            </w:r>
          </w:p>
        </w:tc>
      </w:tr>
    </w:tbl>
    <w:bookmarkEnd w:id="292"/>
    <w:bookmarkStart w:id="293"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0">
    <w:p>
      <w:pPr>
        <w:pStyle w:val="FootnoteText"/>
      </w:pPr>
      <w:r>
        <w:rPr>
          <w:rStyle w:val="FootnoteReference"/>
        </w:rPr>
        <w:footnoteRef/>
      </w:r>
      <w:r>
        <w:t xml:space="preserve"> </w:t>
      </w:r>
      <w:r>
        <w:t xml:space="preserve">See OpenMetrics:</w:t>
      </w:r>
      <w:r>
        <w:t xml:space="preserve"> </w:t>
      </w:r>
      <w:hyperlink r:id="rId151">
        <w:r>
          <w:rPr>
            <w:rStyle w:val="Hyperlink"/>
          </w:rPr>
          <w:t xml:space="preserve">https://openmetrics.io</w:t>
        </w:r>
      </w:hyperlink>
      <w:r>
        <w:t xml:space="preserve">.</w:t>
      </w:r>
    </w:p>
  </w:footnote>
  <w:footnote w:id="152">
    <w:p>
      <w:pPr>
        <w:pStyle w:val="FootnoteText"/>
      </w:pPr>
      <w:r>
        <w:rPr>
          <w:rStyle w:val="FootnoteReference"/>
        </w:rPr>
        <w:footnoteRef/>
      </w:r>
      <w:r>
        <w:t xml:space="preserve"> </w:t>
      </w:r>
      <w:r>
        <w:t xml:space="preserve">OpenMetrics is proposed as a draft standard within the Internet Engineering Task Force (IETF).</w:t>
      </w:r>
    </w:p>
  </w:footnote>
  <w:footnote w:id="153">
    <w:p>
      <w:pPr>
        <w:pStyle w:val="FootnoteText"/>
      </w:pPr>
      <w:r>
        <w:rPr>
          <w:rStyle w:val="FootnoteReference"/>
        </w:rPr>
        <w:footnoteRef/>
      </w:r>
      <w:r>
        <w:t xml:space="preserve"> </w:t>
      </w:r>
      <w:r>
        <w:t xml:space="preserve">See</w:t>
      </w:r>
      <w:r>
        <w:t xml:space="preserve"> </w:t>
      </w:r>
      <w:hyperlink r:id="rId154">
        <w:r>
          <w:rPr>
            <w:rStyle w:val="Hyperlink"/>
          </w:rPr>
          <w:t xml:space="preserve">https://github.com/wmo-im/wis2-metric-hierarchy</w:t>
        </w:r>
      </w:hyperlink>
      <w:r>
        <w:t xml:space="preserve">.</w:t>
      </w:r>
    </w:p>
  </w:footnote>
  <w:footnote w:id="171">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4">
    <w:p>
      <w:pPr>
        <w:pStyle w:val="FootnoteText"/>
      </w:pPr>
      <w:r>
        <w:rPr>
          <w:rStyle w:val="FootnoteReference"/>
        </w:rPr>
        <w:footnoteRef/>
      </w:r>
      <w:r>
        <w:t xml:space="preserve"> </w:t>
      </w:r>
      <w:r>
        <w:t xml:space="preserve">See OGC-API Records - Part 1</w:t>
      </w:r>
      <w:r>
        <w:t xml:space="preserve"> </w:t>
      </w:r>
      <w:hyperlink r:id="rId175">
        <w:r>
          <w:rPr>
            <w:rStyle w:val="Hyperlink"/>
          </w:rPr>
          <w:t xml:space="preserve">https://docs.ogc.org/is/20-004r1/20-004r1.html</w:t>
        </w:r>
      </w:hyperlink>
      <w:r>
        <w:t xml:space="preserve">.</w:t>
      </w:r>
    </w:p>
  </w:footnote>
  <w:footnote w:id="176">
    <w:p>
      <w:pPr>
        <w:pStyle w:val="FootnoteText"/>
      </w:pPr>
      <w:r>
        <w:rPr>
          <w:rStyle w:val="FootnoteReference"/>
        </w:rPr>
        <w:footnoteRef/>
      </w:r>
      <w:r>
        <w:t xml:space="preserve"> </w:t>
      </w:r>
      <w:hyperlink r:id="rId177">
        <w:r>
          <w:rPr>
            <w:rStyle w:val="Hyperlink"/>
          </w:rPr>
          <w:t xml:space="preserve">https://wmo-im.github.io/wcmp2/kpi/wcmp2-kpi-STABLE.html</w:t>
        </w:r>
      </w:hyperlink>
    </w:p>
  </w:footnote>
  <w:footnote w:id="178">
    <w:p>
      <w:pPr>
        <w:pStyle w:val="FootnoteText"/>
      </w:pPr>
      <w:r>
        <w:rPr>
          <w:rStyle w:val="FootnoteReference"/>
        </w:rPr>
        <w:footnoteRef/>
      </w:r>
      <w:r>
        <w:t xml:space="preserve"> </w:t>
      </w:r>
      <w:hyperlink r:id="rId179">
        <w:r>
          <w:rPr>
            <w:rStyle w:val="Hyperlink"/>
          </w:rPr>
          <w:t xml:space="preserve">https://github.com/wmo-im/wis2-metric-hierarchy/blob/main/metrics/gdc.csv</w:t>
        </w:r>
      </w:hyperlink>
    </w:p>
  </w:footnote>
  <w:footnote w:id="187">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8">
    <w:p>
      <w:pPr>
        <w:pStyle w:val="FootnoteText"/>
      </w:pPr>
      <w:r>
        <w:rPr>
          <w:rStyle w:val="FootnoteReference"/>
        </w:rPr>
        <w:footnoteRef/>
      </w:r>
      <w:r>
        <w:t xml:space="preserve"> </w:t>
      </w:r>
      <w:r>
        <w:t xml:space="preserve">AMQP 1.0 is one of the protocols proposed in the draft PANS-IM.</w:t>
      </w:r>
    </w:p>
  </w:footnote>
  <w:footnote w:id="193">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5">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6">
    <w:p>
      <w:pPr>
        <w:pStyle w:val="FootnoteText"/>
      </w:pPr>
      <w:r>
        <w:rPr>
          <w:rStyle w:val="FootnoteReference"/>
        </w:rPr>
        <w:footnoteRef/>
      </w:r>
      <w:r>
        <w:t xml:space="preserve"> </w:t>
      </w:r>
      <w:r>
        <w:t xml:space="preserve">WIS2 does not provide any guidance on use of Public Key Infrastructure (PKI).</w:t>
      </w:r>
    </w:p>
  </w:footnote>
  <w:footnote w:id="197">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8">
    <w:p>
      <w:pPr>
        <w:pStyle w:val="FootnoteText"/>
      </w:pPr>
      <w:r>
        <w:rPr>
          <w:rStyle w:val="FootnoteReference"/>
        </w:rPr>
        <w:footnoteRef/>
      </w:r>
      <w:r>
        <w:t xml:space="preserve"> </w:t>
      </w:r>
      <w:r>
        <w:t xml:space="preserve">Where the data resource does not exceed 4 Kb, it may be embedded in the notification message.</w:t>
      </w:r>
    </w:p>
  </w:footnote>
  <w:footnote w:id="200">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4">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5">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6">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7">
    <w:p>
      <w:pPr>
        <w:pStyle w:val="FootnoteText"/>
      </w:pPr>
      <w:r>
        <w:rPr>
          <w:rStyle w:val="FootnoteReference"/>
        </w:rPr>
        <w:footnoteRef/>
      </w:r>
      <w:r>
        <w:t xml:space="preserve"> </w:t>
      </w:r>
      <w:r>
        <w:t xml:space="preserve">See OpenMetrics:</w:t>
      </w:r>
      <w:r>
        <w:t xml:space="preserve"> </w:t>
      </w:r>
      <w:hyperlink r:id="rId151">
        <w:r>
          <w:rPr>
            <w:rStyle w:val="Hyperlink"/>
          </w:rPr>
          <w:t xml:space="preserve">https://openmetrics.io</w:t>
        </w:r>
      </w:hyperlink>
      <w:r>
        <w:t xml:space="preserve">.</w:t>
      </w:r>
    </w:p>
  </w:footnote>
  <w:footnote w:id="209">
    <w:p>
      <w:pPr>
        <w:pStyle w:val="FootnoteText"/>
      </w:pPr>
      <w:r>
        <w:rPr>
          <w:rStyle w:val="FootnoteReference"/>
        </w:rPr>
        <w:footnoteRef/>
      </w:r>
      <w:r>
        <w:t xml:space="preserve"> </w:t>
      </w:r>
      <w:r>
        <w:t xml:space="preserve">See AMQP 1.0:</w:t>
      </w:r>
      <w:r>
        <w:t xml:space="preserve"> </w:t>
      </w:r>
      <w:hyperlink r:id="rId210">
        <w:r>
          <w:rPr>
            <w:rStyle w:val="Hyperlink"/>
          </w:rPr>
          <w:t xml:space="preserve">https://www.amqp.org/resources/specifications</w:t>
        </w:r>
      </w:hyperlink>
      <w:r>
        <w:t xml:space="preserve">.</w:t>
      </w:r>
    </w:p>
  </w:footnote>
  <w:footnote w:id="213">
    <w:p>
      <w:pPr>
        <w:pStyle w:val="FootnoteText"/>
      </w:pPr>
      <w:r>
        <w:rPr>
          <w:rStyle w:val="FootnoteReference"/>
        </w:rPr>
        <w:footnoteRef/>
      </w:r>
      <w:r>
        <w:t xml:space="preserve"> </w:t>
      </w:r>
      <w:r>
        <w:t xml:space="preserve">See</w:t>
      </w:r>
      <w:r>
        <w:t xml:space="preserve"> </w:t>
      </w:r>
      <w:hyperlink r:id="rId214">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5" Target="media/rId215.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5"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1"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89" Target="https://github.com/wmo-im/wis2-guide/milestone/3?closed=1" TargetMode="External" /><Relationship Type="http://schemas.openxmlformats.org/officeDocument/2006/relationships/hyperlink" Id="rId291" Target="https://github.com/wmo-im/wis2-guide/milestone/4?closed=1" TargetMode="External" /><Relationship Type="http://schemas.openxmlformats.org/officeDocument/2006/relationships/hyperlink" Id="rId290" Target="https://github.com/wmo-im/wis2-guide/milestone/7?closed=1" TargetMode="External" /><Relationship Type="http://schemas.openxmlformats.org/officeDocument/2006/relationships/hyperlink" Id="rId154" Target="https://github.com/wmo-im/wis2-metric-hierarchy" TargetMode="External" /><Relationship Type="http://schemas.openxmlformats.org/officeDocument/2006/relationships/hyperlink" Id="rId179"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1"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77"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5"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1"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89" Target="https://github.com/wmo-im/wis2-guide/milestone/3?closed=1" TargetMode="External" /><Relationship Type="http://schemas.openxmlformats.org/officeDocument/2006/relationships/hyperlink" Id="rId291" Target="https://github.com/wmo-im/wis2-guide/milestone/4?closed=1" TargetMode="External" /><Relationship Type="http://schemas.openxmlformats.org/officeDocument/2006/relationships/hyperlink" Id="rId290" Target="https://github.com/wmo-im/wis2-guide/milestone/7?closed=1" TargetMode="External" /><Relationship Type="http://schemas.openxmlformats.org/officeDocument/2006/relationships/hyperlink" Id="rId154" Target="https://github.com/wmo-im/wis2-metric-hierarchy" TargetMode="External" /><Relationship Type="http://schemas.openxmlformats.org/officeDocument/2006/relationships/hyperlink" Id="rId179"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1"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77"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2026-06-17T16:59:12Z</dcterms:created>
  <dcterms:modified xsi:type="dcterms:W3CDTF">2026-06-17T16:59:12Z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2026-06-17</vt:lpwstr>
  </property>
</Properties>
</file>