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2026-04-14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2026-04-14</w:t>
            </w:r>
          </w:p>
        </w:tc>
      </w:tr>
      <w:tr>
        <w:tc>
          <w:tcPr/>
          <w:p>
            <w:pPr>
              <w:jc w:val="left"/>
            </w:pPr>
            <w:r>
              <w:t xml:space="preserve">Version: 1.0.0-DRAFT-2026-04-14</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data.subtype</w:t>
            </w:r>
          </w:p>
        </w:tc>
        <w:tc>
          <w:tcPr/>
          <w:p>
            <w:pPr>
              <w:jc w:val="left"/>
            </w:pPr>
            <w:r>
              <w:t xml:space="preserve">Optional</w:t>
            </w:r>
          </w:p>
        </w:tc>
        <w:tc>
          <w:tcPr/>
          <w:p>
            <w:pPr>
              <w:jc w:val="left"/>
            </w:pPr>
            <w:r>
              <w:t xml:space="preserve">A string further describing the event type (see</w:t>
            </w:r>
            <w:r>
              <w:t xml:space="preserve"> </w:t>
            </w:r>
            <w:hyperlink w:anchor="X065865eded134a599d564ca5eec1d40e7bbd8e8">
              <w:r>
                <w:rPr>
                  <w:rStyle w:val="Hyperlink"/>
                </w:rPr>
                <w:t xml:space="preserve">Data subtype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065865eded134a599d564ca5eec1d40e7bbd8e8"/>
    <w:p>
      <w:pPr>
        <w:pStyle w:val="Heading3"/>
      </w:pPr>
      <w:r>
        <w:t xml:space="preserve">Data subtype</w:t>
      </w:r>
    </w:p>
    <w:p>
      <w:pPr>
        <w:pStyle w:val="FirstParagraph"/>
      </w:pPr>
      <w:r>
        <w:t xml:space="preserve">The</w:t>
      </w:r>
      <w:r>
        <w:t xml:space="preserve"> </w:t>
      </w:r>
      <w:r>
        <w:rPr>
          <w:rStyle w:val="VerbatimChar"/>
        </w:rPr>
        <w:t xml:space="preserve">subtype</w:t>
      </w:r>
      <w:r>
        <w:t xml:space="preserve"> </w:t>
      </w:r>
      <w:r>
        <w:t xml:space="preserve">property further describes a given event type. This value can be useful for deeper observability and filtering of monitoring messages for dedicated workflows.</w:t>
      </w:r>
    </w:p>
    <w:p>
      <w:pPr>
        <w:pStyle w:val="SourceCode"/>
      </w:pPr>
      <w:r>
        <w:rPr>
          <w:rStyle w:val="ErrorTok"/>
        </w:rPr>
        <w:t xml:space="preserve">"subtype":</w:t>
      </w:r>
      <w:r>
        <w:rPr>
          <w:rStyle w:val="NormalTok"/>
        </w:rPr>
        <w:t xml:space="preserve"> </w:t>
      </w:r>
      <w:r>
        <w:rPr>
          <w:rStyle w:val="ErrorTok"/>
        </w:rPr>
        <w:t xml:space="preserve">"wcmp2-ets"</w:t>
      </w:r>
    </w:p>
    <w:bookmarkEnd w:id="94"/>
    <w:bookmarkStart w:id="95"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98"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End w:id="98"/>
    <w:bookmarkStart w:id="103" w:name="X8b9919ab7c1b921c78c9e35374bfdd28000a341"/>
    <w:p>
      <w:pPr>
        <w:pStyle w:val="Heading3"/>
      </w:pPr>
      <w:r>
        <w:t xml:space="preserve">Data content channel</w:t>
      </w:r>
    </w:p>
    <w:p>
      <w:pPr>
        <w:pStyle w:val="FirstParagraph"/>
      </w:pPr>
      <w:r>
        <w:t xml:space="preserve">The</w:t>
      </w:r>
      <w:r>
        <w:t xml:space="preserve"> </w:t>
      </w:r>
      <w:r>
        <w:rPr>
          <w:rStyle w:val="VerbatimChar"/>
        </w:rPr>
        <w:t xml:space="preserve">data.content.channel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/rec/monitoring-event-message-core/data_content_channel</w:t>
            </w:r>
          </w:p>
        </w:tc>
      </w:tr>
      <w:tr>
        <w:tc>
          <w:tcPr/>
          <w:p>
            <w:pPr>
              <w:jc w:val="center"/>
            </w:pPr>
            <w:r>
              <w:t xml:space="preserve">A</w:t>
            </w:r>
          </w:p>
        </w:tc>
        <w:tc>
          <w:tcPr/>
          <w:p>
            <w:pPr>
              <w:jc w:val="left"/>
            </w:pPr>
            <w:r>
              <w:t xml:space="preserve">A WMEM SHOULD provide a</w:t>
            </w:r>
            <w:r>
              <w:t xml:space="preserve"> </w:t>
            </w:r>
            <w:r>
              <w:rPr>
                <w:rStyle w:val="VerbatimChar"/>
              </w:rPr>
              <w:t xml:space="preserve">data.content.channel</w:t>
            </w:r>
            <w:r>
              <w:t xml:space="preserve"> </w:t>
            </w:r>
            <w:r>
              <w:t xml:space="preserve">property if the event is based on data being published to a given topic.</w:t>
            </w:r>
          </w:p>
        </w:tc>
      </w:tr>
    </w:tbl>
    <w:bookmarkStart w:id="101"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29"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8"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6"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6"/>
    <w:bookmarkStart w:id="117"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7"/>
    <w:bookmarkStart w:id="118"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8"/>
    <w:bookmarkStart w:id="119"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9"/>
    <w:bookmarkStart w:id="120"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0"/>
    <w:bookmarkStart w:id="121"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1"/>
    <w:bookmarkStart w:id="122"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2"/>
    <w:bookmarkStart w:id="123"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3"/>
    <w:bookmarkStart w:id="124"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4"/>
    <w:bookmarkStart w:id="125"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5"/>
    <w:bookmarkStart w:id="126"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6"/>
    <w:bookmarkStart w:id="127"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7"/>
    <w:bookmarkEnd w:id="128"/>
    <w:bookmarkEnd w:id="129"/>
    <w:bookmarkStart w:id="131"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30"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subtype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A string further describing the event type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0"/>
    <w:bookmarkEnd w:id="131"/>
    <w:bookmarkStart w:id="139" w:name="examples"/>
    <w:p>
      <w:pPr>
        <w:pStyle w:val="Heading1"/>
      </w:pPr>
      <w:r>
        <w:t xml:space="preserve">Examples (Informative)</w:t>
      </w:r>
    </w:p>
    <w:bookmarkStart w:id="132"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2"/>
    <w:bookmarkStart w:id="133"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"wcmp2-ets"</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"wcmp2-kpi"</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"wnm-report"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"gc-alert"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8"/>
    <w:bookmarkEnd w:id="139"/>
    <w:bookmarkStart w:id="144" w:name="Bibliography"/>
    <w:p>
      <w:pPr>
        <w:pStyle w:val="Heading1"/>
      </w:pPr>
      <w:r>
        <w:t xml:space="preserve">Bibliography</w:t>
      </w:r>
    </w:p>
    <w:p>
      <w:pPr>
        <w:numPr>
          <w:ilvl w:val="0"/>
          <w:numId w:val="1010"/>
        </w:numPr>
      </w:pPr>
      <w:bookmarkStart w:id="140" w:name="SDWBP"/>
      <w:bookmarkEnd w:id="140"/>
      <w:r>
        <w:t xml:space="preserve"> </w:t>
      </w:r>
      <w:r>
        <w:t xml:space="preserve">W3C/OGC: Spatial Data on the Web Best Practices, W3C Working Group Note 28 September 2017,</w:t>
      </w:r>
      <w:r>
        <w:t xml:space="preserve"> </w:t>
      </w:r>
      <w:hyperlink r:id="rId141">
        <w:r>
          <w:rPr>
            <w:rStyle w:val="Hyperlink"/>
          </w:rPr>
          <w:t xml:space="preserve">https://www.w3.org/TR/sdw-bp</w:t>
        </w:r>
      </w:hyperlink>
    </w:p>
    <w:p>
      <w:pPr>
        <w:numPr>
          <w:ilvl w:val="0"/>
          <w:numId w:val="1010"/>
        </w:numPr>
      </w:pPr>
      <w:bookmarkStart w:id="142" w:name="DWBP"/>
      <w:bookmarkEnd w:id="142"/>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3" w:name="link-relations"/>
      <w:bookmarkEnd w:id="143"/>
      <w:r>
        <w:t xml:space="preserve"> </w:t>
      </w:r>
      <w:r>
        <w:t xml:space="preserve">IANA: Link Relation Types,</w:t>
      </w:r>
      <w:r>
        <w:t xml:space="preserve"> </w:t>
      </w:r>
      <w:hyperlink r:id="rId37">
        <w:r>
          <w:rPr>
            <w:rStyle w:val="Hyperlink"/>
          </w:rPr>
          <w:t xml:space="preserve">https://www.iana.org/assignments/link-relations/link-relations.xml</w:t>
        </w:r>
      </w:hyperlink>
    </w:p>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2026-04-14T01:46:02Z</dcterms:created>
  <dcterms:modified xsi:type="dcterms:W3CDTF">2026-04-14T01:46:02Z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2026-04-14</vt:lpwstr>
  </property>
</Properties>
</file>