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WIS2</w:t>
      </w:r>
      <w:r>
        <w:t xml:space="preserve"> </w:t>
      </w:r>
      <w:r>
        <w:t xml:space="preserve">Notification</w:t>
      </w:r>
      <w:r>
        <w:t xml:space="preserve"> </w:t>
      </w:r>
      <w:r>
        <w:t xml:space="preserve">Message,</w:t>
      </w:r>
      <w:r>
        <w:t xml:space="preserve"> </w:t>
      </w:r>
      <w:r>
        <w:t xml:space="preserve">Key</w:t>
      </w:r>
      <w:r>
        <w:t xml:space="preserve"> </w:t>
      </w:r>
      <w:r>
        <w:t xml:space="preserve">Performance</w:t>
      </w:r>
      <w:r>
        <w:t xml:space="preserve"> </w:t>
      </w:r>
      <w:r>
        <w:t xml:space="preserve">Indicators</w:t>
      </w:r>
    </w:p>
    <w:p>
      <w:pPr>
        <w:pStyle w:val="Date"/>
      </w:pPr>
      <w:r>
        <w:t xml:space="preserve">2024-02-07</w:t>
      </w:r>
    </w:p>
    <w:p>
      <w:pPr>
        <w:pStyle w:val="Heading1"/>
      </w:pPr>
    </w:p>
    <w:tbl>
      <w:tblPr>
        <w:tblStyle w:val="Table"/>
        <w:tblW w:type="pct" w:w="5000.0"/>
        <w:tblLook w:firstRow="0"/>
      </w:tblPr>
      <w:tblGrid>
        <w:gridCol w:w="7920"/>
      </w:tblGrid>
      <w:tr>
        <w:tc>
          <w:p/>
        </w:tc>
      </w:tr>
      <w:tr>
        <w:tc>
          <w:p>
            <w:pPr>
              <w:jc w:val="left"/>
            </w:pPr>
            <w:r>
              <w:rPr>
                <w:b/>
              </w:rPr>
              <w:t xml:space="preserve">World Meteorological Organization</w:t>
            </w:r>
          </w:p>
        </w:tc>
      </w:tr>
      <w:tr>
        <w:tc>
          <w:p>
            <w:pPr>
              <w:jc w:val="left"/>
            </w:pPr>
            <w:r>
              <w:t xml:space="preserve">Date: 2024-02-07</w:t>
            </w:r>
          </w:p>
        </w:tc>
      </w:tr>
      <w:tr>
        <w:tc>
          <w:p>
            <w:pPr>
              <w:jc w:val="left"/>
            </w:pPr>
            <w:r>
              <w:t xml:space="preserve">Version: 1.0.0-DRAFT-2024-02-07</w:t>
            </w:r>
          </w:p>
        </w:tc>
      </w:tr>
      <w:tr>
        <w:tc>
          <w:p>
            <w:pPr>
              <w:jc w:val="left"/>
            </w:pPr>
            <w:r>
              <w:t xml:space="preserve">Document location: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https://community.wmo.int/wis-metadata-kpis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Task Team on WIS Metadata (TT-WISMD)</w:t>
            </w:r>
            <w:r>
              <w:rPr>
                <w:rStyle w:val="FootnoteReference"/>
              </w:rPr>
              <w:footnoteReference w:id="21"/>
            </w:r>
          </w:p>
        </w:tc>
      </w:tr>
      <w:tr>
        <w:tc>
          <w:p>
            <w:pPr>
              <w:jc w:val="left"/>
            </w:pPr>
            <w:r>
              <w:t xml:space="preserve">Expert Team on Metadata Standards (ET-Metadata)</w:t>
            </w:r>
            <w:r>
              <w:rPr>
                <w:rStyle w:val="FootnoteReference"/>
              </w:rPr>
              <w:footnoteReference w:id="23"/>
            </w:r>
          </w:p>
        </w:tc>
      </w:tr>
      <w:tr>
        <w:tc>
          <w:p>
            <w:pPr>
              <w:jc w:val="left"/>
            </w:pPr>
            <w:r>
              <w:t xml:space="preserve">Standing Committee on Information Management and Technology (SC-IMT)</w:t>
            </w:r>
            <w:r>
              <w:rPr>
                <w:rStyle w:val="FootnoteReference"/>
              </w:rPr>
              <w:footnoteReference w:id="25"/>
            </w:r>
          </w:p>
        </w:tc>
      </w:tr>
      <w:tr>
        <w:tc>
          <w:p>
            <w:pPr>
              <w:jc w:val="left"/>
            </w:pPr>
            <w:r>
              <w:t xml:space="preserve">Commission for Observation, Infrastructure and Information Systems (INFCOM)</w:t>
            </w:r>
            <w:r>
              <w:rPr>
                <w:rStyle w:val="FootnoteReference"/>
              </w:rPr>
              <w:footnoteReference w:id="27"/>
            </w:r>
          </w:p>
        </w:tc>
      </w:tr>
      <w:tr>
        <w:tc>
          <w:p>
            <w:pPr>
              <w:jc w:val="left"/>
            </w:pPr>
            <w:r>
              <w:t xml:space="preserve">Copyright © 2023 World Meteorological Organization (WMO)</w:t>
            </w:r>
          </w:p>
        </w:tc>
      </w:tr>
    </w:tbl>
    <w:p>
      <w:pPr>
        <w:pStyle w:val="Heading1"/>
      </w:pPr>
      <w:bookmarkStart w:id="29" w:name="X43f9398da9c2eb974194c1e60a2fdc80e1bfc87"/>
      <w:r>
        <w:t xml:space="preserve">Overview</w:t>
      </w:r>
      <w:bookmarkEnd w:id="29"/>
    </w:p>
    <w:p>
      <w:pPr>
        <w:pStyle w:val="Heading2"/>
      </w:pPr>
      <w:bookmarkStart w:id="30" w:name="Xb8b95d4b88fe185e018349e569b4efa2e7ef3dd"/>
      <w:r>
        <w:t xml:space="preserve">Purpose</w:t>
      </w:r>
      <w:bookmarkEnd w:id="30"/>
    </w:p>
    <w:p>
      <w:pPr>
        <w:pStyle w:val="FirstParagraph"/>
      </w:pPr>
      <w:r>
        <w:t xml:space="preserve">This document is intended to define Key Performance Indicators (KPIs) in</w:t>
      </w:r>
      <w:r>
        <w:t xml:space="preserve"> </w:t>
      </w:r>
      <w:r>
        <w:t xml:space="preserve">support of the WIS2 Notification Message (WNM). KPIs provide measurable</w:t>
      </w:r>
      <w:r>
        <w:t xml:space="preserve"> </w:t>
      </w:r>
      <w:r>
        <w:t xml:space="preserve">and valuable quality assessment rules over and above the rulesets put</w:t>
      </w:r>
      <w:r>
        <w:t xml:space="preserve"> </w:t>
      </w:r>
      <w:r>
        <w:t xml:space="preserve">forth by WNM.</w:t>
      </w:r>
    </w:p>
    <w:p>
      <w:pPr>
        <w:pStyle w:val="BodyText"/>
      </w:pPr>
      <w:r>
        <w:t xml:space="preserve">The core driver of WNM KPIs is continuous improvement and useability of</w:t>
      </w:r>
      <w:r>
        <w:t xml:space="preserve"> </w:t>
      </w:r>
      <w:r>
        <w:t xml:space="preserve">notificaiton messages as part of the WMO Information System (WIS).</w:t>
      </w:r>
      <w:r>
        <w:rPr>
          <w:rStyle w:val="FootnoteReference"/>
        </w:rPr>
        <w:footnoteReference w:id="31"/>
      </w:r>
    </w:p>
    <w:p>
      <w:pPr>
        <w:pStyle w:val="Heading2"/>
      </w:pPr>
      <w:bookmarkStart w:id="33" w:name="Xc8210088bf4711be4456d26326179eb58b8f5b4"/>
      <w:r>
        <w:t xml:space="preserve">Scope</w:t>
      </w:r>
      <w:bookmarkEnd w:id="33"/>
    </w:p>
    <w:p>
      <w:pPr>
        <w:pStyle w:val="FirstParagraph"/>
      </w:pPr>
      <w:r>
        <w:t xml:space="preserve">This document is bound to the WNM specification and codelists. All</w:t>
      </w:r>
      <w:r>
        <w:t xml:space="preserve"> </w:t>
      </w:r>
      <w:r>
        <w:t xml:space="preserve">other metadata specifications or representations are not in scope.</w:t>
      </w:r>
    </w:p>
    <w:p>
      <w:pPr>
        <w:pStyle w:val="Heading2"/>
      </w:pPr>
      <w:bookmarkStart w:id="34" w:name="Xd3eb036a852ae4abd9de591cc51a28510ade18b"/>
      <w:r>
        <w:t xml:space="preserve">Audience</w:t>
      </w:r>
      <w:bookmarkEnd w:id="34"/>
    </w:p>
    <w:p>
      <w:pPr>
        <w:pStyle w:val="FirstParagraph"/>
      </w:pPr>
      <w:r>
        <w:t xml:space="preserve">The target stakeholder audiences for this document include (but are not limited to):</w:t>
      </w:r>
    </w:p>
    <w:p>
      <w:pPr>
        <w:numPr>
          <w:ilvl w:val="0"/>
          <w:numId w:val="1001"/>
        </w:numPr>
      </w:pPr>
      <w:r>
        <w:t xml:space="preserve">WIS2 Global Services</w:t>
      </w:r>
    </w:p>
    <w:p>
      <w:pPr>
        <w:numPr>
          <w:ilvl w:val="0"/>
          <w:numId w:val="1001"/>
        </w:numPr>
      </w:pPr>
      <w:r>
        <w:t xml:space="preserve">WIS2 Nodes</w:t>
      </w:r>
    </w:p>
    <w:p>
      <w:pPr>
        <w:numPr>
          <w:ilvl w:val="0"/>
          <w:numId w:val="1001"/>
        </w:numPr>
      </w:pPr>
      <w:r>
        <w:t xml:space="preserve">WIS2 Global Discovery Catalogues (GDCs)</w:t>
      </w:r>
    </w:p>
    <w:p>
      <w:pPr>
        <w:numPr>
          <w:ilvl w:val="0"/>
          <w:numId w:val="1001"/>
        </w:numPr>
      </w:pPr>
      <w:r>
        <w:t xml:space="preserve">WIS2 Monitoring</w:t>
      </w:r>
    </w:p>
    <w:p>
      <w:pPr>
        <w:pStyle w:val="Heading2"/>
      </w:pPr>
      <w:bookmarkStart w:id="35" w:name="Xf9774d85c8dbfc7864a258d2277c6a9ddf4460d"/>
      <w:r>
        <w:t xml:space="preserve">How to use</w:t>
      </w:r>
      <w:bookmarkEnd w:id="35"/>
    </w:p>
    <w:p>
      <w:pPr>
        <w:pStyle w:val="FirstParagraph"/>
      </w:pPr>
      <w:r>
        <w:t xml:space="preserve">The KPIs in this document are designed to help data providers in the</w:t>
      </w:r>
      <w:r>
        <w:t xml:space="preserve"> </w:t>
      </w:r>
      <w:r>
        <w:t xml:space="preserve">production of notificaiton messages, as well as WIS2 Global Services, Monitoring and Nodes to measure the quality</w:t>
      </w:r>
      <w:r>
        <w:t xml:space="preserve"> </w:t>
      </w:r>
      <w:r>
        <w:t xml:space="preserve">of notifications from data providers.</w:t>
      </w:r>
    </w:p>
    <w:p>
      <w:pPr>
        <w:pStyle w:val="BodyText"/>
      </w:pPr>
      <w:r>
        <w:t xml:space="preserve">In order to improve quality:</w:t>
      </w:r>
    </w:p>
    <w:p>
      <w:pPr>
        <w:numPr>
          <w:ilvl w:val="0"/>
          <w:numId w:val="1002"/>
        </w:numPr>
      </w:pPr>
      <w:r>
        <w:t xml:space="preserve">providers should use the KPIs to build into their notification message generation</w:t>
      </w:r>
    </w:p>
    <w:p>
      <w:pPr>
        <w:numPr>
          <w:ilvl w:val="0"/>
          <w:numId w:val="1002"/>
        </w:numPr>
      </w:pPr>
      <w:r>
        <w:t xml:space="preserve">WIS2 Global Services, Monitoring and Nodes should use the KPIs in order to quality assess notification metadata</w:t>
      </w:r>
      <w:r>
        <w:t xml:space="preserve"> </w:t>
      </w:r>
      <w:r>
        <w:t xml:space="preserve">and provide subsequent feedback to providers</w:t>
      </w:r>
    </w:p>
    <w:p>
      <w:pPr>
        <w:pStyle w:val="Heading2"/>
      </w:pPr>
      <w:bookmarkStart w:id="36" w:name="Xb9be7727666387f53608dc882085415bc4f0e48"/>
      <w:r>
        <w:t xml:space="preserve">Scoring</w:t>
      </w:r>
      <w:bookmarkEnd w:id="36"/>
    </w:p>
    <w:p>
      <w:pPr>
        <w:pStyle w:val="FirstParagraph"/>
      </w:pPr>
      <w:r>
        <w:t xml:space="preserve">Each KPI assesses a number of criteria asssociated with notification message quality,</w:t>
      </w:r>
      <w:r>
        <w:t xml:space="preserve"> </w:t>
      </w:r>
      <w:r>
        <w:t xml:space="preserve">resulting in a raw score, as well as a percentage. This approach supports</w:t>
      </w:r>
      <w:r>
        <w:t xml:space="preserve"> </w:t>
      </w:r>
      <w:r>
        <w:t xml:space="preserve">weighted rubric scoring.</w:t>
      </w:r>
    </w:p>
    <w:p>
      <w:pPr>
        <w:pStyle w:val="Heading2"/>
      </w:pPr>
      <w:bookmarkStart w:id="37" w:name="X631d1071454934a2716e33c5f0d930ad73e2fc1"/>
      <w:r>
        <w:t xml:space="preserve">Reference implementation</w:t>
      </w:r>
      <w:bookmarkEnd w:id="37"/>
    </w:p>
    <w:p>
      <w:pPr>
        <w:pStyle w:val="FirstParagraph"/>
      </w:pPr>
      <w:r>
        <w:t xml:space="preserve">The TT-WISMD maintains pywis-pubsub</w:t>
      </w:r>
      <w:r>
        <w:rPr>
          <w:rStyle w:val="FootnoteReference"/>
        </w:rPr>
        <w:footnoteReference w:id="38"/>
      </w:r>
      <w:r>
        <w:t xml:space="preserve">, as the</w:t>
      </w:r>
      <w:r>
        <w:t xml:space="preserve"> </w:t>
      </w:r>
      <w:r>
        <w:t xml:space="preserve">reference WNM validation utility which includes:</w:t>
      </w:r>
    </w:p>
    <w:p>
      <w:pPr>
        <w:numPr>
          <w:ilvl w:val="0"/>
          <w:numId w:val="1003"/>
        </w:numPr>
      </w:pPr>
      <w:r>
        <w:t xml:space="preserve">validation against WNM, Annex A: Conformance Class Abstract Test Suite (Normative)</w:t>
      </w:r>
    </w:p>
    <w:p>
      <w:pPr>
        <w:numPr>
          <w:ilvl w:val="0"/>
          <w:numId w:val="1003"/>
        </w:numPr>
      </w:pPr>
      <w:r>
        <w:t xml:space="preserve">validation against the KPIs described in this document</w:t>
      </w:r>
    </w:p>
    <w:p>
      <w:pPr>
        <w:pStyle w:val="FirstParagraph"/>
      </w:pPr>
      <w:r>
        <w:t xml:space="preserve">Documentation on installation, configuration and usage can be found on the</w:t>
      </w:r>
      <w:r>
        <w:t xml:space="preserve"> </w:t>
      </w:r>
      <w:r>
        <w:t xml:space="preserve">pywis-pubsub website.</w:t>
      </w:r>
    </w:p>
    <w:p>
      <w:pPr>
        <w:pStyle w:val="BodyText"/>
      </w:pPr>
      <w:r>
        <w:t xml:space="preserve">pywis-pubsub is provided as a resource to the community, under continuous</w:t>
      </w:r>
      <w:r>
        <w:t xml:space="preserve"> </w:t>
      </w:r>
      <w:r>
        <w:t xml:space="preserve">improvement. Contributions are welcome and can be facilited by the</w:t>
      </w:r>
      <w:r>
        <w:t xml:space="preserve"> </w:t>
      </w:r>
      <w:r>
        <w:t xml:space="preserve">WMO.</w:t>
      </w:r>
    </w:p>
    <w:p>
      <w:pPr>
        <w:pStyle w:val="Heading2"/>
      </w:pPr>
      <w:bookmarkStart w:id="40" w:name="X092135ba5a88783865c456c6e3593fb42502819"/>
      <w:r>
        <w:t xml:space="preserve">Conventions</w:t>
      </w:r>
      <w:bookmarkEnd w:id="40"/>
    </w:p>
    <w:p>
      <w:pPr>
        <w:pStyle w:val="Heading3"/>
      </w:pPr>
      <w:bookmarkStart w:id="41" w:name="X7925b0cd7a1fe55d0d19913e42e82b0c37ef94c"/>
      <w:r>
        <w:t xml:space="preserve">Symbols and abbreviated terms</w:t>
      </w:r>
      <w:bookmarkEnd w:id="41"/>
    </w:p>
    <w:p>
      <w:pPr>
        <w:pStyle w:val="TableCaption"/>
      </w:pPr>
      <w:r>
        <w:t xml:space="preserve">Symbols and abbreviated terms</w:t>
      </w:r>
    </w:p>
    <w:tbl>
      <w:tblPr>
        <w:tblStyle w:val="Table"/>
        <w:tblW w:type="pct" w:w="5000.0"/>
        <w:tblLook w:firstRow="1"/>
        <w:tblCaption w:val="Symbols and abbreviated term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Abbreviation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</w:tr>
      <w:tr>
        <w:tc>
          <w:p>
            <w:pPr>
              <w:jc w:val="left"/>
            </w:pPr>
            <w:r>
              <w:t xml:space="preserve">DCPC</w:t>
            </w:r>
          </w:p>
        </w:tc>
        <w:tc>
          <w:p>
            <w:pPr>
              <w:jc w:val="left"/>
            </w:pPr>
            <w:r>
              <w:t xml:space="preserve">Data Collection and Production Centres</w:t>
            </w:r>
          </w:p>
        </w:tc>
      </w:tr>
      <w:tr>
        <w:tc>
          <w:p>
            <w:pPr>
              <w:jc w:val="left"/>
            </w:pPr>
            <w:r>
              <w:t xml:space="preserve">GDC</w:t>
            </w:r>
          </w:p>
        </w:tc>
        <w:tc>
          <w:p>
            <w:pPr>
              <w:jc w:val="left"/>
            </w:pPr>
            <w:r>
              <w:t xml:space="preserve">Global Discovery Catalogue</w:t>
            </w:r>
          </w:p>
        </w:tc>
      </w:tr>
      <w:tr>
        <w:tc>
          <w:p>
            <w:pPr>
              <w:jc w:val="left"/>
            </w:pPr>
            <w:r>
              <w:t xml:space="preserve">HTML</w:t>
            </w:r>
          </w:p>
        </w:tc>
        <w:tc>
          <w:p>
            <w:pPr>
              <w:jc w:val="left"/>
            </w:pPr>
            <w:r>
              <w:t xml:space="preserve">Hypertext Markup Language</w:t>
            </w:r>
          </w:p>
        </w:tc>
      </w:tr>
      <w:tr>
        <w:tc>
          <w:p>
            <w:pPr>
              <w:jc w:val="left"/>
            </w:pPr>
            <w:r>
              <w:t xml:space="preserve">HTTP</w:t>
            </w:r>
          </w:p>
        </w:tc>
        <w:tc>
          <w:p>
            <w:pPr>
              <w:jc w:val="left"/>
            </w:pPr>
            <w:r>
              <w:t xml:space="preserve">Hypertext Transfer Protocol</w:t>
            </w:r>
          </w:p>
        </w:tc>
      </w:tr>
      <w:tr>
        <w:tc>
          <w:p>
            <w:pPr>
              <w:jc w:val="left"/>
            </w:pPr>
            <w:r>
              <w:t xml:space="preserve">HTTPS</w:t>
            </w:r>
          </w:p>
        </w:tc>
        <w:tc>
          <w:p>
            <w:pPr>
              <w:jc w:val="left"/>
            </w:pPr>
            <w:r>
              <w:t xml:space="preserve">Hypertext Transfer Protocol Secure</w:t>
            </w:r>
          </w:p>
        </w:tc>
      </w:tr>
      <w:tr>
        <w:tc>
          <w:p>
            <w:pPr>
              <w:jc w:val="left"/>
            </w:pPr>
            <w:r>
              <w:t xml:space="preserve">JSON</w:t>
            </w:r>
          </w:p>
        </w:tc>
        <w:tc>
          <w:p>
            <w:pPr>
              <w:jc w:val="left"/>
            </w:pPr>
            <w:r>
              <w:t xml:space="preserve">JavaScript Object Notation</w:t>
            </w:r>
          </w:p>
        </w:tc>
      </w:tr>
      <w:tr>
        <w:tc>
          <w:p>
            <w:pPr>
              <w:jc w:val="left"/>
            </w:pPr>
            <w:r>
              <w:t xml:space="preserve">MIME</w:t>
            </w:r>
          </w:p>
        </w:tc>
        <w:tc>
          <w:p>
            <w:pPr>
              <w:jc w:val="left"/>
            </w:pPr>
            <w:r>
              <w:t xml:space="preserve">Multipurpose Internet Mail Extensions</w:t>
            </w:r>
          </w:p>
        </w:tc>
      </w:tr>
      <w:tr>
        <w:tc>
          <w:p>
            <w:pPr>
              <w:jc w:val="left"/>
            </w:pPr>
            <w:r>
              <w:t xml:space="preserve">NC</w:t>
            </w:r>
          </w:p>
        </w:tc>
        <w:tc>
          <w:p>
            <w:pPr>
              <w:jc w:val="left"/>
            </w:pPr>
            <w:r>
              <w:t xml:space="preserve">National Centre</w:t>
            </w:r>
          </w:p>
        </w:tc>
      </w:tr>
      <w:tr>
        <w:tc>
          <w:p>
            <w:pPr>
              <w:jc w:val="left"/>
            </w:pPr>
            <w:r>
              <w:t xml:space="preserve">OGC</w:t>
            </w:r>
          </w:p>
        </w:tc>
        <w:tc>
          <w:p>
            <w:pPr>
              <w:jc w:val="left"/>
            </w:pPr>
            <w:r>
              <w:t xml:space="preserve">Open Geospatial Consortium</w:t>
            </w:r>
          </w:p>
        </w:tc>
      </w:tr>
      <w:tr>
        <w:tc>
          <w:p>
            <w:pPr>
              <w:jc w:val="left"/>
            </w:pPr>
            <w:r>
              <w:t xml:space="preserve">pywis-pubsub</w:t>
            </w:r>
          </w:p>
        </w:tc>
        <w:tc>
          <w:p>
            <w:pPr>
              <w:jc w:val="left"/>
            </w:pPr>
            <w:r>
              <w:t xml:space="preserve">WMO implementation of WNM validation</w:t>
            </w:r>
          </w:p>
        </w:tc>
      </w:tr>
      <w:tr>
        <w:tc>
          <w:p>
            <w:pPr>
              <w:jc w:val="left"/>
            </w:pPr>
            <w:r>
              <w:t xml:space="preserve">URL</w:t>
            </w:r>
          </w:p>
        </w:tc>
        <w:tc>
          <w:p>
            <w:pPr>
              <w:jc w:val="left"/>
            </w:pPr>
            <w:r>
              <w:t xml:space="preserve">Uniform Resource Locator</w:t>
            </w:r>
          </w:p>
        </w:tc>
      </w:tr>
      <w:tr>
        <w:tc>
          <w:p>
            <w:pPr>
              <w:jc w:val="left"/>
            </w:pPr>
            <w:r>
              <w:t xml:space="preserve">WDC</w:t>
            </w:r>
          </w:p>
        </w:tc>
        <w:tc>
          <w:p>
            <w:pPr>
              <w:jc w:val="left"/>
            </w:pPr>
            <w:r>
              <w:t xml:space="preserve">World Data Centre</w:t>
            </w:r>
          </w:p>
        </w:tc>
      </w:tr>
      <w:tr>
        <w:tc>
          <w:p>
            <w:pPr>
              <w:jc w:val="left"/>
            </w:pPr>
            <w:r>
              <w:t xml:space="preserve">WIS</w:t>
            </w:r>
          </w:p>
        </w:tc>
        <w:tc>
          <w:p>
            <w:pPr>
              <w:jc w:val="left"/>
            </w:pPr>
            <w:r>
              <w:t xml:space="preserve">WMO Information System</w:t>
            </w:r>
          </w:p>
        </w:tc>
      </w:tr>
      <w:tr>
        <w:tc>
          <w:p>
            <w:pPr>
              <w:jc w:val="left"/>
            </w:pPr>
            <w:r>
              <w:t xml:space="preserve">WMO</w:t>
            </w:r>
          </w:p>
        </w:tc>
        <w:tc>
          <w:p>
            <w:pPr>
              <w:jc w:val="left"/>
            </w:pPr>
            <w:r>
              <w:t xml:space="preserve">World Meteorological Organization</w:t>
            </w:r>
          </w:p>
        </w:tc>
      </w:tr>
    </w:tbl>
    <w:p>
      <w:pPr>
        <w:pStyle w:val="Heading1"/>
      </w:pPr>
      <w:bookmarkStart w:id="42" w:name="Xe7ebb52d659525b870c6f19e515145c62c7cfb5"/>
      <w:r>
        <w:t xml:space="preserve">Key performance indicators</w:t>
      </w:r>
      <w:bookmarkEnd w:id="42"/>
    </w:p>
    <w:p>
      <w:pPr>
        <w:pStyle w:val="Heading2"/>
      </w:pPr>
      <w:bookmarkStart w:id="43" w:name="X327cf6933b814229fe2686e41cdd3f9e0a15a05"/>
      <w:r>
        <w:t xml:space="preserve">WCMP dataset record identification</w:t>
      </w:r>
      <w:bookmarkEnd w:id="43"/>
    </w:p>
    <w:p>
      <w:pPr>
        <w:pStyle w:val="Heading3"/>
      </w:pPr>
      <w:bookmarkStart w:id="44" w:name="X82c50c689028e72914d56e35841880f83946127"/>
      <w:r>
        <w:t xml:space="preserve">WCMP properties</w:t>
      </w:r>
      <w:bookmarkEnd w:id="44"/>
    </w:p>
    <w:p>
      <w:pPr>
        <w:numPr>
          <w:ilvl w:val="0"/>
          <w:numId w:val="1004"/>
        </w:numPr>
      </w:pPr>
      <w:r>
        <w:rPr>
          <w:rStyle w:val="VerbatimChar"/>
        </w:rPr>
        <w:t xml:space="preserve">properties.metadata_id</w:t>
      </w:r>
    </w:p>
    <w:p>
      <w:pPr>
        <w:pStyle w:val="Heading3"/>
      </w:pPr>
      <w:bookmarkStart w:id="45" w:name="X1d6385a8fcd360fe75bce887cc461afa56db068"/>
      <w:r>
        <w:t xml:space="preserve">Rationale for measurement</w:t>
      </w:r>
      <w:bookmarkEnd w:id="45"/>
    </w:p>
    <w:p>
      <w:pPr>
        <w:pStyle w:val="FirstParagraph"/>
      </w:pPr>
      <w:r>
        <w:t xml:space="preserve">The metadata identifier provides linkage to the associated discovery metadata in the GDC and provides traceability to the overall dataset description.</w:t>
      </w:r>
    </w:p>
    <w:p>
      <w:pPr>
        <w:pStyle w:val="Heading3"/>
      </w:pPr>
      <w:bookmarkStart w:id="46" w:name="X250ba32e0a891ffab1bac6b1cb7509f9368944a"/>
      <w:r>
        <w:t xml:space="preserve">Measurement</w:t>
      </w:r>
      <w:bookmarkEnd w:id="46"/>
    </w:p>
    <w:p>
      <w:pPr>
        <w:pStyle w:val="FirstParagraph"/>
      </w:pPr>
      <w:r>
        <w:t xml:space="preserve">Whether WCMP discovery metadata information is available and can be successfully identified.</w:t>
      </w:r>
    </w:p>
    <w:p>
      <w:pPr>
        <w:pStyle w:val="Heading3"/>
      </w:pPr>
      <w:bookmarkStart w:id="47" w:name="X379db80a95e8e371d5aa07f3fb5c995a640e32e"/>
      <w:r>
        <w:t xml:space="preserve">Guidance to score well on this assessment</w:t>
      </w:r>
      <w:bookmarkEnd w:id="47"/>
    </w:p>
    <w:p>
      <w:pPr>
        <w:numPr>
          <w:ilvl w:val="0"/>
          <w:numId w:val="1005"/>
        </w:numPr>
      </w:pPr>
      <w:r>
        <w:t xml:space="preserve">Provide an identifier of the associated WCMP dataset record in the Global Discovery Catalogue</w:t>
      </w:r>
    </w:p>
    <w:p>
      <w:pPr>
        <w:pStyle w:val="Heading3"/>
      </w:pPr>
      <w:bookmarkStart w:id="48" w:name="X4263671cdca08cb5ab9595f4b9ac6526023bf55"/>
      <w:r>
        <w:t xml:space="preserve">Rules</w:t>
      </w:r>
      <w:bookmarkEnd w:id="48"/>
    </w:p>
    <w:p>
      <w:pPr>
        <w:pStyle w:val="TableCaption"/>
      </w:pPr>
      <w:r>
        <w:t xml:space="preserve">Metadata identification implementation rules</w:t>
      </w:r>
    </w:p>
    <w:tbl>
      <w:tblPr>
        <w:tblStyle w:val="Table"/>
        <w:tblW w:type="pct" w:w="5000.0"/>
        <w:tblLook w:firstRow="1"/>
        <w:tblCaption w:val="Metadata identification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VerbatimChar"/>
              </w:rPr>
              <w:t xml:space="preserve">properties.metadata_id</w:t>
            </w:r>
            <w:r>
              <w:t xml:space="preserve"> </w:t>
            </w:r>
            <w:r>
              <w:t xml:space="preserve">property 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The metadata identifier resolves to a valid WCMP record in the Global Discovery Catalogue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2 (100%)</w:t>
      </w:r>
    </w:p>
    <w:p>
      <w:pPr>
        <w:pStyle w:val="Heading3"/>
      </w:pPr>
      <w:bookmarkStart w:id="49" w:name="X70860ddc704121b08ffd7850543538547ce4efd"/>
      <w:r>
        <w:t xml:space="preserve">Examples</w:t>
      </w:r>
      <w:bookmarkEnd w:id="49"/>
    </w:p>
    <w:p>
      <w:pPr>
        <w:pStyle w:val="SourceCode"/>
      </w:pPr>
      <w:r>
        <w:rPr>
          <w:rStyle w:val="ErrorTok"/>
        </w:rPr>
        <w:t xml:space="preserve">"properties":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"metadata_id"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"urn:x-wmo:md:ca-eccc-msc:observations.swob"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...</w:t>
      </w:r>
      <w:r>
        <w:br/>
      </w:r>
      <w:r>
        <w:rPr>
          <w:rStyle w:val="Function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https://community.wmo.int/governance/commission-membership/commission-observation-infrastructures-and-information-systems-infcom/commission-infrastructure-officers/infcom-management-group/standing-committee-information-management-and-technology-sc-imt/expert-team-metadata-0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https://community.wmo.int/governance/commission-membership/commission-observation-infrastructures-and-information-systems-infcom/commission-infrastructure-national-representatives/infcom-management-group/standing-committee-information-management-and-technology-sc-imt/et-metadata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8">
        <w:r>
          <w:rPr>
            <w:rStyle w:val="Hyperlink"/>
          </w:rPr>
          <w:t xml:space="preserve">https://community.wmo.int/governance/commission-membership/infcom</w:t>
        </w:r>
      </w:hyperlink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Hyperlink"/>
          </w:rPr>
          <w:t xml:space="preserve">https://community.wmo.int/activity-areas/wmo-information-system-wis</w:t>
        </w:r>
      </w:hyperlink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9">
        <w:r>
          <w:rPr>
            <w:rStyle w:val="Hyperlink"/>
          </w:rPr>
          <w:t xml:space="preserve">https://github.com/wmo-im/pywis-pubsub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20" Target="https://community.wmo.int/wis-metadata-kpis" TargetMode="External" /><Relationship Type="http://schemas.openxmlformats.org/officeDocument/2006/relationships/hyperlink" Id="rId39" Target="https://github.com/wmo-im/pywis-pubsub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20" Target="https://community.wmo.int/wis-metadata-kpis" TargetMode="External" /><Relationship Type="http://schemas.openxmlformats.org/officeDocument/2006/relationships/hyperlink" Id="rId39" Target="https://github.com/wmo-im/pywis-pubsu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WIS2 Notification Message, Key Performance Indicators</dc:title>
  <dc:creator/>
  <cp:keywords/>
  <dcterms:created xsi:type="dcterms:W3CDTF">2024-02-07T12:42:01Z</dcterms:created>
  <dcterms:modified xsi:type="dcterms:W3CDTF">2024-02-07T12:42:01Z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2024-02-07</vt:lpwstr>
  </property>
</Properties>
</file>