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2024-01-25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1.0.0-DRAFT-2024-01-25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f43dde2011f50343a42b25ea3bd918e6938de38"/>
      <w:r>
        <w:t xml:space="preserve">WCMP element(s)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736c5f2677314b1235a5fa717089b1ce4c118f4"/>
      <w:r>
        <w:t xml:space="preserve">What is being measured</w:t>
      </w:r>
      <w:bookmarkEnd w:id="45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6" w:name="X1d6385a8fcd360fe75bce887cc461afa56db068"/>
      <w:r>
        <w:t xml:space="preserve">Rationale for measurement</w:t>
      </w:r>
      <w:bookmarkEnd w:id="46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3"/>
      </w:pPr>
      <w:bookmarkStart w:id="47" w:name="X3b4af8a400d0341c7c668caa72897f20af997f5"/>
      <w:r>
        <w:t xml:space="preserve">Rules for implementation</w:t>
      </w:r>
      <w:bookmarkEnd w:id="47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8" w:name="X379db80a95e8e371d5aa07f3fb5c995a640e32e"/>
      <w:r>
        <w:t xml:space="preserve">Guidance to score well on this assessment</w:t>
      </w:r>
      <w:bookmarkEnd w:id="48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2024-01-25T11:46:04Z</dcterms:created>
  <dcterms:modified xsi:type="dcterms:W3CDTF">2024-01-25T11:46:04Z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</Properties>
</file>