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WIS2</w:t>
      </w:r>
      <w:r>
        <w:t xml:space="preserve"> </w:t>
      </w:r>
      <w:r>
        <w:t xml:space="preserve">Notification</w:t>
      </w:r>
      <w:r>
        <w:t xml:space="preserve"> </w:t>
      </w:r>
      <w:r>
        <w:t xml:space="preserve">Message,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2024-07-29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2024-07-29</w:t>
            </w:r>
          </w:p>
        </w:tc>
      </w:tr>
      <w:tr>
        <w:tc>
          <w:p>
            <w:pPr>
              <w:jc w:val="left"/>
            </w:pPr>
            <w:r>
              <w:t xml:space="preserve">Version: 1.0.0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2024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WIS2 Notification Message (WNM).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WNM.</w:t>
      </w:r>
    </w:p>
    <w:p>
      <w:pPr>
        <w:pStyle w:val="BodyText"/>
      </w:pPr>
      <w:r>
        <w:t xml:space="preserve">The core driver of WNM KPIs is continuous improvement and useability of</w:t>
      </w:r>
      <w:r>
        <w:t xml:space="preserve"> </w:t>
      </w:r>
      <w:r>
        <w:t xml:space="preserve">notificaiton messages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WNM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ilvl w:val="0"/>
          <w:numId w:val="1001"/>
        </w:numPr>
      </w:pPr>
      <w:r>
        <w:t xml:space="preserve">WIS2 Global Services</w:t>
      </w:r>
    </w:p>
    <w:p>
      <w:pPr>
        <w:numPr>
          <w:ilvl w:val="0"/>
          <w:numId w:val="1001"/>
        </w:numPr>
      </w:pPr>
      <w:r>
        <w:t xml:space="preserve">WIS2 Nodes</w:t>
      </w:r>
    </w:p>
    <w:p>
      <w:pPr>
        <w:numPr>
          <w:ilvl w:val="0"/>
          <w:numId w:val="1001"/>
        </w:numPr>
      </w:pPr>
      <w:r>
        <w:t xml:space="preserve">WIS2 Global Discovery Catalogues (GDCs)</w:t>
      </w:r>
    </w:p>
    <w:p>
      <w:pPr>
        <w:numPr>
          <w:ilvl w:val="0"/>
          <w:numId w:val="1001"/>
        </w:numPr>
      </w:pPr>
      <w:r>
        <w:t xml:space="preserve">WIS2 Monitoring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data providers in the</w:t>
      </w:r>
      <w:r>
        <w:t xml:space="preserve"> </w:t>
      </w:r>
      <w:r>
        <w:t xml:space="preserve">production of notificaiton messages, as well as WIS2 Global Services, Monitoring and Nodes to measure the quality</w:t>
      </w:r>
      <w:r>
        <w:t xml:space="preserve"> </w:t>
      </w:r>
      <w:r>
        <w:t xml:space="preserve">of notifications from data providers.</w:t>
      </w:r>
    </w:p>
    <w:p>
      <w:pPr>
        <w:pStyle w:val="BodyText"/>
      </w:pPr>
      <w:r>
        <w:t xml:space="preserve">In order to improve quality:</w:t>
      </w:r>
    </w:p>
    <w:p>
      <w:pPr>
        <w:numPr>
          <w:ilvl w:val="0"/>
          <w:numId w:val="1002"/>
        </w:numPr>
      </w:pPr>
      <w:r>
        <w:t xml:space="preserve">providers should use the KPIs to build into their notification message generation</w:t>
      </w:r>
    </w:p>
    <w:p>
      <w:pPr>
        <w:numPr>
          <w:ilvl w:val="0"/>
          <w:numId w:val="1002"/>
        </w:numPr>
      </w:pPr>
      <w:r>
        <w:t xml:space="preserve">WIS2 Global Services, Monitoring and Nodes should use the KPIs in order to quality assess notification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notification message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pywis-pubsub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WNM validation utility which includes:</w:t>
      </w:r>
    </w:p>
    <w:p>
      <w:pPr>
        <w:numPr>
          <w:ilvl w:val="0"/>
          <w:numId w:val="1003"/>
        </w:numPr>
      </w:pPr>
      <w:r>
        <w:t xml:space="preserve">validation against WNM, Annex A: Conformance Class Abstract Test Suite (Normative)</w:t>
      </w:r>
    </w:p>
    <w:p>
      <w:pPr>
        <w:numPr>
          <w:ilvl w:val="0"/>
          <w:numId w:val="1003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pywis-pubsub website.</w:t>
      </w:r>
    </w:p>
    <w:p>
      <w:pPr>
        <w:pStyle w:val="BodyText"/>
      </w:pPr>
      <w:r>
        <w:t xml:space="preserve">pywis-pubsub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WMO.</w:t>
      </w:r>
    </w:p>
    <w:p>
      <w:pPr>
        <w:pStyle w:val="Heading2"/>
      </w:pPr>
      <w:bookmarkStart w:id="40" w:name="X092135ba5a88783865c456c6e3593fb42502819"/>
      <w:r>
        <w:t xml:space="preserve">Conventions</w:t>
      </w:r>
      <w:bookmarkEnd w:id="40"/>
    </w:p>
    <w:p>
      <w:pPr>
        <w:pStyle w:val="Heading3"/>
      </w:pPr>
      <w:bookmarkStart w:id="41" w:name="X7925b0cd7a1fe55d0d19913e42e82b0c37ef94c"/>
      <w:r>
        <w:t xml:space="preserve">Symbols and abbreviated terms</w:t>
      </w:r>
      <w:bookmarkEnd w:id="41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GDC</w:t>
            </w:r>
          </w:p>
        </w:tc>
        <w:tc>
          <w:p>
            <w:pPr>
              <w:jc w:val="left"/>
            </w:pPr>
            <w:r>
              <w:t xml:space="preserve">Global Discovery Catalogue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JSON</w:t>
            </w:r>
          </w:p>
        </w:tc>
        <w:tc>
          <w:p>
            <w:pPr>
              <w:jc w:val="left"/>
            </w:pPr>
            <w:r>
              <w:t xml:space="preserve">JavaScript Object Notation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pywis-pubsub</w:t>
            </w:r>
          </w:p>
        </w:tc>
        <w:tc>
          <w:p>
            <w:pPr>
              <w:jc w:val="left"/>
            </w:pPr>
            <w:r>
              <w:t xml:space="preserve">WMO implementation of WNM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</w:tbl>
    <w:p>
      <w:pPr>
        <w:pStyle w:val="Heading1"/>
      </w:pPr>
      <w:bookmarkStart w:id="42" w:name="Xe7ebb52d659525b870c6f19e515145c62c7cfb5"/>
      <w:r>
        <w:t xml:space="preserve">Key performance indicators</w:t>
      </w:r>
      <w:bookmarkEnd w:id="42"/>
    </w:p>
    <w:p>
      <w:pPr>
        <w:pStyle w:val="Heading2"/>
      </w:pPr>
      <w:bookmarkStart w:id="43" w:name="X327cf6933b814229fe2686e41cdd3f9e0a15a05"/>
      <w:r>
        <w:t xml:space="preserve">WCMP dataset record identification</w:t>
      </w:r>
      <w:bookmarkEnd w:id="43"/>
    </w:p>
    <w:p>
      <w:pPr>
        <w:pStyle w:val="Heading3"/>
      </w:pPr>
      <w:bookmarkStart w:id="44" w:name="X82c50c689028e72914d56e35841880f83946127"/>
      <w:r>
        <w:t xml:space="preserve">WCMP properties</w:t>
      </w:r>
      <w:bookmarkEnd w:id="44"/>
    </w:p>
    <w:p>
      <w:pPr>
        <w:numPr>
          <w:ilvl w:val="0"/>
          <w:numId w:val="1004"/>
        </w:numPr>
      </w:pPr>
      <w:r>
        <w:rPr>
          <w:rStyle w:val="VerbatimChar"/>
        </w:rPr>
        <w:t xml:space="preserve">properties.metadata_id</w:t>
      </w:r>
    </w:p>
    <w:p>
      <w:pPr>
        <w:pStyle w:val="Heading3"/>
      </w:pPr>
      <w:bookmarkStart w:id="45" w:name="X1d6385a8fcd360fe75bce887cc461afa56db068"/>
      <w:r>
        <w:t xml:space="preserve">Rationale for measurement</w:t>
      </w:r>
      <w:bookmarkEnd w:id="45"/>
    </w:p>
    <w:p>
      <w:pPr>
        <w:pStyle w:val="FirstParagraph"/>
      </w:pPr>
      <w:r>
        <w:t xml:space="preserve">The metadata identifier provides linkage to the associated discovery metadata in the GDC and provides traceability to the overall dataset description.</w:t>
      </w:r>
    </w:p>
    <w:p>
      <w:pPr>
        <w:pStyle w:val="Heading3"/>
      </w:pPr>
      <w:bookmarkStart w:id="46" w:name="X250ba32e0a891ffab1bac6b1cb7509f9368944a"/>
      <w:r>
        <w:t xml:space="preserve">Measurement</w:t>
      </w:r>
      <w:bookmarkEnd w:id="46"/>
    </w:p>
    <w:p>
      <w:pPr>
        <w:pStyle w:val="FirstParagraph"/>
      </w:pPr>
      <w:r>
        <w:t xml:space="preserve">Whether WCMP discovery metadata information is available and can be successfully identified.</w:t>
      </w:r>
    </w:p>
    <w:p>
      <w:pPr>
        <w:pStyle w:val="Heading3"/>
      </w:pPr>
      <w:bookmarkStart w:id="47" w:name="X379db80a95e8e371d5aa07f3fb5c995a640e32e"/>
      <w:r>
        <w:t xml:space="preserve">Guidance to score well on this assessment</w:t>
      </w:r>
      <w:bookmarkEnd w:id="47"/>
    </w:p>
    <w:p>
      <w:pPr>
        <w:numPr>
          <w:ilvl w:val="0"/>
          <w:numId w:val="1005"/>
        </w:numPr>
      </w:pPr>
      <w:r>
        <w:t xml:space="preserve">Provide an identifier of the associated WCMP dataset record in the Global Discovery Catalogue</w:t>
      </w:r>
    </w:p>
    <w:p>
      <w:pPr>
        <w:pStyle w:val="Heading3"/>
      </w:pPr>
      <w:bookmarkStart w:id="48" w:name="X4263671cdca08cb5ab9595f4b9ac6526023bf55"/>
      <w:r>
        <w:t xml:space="preserve">Rules</w:t>
      </w:r>
      <w:bookmarkEnd w:id="48"/>
    </w:p>
    <w:p>
      <w:pPr>
        <w:pStyle w:val="TableCaption"/>
      </w:pPr>
      <w:r>
        <w:t xml:space="preserve">Metadata identification implementation rules</w:t>
      </w:r>
    </w:p>
    <w:tbl>
      <w:tblPr>
        <w:tblStyle w:val="Table"/>
        <w:tblW w:type="pct" w:w="5000.0"/>
        <w:tblLook w:firstRow="1"/>
        <w:tblCaption w:val="Metadata identific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properties.metadata_id</w:t>
            </w:r>
            <w:r>
              <w:t xml:space="preserve"> </w:t>
            </w:r>
            <w:r>
              <w:t xml:space="preserve">property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metadata identifier resolves to a valid WCMP record in the Global Discovery Catalogue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2 (100%)</w:t>
      </w:r>
    </w:p>
    <w:p>
      <w:pPr>
        <w:pStyle w:val="Heading3"/>
      </w:pPr>
      <w:bookmarkStart w:id="49" w:name="X70860ddc704121b08ffd7850543538547ce4efd"/>
      <w:r>
        <w:t xml:space="preserve">Examples</w:t>
      </w:r>
      <w:bookmarkEnd w:id="49"/>
    </w:p>
    <w:p>
      <w:pPr>
        <w:pStyle w:val="SourceCode"/>
      </w:pPr>
      <w:r>
        <w:rPr>
          <w:rStyle w:val="ErrorTok"/>
        </w:rPr>
        <w:t xml:space="preserve">"properties":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"urn:wmo:md:ca-eccc-msc:observations.swob"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https://github.com/wmo-im/pywis-pubsub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WIS2 Notification Message, Key Performance Indicators</dc:title>
  <dc:creator/>
  <cp:keywords/>
  <dcterms:created xsi:type="dcterms:W3CDTF">2024-07-29T12:39:48Z</dcterms:created>
  <dcterms:modified xsi:type="dcterms:W3CDTF">2024-07-29T12:39:48Z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2024-07-29</vt:lpwstr>
  </property>
</Properties>
</file>