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2023-09-12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2023-09-12</w:t>
            </w:r>
          </w:p>
        </w:tc>
      </w:tr>
      <w:tr>
        <w:tc>
          <w:p>
            <w:pPr>
              <w:jc w:val="left"/>
            </w:pPr>
            <w:r>
              <w:t xml:space="preserve">Version: 1.0.0-DRAFT-2023-09-12</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5e28e14fdfddd2331fc620dd83e8ab5967db685"/>
      <w:r>
        <w:t xml:space="preserve">GeoJSON compliance</w:t>
      </w:r>
      <w:bookmarkEnd w:id="79"/>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0" w:name="X308bfe473ee20a8b70bcf19a3157dd310a3e83c"/>
      <w:r>
        <w:t xml:space="preserve">Identifier</w:t>
      </w:r>
      <w:bookmarkEnd w:id="80"/>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1" w:name="Xbe84a4e4fc72b0fc9f958f069279ff01f30498d"/>
      <w:r>
        <w:t xml:space="preserve">Version</w:t>
      </w:r>
      <w:bookmarkEnd w:id="81"/>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2" w:name="X6d4483cd4117b18fd4d8ff151fa98101d4d85c3"/>
      <w:r>
        <w:t xml:space="preserve">Type</w:t>
      </w:r>
      <w:bookmarkEnd w:id="82"/>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3" w:name="Xbad2348b222628778fc4c270aca1624dd0b6699"/>
      <w:r>
        <w:t xml:space="preserve">Geometry</w:t>
      </w:r>
      <w:bookmarkEnd w:id="83"/>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a WNM geometry MAY provide a third element (height) as per clause 4 of the GeoJSON specification.</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4" w:name="X6ee1337dd79a1720ff84ae1da87a03b2fca6ff9"/>
      <w:r>
        <w:t xml:space="preserve">Properties</w:t>
      </w:r>
      <w:bookmarkEnd w:id="84"/>
    </w:p>
    <w:p>
      <w:pPr>
        <w:pStyle w:val="Heading4"/>
      </w:pPr>
      <w:bookmarkStart w:id="85" w:name="X21ce97cb031f1962b1bc3fedabe1d700a639c4a"/>
      <w:r>
        <w:t xml:space="preserve">pubtime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r>
        <w:t xml:space="preserve"> </w:t>
      </w:r>
      <w:r>
        <w:rPr>
          <w:rStyle w:val="VerbatimChar"/>
        </w:rPr>
        <w:t xml:space="preserve">pubtime</w:t>
      </w:r>
      <w:r>
        <w:t xml:space="preserve"> </w:t>
      </w:r>
      <w:r>
        <w:t xml:space="preserve">is also valuable for change</w:t>
      </w:r>
      <w:r>
        <w:t xml:space="preserve"> </w:t>
      </w:r>
      <w:r>
        <w:t xml:space="preserve">detection as part of updates and deletion notifications. Ensuring</w:t>
      </w:r>
      <w:r>
        <w:t xml:space="preserve"> </w:t>
      </w:r>
      <w:r>
        <w:rPr>
          <w:rStyle w:val="VerbatimChar"/>
        </w:rPr>
        <w:t xml:space="preserve">pubtime</w:t>
      </w:r>
      <w:r>
        <w:t xml:space="preserve"> </w:t>
      </w:r>
      <w:r>
        <w:t xml:space="preserve">is properly managed for updates</w:t>
      </w:r>
      <w:r>
        <w:t xml:space="preserve"> </w:t>
      </w:r>
      <w:r>
        <w:t xml:space="preserve">and deletions is important for data and metadata download workflows (an out of date</w:t>
      </w:r>
      <w:r>
        <w:t xml:space="preserve"> </w:t>
      </w:r>
      <w:r>
        <w:rPr>
          <w:rStyle w:val="VerbatimChar"/>
        </w:rPr>
        <w:t xml:space="preserve">pubtime</w:t>
      </w:r>
      <w:r>
        <w:t xml:space="preserve"> </w:t>
      </w:r>
      <w:r>
        <w:t xml:space="preserve">can lead</w:t>
      </w:r>
      <w:r>
        <w:t xml:space="preserve"> </w:t>
      </w:r>
      <w:r>
        <w:t xml:space="preserve">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a WNM</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4"/>
      </w:pPr>
      <w:bookmarkStart w:id="86" w:name="data_id"/>
      <w:r>
        <w:t xml:space="preserve">data_id</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as defined by the data producer. A data producer may use</w:t>
      </w:r>
      <w:r>
        <w:t xml:space="preserve"> </w:t>
      </w:r>
      <w:r>
        <w:t xml:space="preserve">the identification scheme of their choice in support of uniquely identifying data described by the notification.</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A WNM</w:t>
            </w:r>
            <w:r>
              <w:t xml:space="preserve"> </w:t>
            </w:r>
            <w:r>
              <w:rPr>
                <w:rStyle w:val="VerbatimChar"/>
              </w:rPr>
              <w:t xml:space="preserve">properties.data_id</w:t>
            </w:r>
            <w:r>
              <w:t xml:space="preserve"> </w:t>
            </w:r>
            <w:r>
              <w:t xml:space="preserve">property SHOULD NOT use an opaque id, but something meaningful to support client 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4"/>
      </w:pPr>
      <w:bookmarkStart w:id="87" w:name="metadata_id"/>
      <w:r>
        <w:t xml:space="preserve">metadata_id</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dataset discovery metadata record and its data notifications, allowing a subscriber to consult additional documentation of the dataset, including any access control applied to the data.</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discovery metadata record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4"/>
      </w:pPr>
      <w:bookmarkStart w:id="88" w:name="Xb7bbcf9b61428835f4caca398e39135c004fa7c"/>
      <w:r>
        <w:t xml:space="preserve">Temporal description (datetime, start_datetime, end_datetime)</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89" w:name="X697e5a46ad28eb3b9b23f988c02cdb6c064ab09"/>
      <w:r>
        <w:t xml:space="preserve">Cache</w:t>
      </w:r>
      <w:bookmarkEnd w:id="89"/>
    </w:p>
    <w:p>
      <w:pPr>
        <w:pStyle w:val="FirstParagraph"/>
      </w:pPr>
      <w:r>
        <w:t xml:space="preserve">For core data, the data in a notification’s canonical link is always cached by Global Cache services by default.</w:t>
      </w:r>
    </w:p>
    <w:p>
      <w:pPr>
        <w:pStyle w:val="BodyText"/>
      </w:pPr>
      <w:r>
        <w:t xml:space="preserve">There exist scenarios where core data may continue to be hosted by the data producer. Examples include (but are not limited to):</w:t>
      </w:r>
    </w:p>
    <w:p>
      <w:pPr>
        <w:numPr>
          <w:ilvl w:val="0"/>
          <w:numId w:val="1003"/>
        </w:numPr>
      </w:pPr>
      <w:r>
        <w:t xml:space="preserve">size: the size of the data is very large and not suitable for storage to the Global Cache</w:t>
      </w:r>
    </w:p>
    <w:p>
      <w:pPr>
        <w:numPr>
          <w:ilvl w:val="0"/>
          <w:numId w:val="1003"/>
        </w:numPr>
      </w:pPr>
      <w:r>
        <w:t xml:space="preserve">download metrics: data producers may wish to keep data access isolated to their facilities in support of their own download metrics</w:t>
      </w:r>
      <w:r>
        <w:t xml:space="preserve"> </w:t>
      </w:r>
      <w:r>
        <w:t xml:space="preserve">and reporting</w:t>
      </w:r>
    </w:p>
    <w:p>
      <w:pPr>
        <w:pStyle w:val="FirstParagraph"/>
      </w:pPr>
      <w:r>
        <w:t xml:space="preserve">A data producer can use the</w:t>
      </w:r>
      <w:r>
        <w:t xml:space="preserve"> </w:t>
      </w:r>
      <w:r>
        <w:rPr>
          <w:rStyle w:val="VerbatimChar"/>
        </w:rPr>
        <w:t xml:space="preserve">properties.cache</w:t>
      </w:r>
      <w:r>
        <w:t xml:space="preserve"> </w:t>
      </w:r>
      <w:r>
        <w:t xml:space="preserve">value to signify Global Cache services to not cache their data granule and keep any</w:t>
      </w:r>
      <w:r>
        <w:t xml:space="preserve"> </w:t>
      </w:r>
      <w:r>
        <w:t xml:space="preserve">canonical links unmodified.</w:t>
      </w:r>
    </w:p>
    <w:p>
      <w:pPr>
        <w:pStyle w:val="BodyText"/>
      </w:pPr>
      <w:r>
        <w:t xml:space="preserve">The data notification is always published by the Global Cache regardless of this value to the</w:t>
      </w:r>
      <w:r>
        <w:t xml:space="preserve"> </w:t>
      </w:r>
      <w:r>
        <w:rPr>
          <w:rStyle w:val="VerbatimChar"/>
        </w:rPr>
        <w:t xml:space="preserve">cache</w:t>
      </w:r>
      <w:r>
        <w:t xml:space="preserve"> </w:t>
      </w:r>
      <w:r>
        <w:t xml:space="preserve">topic.</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4"/>
      </w:pPr>
      <w:bookmarkStart w:id="90" w:name="Xca6431e6c5d0c3eca97ef70adcc381814a48cfc"/>
      <w:r>
        <w:t xml:space="preserve">Integrity</w:t>
      </w:r>
      <w:bookmarkEnd w:id="90"/>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encoded.</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1" w:name="X7aee304a37f2f1d86b2a6a656a182189aa215a7"/>
      <w:r>
        <w:t xml:space="preserve">Content</w:t>
      </w:r>
      <w:bookmarkEnd w:id="91"/>
    </w:p>
    <w:p>
      <w:pPr>
        <w:pStyle w:val="FirstParagraph"/>
      </w:pPr>
      <w:r>
        <w:t xml:space="preserve">For data granules with sizes smaller than 4096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to the</w:t>
      </w:r>
      <w:r>
        <w:t xml:space="preserve"> </w:t>
      </w:r>
      <w:r>
        <w:rPr>
          <w:rStyle w:val="VerbatimChar"/>
        </w:rPr>
        <w:t xml:space="preserve">encoding</w:t>
      </w:r>
      <w:r>
        <w:t xml:space="preserve"> </w:t>
      </w:r>
      <w:r>
        <w:t xml:space="preserve">property. The value must be below 4096. Global Brokers may discard messages for where inline data sizes are greater than 4096 bytes.</w:t>
      </w:r>
    </w:p>
    <w:p>
      <w:pPr>
        <w:pStyle w:val="BodyText"/>
      </w:pPr>
      <w:r>
        <w:t xml:space="preserve">The limit takes into account the used data encoding. That is, if the data is compressed with gzip (</w:t>
      </w:r>
      <w:r>
        <w:rPr>
          <w:rStyle w:val="VerbatimChar"/>
        </w:rPr>
        <w:t xml:space="preserve">properties.content.encoding="gzip"</w:t>
      </w:r>
      <w:r>
        <w:t xml:space="preserve">), the compressed size must be less than 4096 bytes.</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4096 bytes)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(taking into account encoding, including possible compression) is less than 4096 bytes, notifications MAY provide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2" w:name="X2b145b5a935ac6e14f7d0458519266699c26f66"/>
      <w:r>
        <w:t xml:space="preserve">Additional properties</w:t>
      </w:r>
      <w:bookmarkEnd w:id="92"/>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1d7673d1972ef78546ac031bb8b3bfe7ca8f8ab"/>
      <w:r>
        <w:t xml:space="preserve">Links</w:t>
      </w:r>
      <w:bookmarkEnd w:id="93"/>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4"/>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p>
      <w:pPr>
        <w:pStyle w:val="FirstParagraph"/>
      </w:pPr>
      <w:r>
        <w:t xml:space="preserve">Links are used to communicate new or updated data or metadata notifications. Links can also communicate when data or metadata has been deleted or invalidated. Note that this differs from rolling data archives (which can be described accordingly in dataset discovery metadata, for example).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the resource.</w:t>
            </w:r>
          </w:p>
        </w:tc>
      </w:tr>
      <w:tr>
        <w:tc>
          <w:p>
            <w:pPr>
              <w:jc w:val="left"/>
            </w:pPr>
            <w:r>
              <w:t xml:space="preserve">D</w:t>
            </w:r>
          </w:p>
        </w:tc>
        <w:tc>
          <w:p>
            <w:pPr>
              <w:jc w:val="left"/>
            </w:pPr>
            <w:r>
              <w:t xml:space="preserve">A WNM SHALL provide links using HTTP, HTTPS, FTP or SFTP.</w:t>
            </w:r>
          </w:p>
        </w:tc>
      </w:tr>
      <w:tr>
        <w:tc>
          <w:p>
            <w:pPr>
              <w:jc w:val="left"/>
            </w:pPr>
            <w:r>
              <w:t xml:space="preserve">E</w:t>
            </w:r>
          </w:p>
        </w:tc>
        <w:tc>
          <w:p>
            <w:pPr>
              <w:jc w:val="left"/>
            </w:pPr>
            <w:r>
              <w:t xml:space="preserve">For new data or metadata notifications, a WNM’s</w:t>
            </w:r>
            <w:r>
              <w:t xml:space="preserve"> </w:t>
            </w:r>
            <w:r>
              <w:rPr>
                <w:rStyle w:val="VerbatimChar"/>
              </w:rPr>
              <w:t xml:space="preserve">links</w:t>
            </w:r>
            <w:r>
              <w:t xml:space="preserve"> </w:t>
            </w:r>
            <w:r>
              <w:t xml:space="preserve">array property SHALL contain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A WNM link relation of</w:t>
            </w:r>
            <w:r>
              <w:t xml:space="preserve"> </w:t>
            </w:r>
            <w:r>
              <w:rPr>
                <w:rStyle w:val="VerbatimChar"/>
              </w:rPr>
              <w:t xml:space="preserve">http://def.wmo.int/def/rel/wnm/-/deletion</w:t>
            </w:r>
            <w:r>
              <w:t xml:space="preserve"> </w:t>
            </w:r>
            <w:r>
              <w:t xml:space="preserve">SHOULD be used for data or metadata invalidation.</w:t>
            </w:r>
          </w:p>
        </w:tc>
      </w:tr>
      <w:tr>
        <w:tc>
          <w:p>
            <w:pPr>
              <w:jc w:val="left"/>
            </w:pPr>
            <w:r>
              <w:t xml:space="preserve">D</w:t>
            </w:r>
          </w:p>
        </w:tc>
        <w:tc>
          <w:p>
            <w:pPr>
              <w:jc w:val="left"/>
            </w:pPr>
            <w:r>
              <w:t xml:space="preserve">A WNM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1"/>
      </w:pPr>
      <w:bookmarkStart w:id="96" w:name="X78fdb1f4716baf4c26796c550dad0531813f831"/>
      <w:r>
        <w:t xml:space="preserve">Conformance Class Abstract Test Suite (Normative)</w:t>
      </w:r>
      <w:bookmarkEnd w:id="96"/>
    </w:p>
    <w:p>
      <w:pPr>
        <w:pStyle w:val="Heading2"/>
      </w:pPr>
      <w:bookmarkStart w:id="97" w:name="Xf5e33246fc357dd59e783ff5116aed1d0d78d2d"/>
      <w:r>
        <w:t xml:space="preserve">Conformance Class: Core</w:t>
      </w:r>
      <w:bookmarkEnd w:id="97"/>
    </w:p>
    <w:p>
      <w:pPr>
        <w:pStyle w:val="DefinitionTerm"/>
      </w:pPr>
      <w:r>
        <w:t xml:space="preserve">label</w:t>
      </w:r>
    </w:p>
    <w:p>
      <w:pPr>
        <w:pStyle w:val="Definition"/>
      </w:pPr>
      <w:hyperlink r:id="rId98">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99" w:name="X6c8ff279ae0c1bdfb37bb6344105bb8007f162a"/>
      <w:r>
        <w:t xml:space="preserve">Validation</w:t>
      </w:r>
      <w:bookmarkEnd w:id="9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0" w:name="X8749fcc5d010c03aaa11d4f982116a6b2a782f3"/>
      <w:r>
        <w:t xml:space="preserve">Identifier</w:t>
      </w:r>
      <w:bookmarkEnd w:id="10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1" w:name="X345d4bcb6128d0a118c5f1c26f808ddd6c78934"/>
      <w:r>
        <w:t xml:space="preserve">Version</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2" w:name="X752c9a0f5737dd1c713512b5590892f33737224"/>
      <w:r>
        <w:t xml:space="preserve">Type</w:t>
      </w:r>
      <w:bookmarkEnd w:id="10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3" w:name="Xf6c2054ab31b9e8da4b9fc5b72010c6504340d1"/>
      <w:r>
        <w:t xml:space="preserve">Geometry</w:t>
      </w:r>
      <w:bookmarkEnd w:id="103"/>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4" w:name="X09bc182be109cd1b026833a928cb865f6eae247"/>
      <w:r>
        <w:t xml:space="preserve">Properties / Publication Time</w:t>
      </w:r>
      <w:bookmarkEnd w:id="104"/>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5" w:name="X6ec3247911d6a1af713c5d8c1808b7e5d36c536"/>
      <w:r>
        <w:t xml:space="preserve">Properties / Data Identification</w:t>
      </w:r>
      <w:bookmarkEnd w:id="105"/>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06" w:name="X555c362766c3d78e98026f75e6b46033c5c86fc"/>
      <w:r>
        <w:t xml:space="preserve">Properties / Temporal description</w:t>
      </w:r>
      <w:bookmarkEnd w:id="106"/>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7" w:name="X2f548a02862f27c19e08100445ffb3606c8e3c2"/>
      <w:r>
        <w:t xml:space="preserve">Links</w:t>
      </w:r>
      <w:bookmarkEnd w:id="107"/>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08" w:name="schemas"/>
      <w:r>
        <w:t xml:space="preserve">Schemas (Normative)</w:t>
      </w:r>
      <w:bookmarkEnd w:id="108"/>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09" w:name="Xa02b6cf8cb025ffeb14bcdac2e407574341d581"/>
      <w:r>
        <w:t xml:space="preserve">WIS2 Notification Message Schema</w:t>
      </w:r>
      <w:bookmarkEnd w:id="109"/>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Identifier for associated discovery metadata record to which the notification applies to.</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0" w:name="examples"/>
      <w:r>
        <w:t xml:space="preserve">Examples (Informative)</w:t>
      </w:r>
      <w:bookmarkEnd w:id="110"/>
    </w:p>
    <w:p>
      <w:pPr>
        <w:pStyle w:val="Heading2"/>
      </w:pPr>
      <w:bookmarkStart w:id="111" w:name="Xa8ccb635a98deae381e2eb1721c5d040231fc9a"/>
      <w:r>
        <w:t xml:space="preserve">WIS2 Notification Message Examples</w:t>
      </w:r>
      <w:bookmarkEnd w:id="111"/>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"urn:x-wmo:md:fra:meteo-france:gap123"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"http://def.wmo.int/def/rel/wnm/-/deletion"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2" w:name="Bibliography"/>
      <w:r>
        <w:t xml:space="preserve">Bibliography</w:t>
      </w:r>
      <w:bookmarkEnd w:id="112"/>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3" w:name="X7704236ba72ed8cc2b9a9e238d27c640b9b6528"/>
      <w:r>
        <w:t xml:space="preserve">Revision History</w:t>
      </w:r>
      <w:bookmarkEnd w:id="11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2023-09-12T08:40:55Z</dcterms:created>
  <dcterms:modified xsi:type="dcterms:W3CDTF">2023-09-12T08:40:55Z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2023-09-12</vt:lpwstr>
  </property>
</Properties>
</file>