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2023-09-12</w:t>
            </w:r>
          </w:p>
        </w:tc>
      </w:tr>
      <w:tr>
        <w:tc>
          <w:p>
            <w:pPr>
              <w:jc w:val="left"/>
            </w:pPr>
            <w:r>
              <w:t xml:space="preserve">Version: 1.0.0-DRAFT-2023-09-12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t xml:space="preserve">Unresolved directive in sections/clause_7_normative_text.adoc - include::../recommendations/core/PER_geometry.adoc[]</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8" w:name="schemas"/>
      <w:r>
        <w:t xml:space="preserve">Schemas (Normative)</w:t>
      </w:r>
      <w:bookmarkEnd w:id="108"/>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9" w:name="Xa02b6cf8cb025ffeb14bcdac2e407574341d581"/>
      <w:r>
        <w:t xml:space="preserve">WIS2 Notification Message Schema</w:t>
      </w:r>
      <w:bookmarkEnd w:id="109"/>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0" w:name="examples"/>
      <w:r>
        <w:t xml:space="preserve">Examples (Informative)</w:t>
      </w:r>
      <w:bookmarkEnd w:id="110"/>
    </w:p>
    <w:p>
      <w:pPr>
        <w:pStyle w:val="Heading2"/>
      </w:pPr>
      <w:bookmarkStart w:id="111" w:name="Xa8ccb635a98deae381e2eb1721c5d040231fc9a"/>
      <w:r>
        <w:t xml:space="preserve">WIS2 Notification Message Examples</w:t>
      </w:r>
      <w:bookmarkEnd w:id="111"/>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2" w:name="Bibliography"/>
      <w:r>
        <w:t xml:space="preserve">Bibliography</w:t>
      </w:r>
      <w:bookmarkEnd w:id="112"/>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3" w:name="X7704236ba72ed8cc2b9a9e238d27c640b9b6528"/>
      <w:r>
        <w:t xml:space="preserve">Revision History</w:t>
      </w:r>
      <w:bookmarkEnd w:id="11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2023-09-12T08:06:29Z</dcterms:created>
  <dcterms:modified xsi:type="dcterms:W3CDTF">2023-09-12T08:06:29Z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2023-09-12</vt:lpwstr>
  </property>
</Properties>
</file>