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Property names, values,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the WTH.</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 (see</w:t>
            </w:r>
            <w:r>
              <w:t xml:space="preserve"> </w:t>
            </w:r>
            <w:hyperlink r:id="rId73">
              <w:r>
                <w:rPr>
                  <w:rStyle w:val="Hyperlink"/>
                  <w:i/>
                </w:rPr>
                <w:t xml:space="preserve">Rules of Procedure for Technical Commissions</w:t>
              </w:r>
            </w:hyperlink>
            <w:r>
              <w:t xml:space="preserve"> </w:t>
            </w:r>
            <w:r>
              <w:t xml:space="preserve">(WMO-No. 1240)).</w:t>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73" Target="https://library.wmo.int/idurl/4/56841"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2024-10-17T14:22:26Z</dcterms:created>
  <dcterms:modified xsi:type="dcterms:W3CDTF">2024-10-17T14:22:26Z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