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(APPROVED)</w:t>
      </w:r>
    </w:p>
    <w:p>
      <w:pPr>
        <w:pStyle w:val="Date"/>
      </w:pPr>
      <w:r>
        <w:t xml:space="preserve">2025-01-27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2025-01-27</w:t>
            </w:r>
          </w:p>
        </w:tc>
      </w:tr>
      <w:tr>
        <w:tc>
          <w:tcPr/>
          <w:p>
            <w:pPr>
              <w:jc w:val="left"/>
            </w:pPr>
            <w:r>
              <w:t xml:space="preserve">Version: 1.0.0</w:t>
            </w:r>
          </w:p>
        </w:tc>
      </w:tr>
      <w:tr>
        <w:tc>
          <w:tcPr/>
          <w:p>
            <w:pPr>
              <w:jc w:val="left"/>
            </w:pPr>
            <w:r>
              <w:t xml:space="preserve">Document location:</w:t>
            </w:r>
            <w:r>
              <w:t xml:space="preserve"> </w:t>
            </w:r>
            <w:hyperlink r:id="rId20">
              <w:r>
                <w:rPr>
                  <w:rStyle w:val="Hyperlink"/>
                </w:rPr>
                <w:t xml:space="preserve">https://community.wmo.int/wis2-transition-guide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7" w:name="Xe48c73753b941f3d8c50049fbfd82d3fb4726a7"/>
    <w:p>
      <w:pPr>
        <w:pStyle w:val="Heading1"/>
      </w:pPr>
      <w:r>
        <w:t xml:space="preserve">PREAMBLE</w:t>
      </w:r>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5">
        <w:r>
          <w:rPr>
            <w:rStyle w:val="Hyperlink"/>
            <w:iCs/>
            <w:i/>
          </w:rPr>
          <w:t xml:space="preserve">Manual on the WMO Information System</w:t>
        </w:r>
      </w:hyperlink>
      <w:r>
        <w:t xml:space="preserve"> </w:t>
      </w:r>
      <w:r>
        <w:t xml:space="preserve">(WMO-No. 1060), Volume II (hereinafter</w:t>
      </w:r>
      <w:r>
        <w:t xml:space="preserve"> </w:t>
      </w:r>
      <w:r>
        <w:rPr>
          <w:iCs/>
          <w:i/>
        </w:rPr>
        <w:t xml:space="preserve">Manual on WIS</w:t>
      </w:r>
      <w:r>
        <w:t xml:space="preserve">, Volume II), and further explained in the</w:t>
      </w:r>
      <w:r>
        <w:t xml:space="preserve"> </w:t>
      </w:r>
      <w:hyperlink r:id="rId26">
        <w:r>
          <w:rPr>
            <w:rStyle w:val="Hyperlink"/>
            <w:iCs/>
            <w:i/>
          </w:rPr>
          <w:t xml:space="preserve">Guide to the WMO Information System</w:t>
        </w:r>
      </w:hyperlink>
      <w:r>
        <w:t xml:space="preserve"> </w:t>
      </w:r>
      <w:r>
        <w:t xml:space="preserve">(WMO-No. 1061), Volume II (hereinafter</w:t>
      </w:r>
      <w:r>
        <w:t xml:space="preserve"> </w:t>
      </w:r>
      <w:r>
        <w:rPr>
          <w:iCs/>
          <w:i/>
        </w:rPr>
        <w:t xml:space="preserve">Guide to WIS</w:t>
      </w:r>
      <w:r>
        <w:t xml:space="preserve">, Volume II).</w:t>
      </w:r>
    </w:p>
    <w:bookmarkEnd w:id="27"/>
    <w:bookmarkStart w:id="32" w:name="X36c7e2c75b43d5c767d5ec28916273fa4452173"/>
    <w:p>
      <w:pPr>
        <w:pStyle w:val="Heading1"/>
      </w:pPr>
      <w:r>
        <w:t xml:space="preserve">1. INTRODUCTION</w:t>
      </w:r>
    </w:p>
    <w:p>
      <w:pPr>
        <w:pStyle w:val="FirstParagraph"/>
      </w:pPr>
      <w:r>
        <w:t xml:space="preserve">The WMO Executive Council, through</w:t>
      </w:r>
      <w:r>
        <w:t xml:space="preserve"> </w:t>
      </w:r>
      <w:hyperlink r:id="rId28">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30" name="Picture"/>
            <a:graphic>
              <a:graphicData uri="http://schemas.openxmlformats.org/drawingml/2006/picture">
                <pic:pic>
                  <pic:nvPicPr>
                    <pic:cNvPr descr="images/wis2-timeline.png" id="31" name="Picture"/>
                    <pic:cNvPicPr>
                      <a:picLocks noChangeArrowheads="1" noChangeAspect="1"/>
                    </pic:cNvPicPr>
                  </pic:nvPicPr>
                  <pic:blipFill>
                    <a:blip r:embed="rId29"/>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bookmarkEnd w:id="32"/>
    <w:bookmarkStart w:id="34" w:name="Xd64ba616be89133975174d025209ea677f0d649"/>
    <w:p>
      <w:pPr>
        <w:pStyle w:val="Heading1"/>
      </w:pPr>
      <w:r>
        <w:t xml:space="preserve">2. PRINCIPLES</w:t>
      </w:r>
    </w:p>
    <w:p>
      <w:pPr>
        <w:pStyle w:val="FirstParagraph"/>
      </w:pPr>
      <w:r>
        <w:t xml:space="preserve">The following principles are appropriate for the transition.</w:t>
      </w:r>
    </w:p>
    <w:p>
      <w:pPr>
        <w:pStyle w:val="BodyText"/>
      </w:pPr>
      <w:r>
        <w:rPr>
          <w:bCs/>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Cs/>
          <w:i/>
        </w:rPr>
        <w:t xml:space="preserve">Note: WIS centres are Global Information System Centres (GISCs), Data Collection or Production Centres (DCPCs) and National Centres (NCs).</w:t>
      </w:r>
    </w:p>
    <w:p>
      <w:pPr>
        <w:pStyle w:val="BodyText"/>
      </w:pPr>
      <w:r>
        <w:rPr>
          <w:bCs/>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Cs/>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Cs/>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3">
        <w:r>
          <w:rPr>
            <w:rStyle w:val="Hyperlink"/>
            <w:iCs/>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bookmarkEnd w:id="34"/>
    <w:bookmarkStart w:id="45" w:name="X55cba2950662f4c1953bcd02f0364cda03c119f"/>
    <w:p>
      <w:pPr>
        <w:pStyle w:val="Heading1"/>
      </w:pPr>
      <w:r>
        <w:t xml:space="preserve">3. TEMPORARY GLOBAL SERVICES</w:t>
      </w:r>
    </w:p>
    <w:bookmarkStart w:id="38" w:name="X92775deaf001be75da4ae3a1368b04113ef5236"/>
    <w:p>
      <w:pPr>
        <w:pStyle w:val="Heading2"/>
      </w:pPr>
      <w:r>
        <w:t xml:space="preserve">3.1 GTS to WIS2 gateway</w:t>
      </w:r>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bookmarkStart w:id="35" w:name="Xa1f0293850b1feb671d0a6566c7a021c4500e60"/>
    <w:p>
      <w:pPr>
        <w:pStyle w:val="Heading3"/>
      </w:pPr>
      <w:r>
        <w:t xml:space="preserve">3.1.1 Purpose</w:t>
      </w:r>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bookmarkEnd w:id="35"/>
    <w:bookmarkStart w:id="36" w:name="X2d0aec8ebd3a701f864d47da6492329599314d4"/>
    <w:p>
      <w:pPr>
        <w:pStyle w:val="Heading3"/>
      </w:pPr>
      <w:r>
        <w:t xml:space="preserve">3.1.2 GTS to WIS2 gateway provider</w:t>
      </w:r>
    </w:p>
    <w:p>
      <w:pPr>
        <w:pStyle w:val="FirstParagraph"/>
      </w:pPr>
      <w:r>
        <w:t xml:space="preserve">To ensure resilient operation, there will be more than one GTS to WIS2 gateway.</w:t>
      </w:r>
    </w:p>
    <w:bookmarkEnd w:id="36"/>
    <w:bookmarkStart w:id="37" w:name="Xab84ce61a6f6674d6e31e8afee532d3fcd45551"/>
    <w:p>
      <w:pPr>
        <w:pStyle w:val="Heading3"/>
      </w:pPr>
      <w:r>
        <w:t xml:space="preserve">3.1.3 Technical requirements</w:t>
      </w:r>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bookmarkEnd w:id="37"/>
    <w:bookmarkEnd w:id="38"/>
    <w:bookmarkStart w:id="44" w:name="Xa4b5fa422731dd35d8c0c49fe588a3cea73815b"/>
    <w:p>
      <w:pPr>
        <w:pStyle w:val="Heading2"/>
      </w:pPr>
      <w:r>
        <w:t xml:space="preserve">3.2 WIS2 to GTS gateway</w:t>
      </w:r>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bookmarkStart w:id="39" w:name="X0c421b9194a9eabd5a6e6a344a871c15c2fdc2d"/>
    <w:p>
      <w:pPr>
        <w:pStyle w:val="Heading3"/>
      </w:pPr>
      <w:r>
        <w:t xml:space="preserve">3.2.1 Purpose</w:t>
      </w:r>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bookmarkEnd w:id="39"/>
    <w:bookmarkStart w:id="40" w:name="X2162b59264dab19a310b5a9f7d85f4538f7c613"/>
    <w:p>
      <w:pPr>
        <w:pStyle w:val="Heading3"/>
      </w:pPr>
      <w:r>
        <w:t xml:space="preserve">3.2.2 WIS2 to GTS gateway operators</w:t>
      </w:r>
    </w:p>
    <w:p>
      <w:pPr>
        <w:pStyle w:val="FirstParagraph"/>
      </w:pPr>
      <w:r>
        <w:t xml:space="preserve">The gateway will be provided by designated Regional Telecommunication Hubs (RTH).</w:t>
      </w:r>
    </w:p>
    <w:bookmarkEnd w:id="40"/>
    <w:bookmarkStart w:id="43" w:name="X322f47fc1c78b6f7428a4331d25056d38a88ccd"/>
    <w:p>
      <w:pPr>
        <w:pStyle w:val="Heading3"/>
      </w:pPr>
      <w:r>
        <w:t xml:space="preserve">3.2.3 Technical requirements</w:t>
      </w:r>
    </w:p>
    <w:bookmarkStart w:id="41" w:name="Xe624e9bd8119dbca036aa60eea799101e3dfc57"/>
    <w:p>
      <w:pPr>
        <w:pStyle w:val="Heading4"/>
      </w:pPr>
      <w:r>
        <w:t xml:space="preserve">3.2.3.1 For WIS centres wishing to stop their Message Switching System</w:t>
      </w:r>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bookmarkEnd w:id="41"/>
    <w:bookmarkStart w:id="42" w:name="Xfc461f9a3e54bceb4bfeed8e2d1c53e09aa17e4"/>
    <w:p>
      <w:pPr>
        <w:pStyle w:val="Heading4"/>
      </w:pPr>
      <w:r>
        <w:t xml:space="preserve">3.2.3.2 Guidance for WIS2 to GTS gateway operators</w:t>
      </w:r>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bookmarkEnd w:id="42"/>
    <w:bookmarkEnd w:id="43"/>
    <w:bookmarkEnd w:id="44"/>
    <w:bookmarkEnd w:id="45"/>
    <w:bookmarkStart w:id="49" w:name="X33780d4a67f22a8aca93311452eb52a003a466b"/>
    <w:p>
      <w:pPr>
        <w:pStyle w:val="Heading1"/>
      </w:pPr>
      <w:r>
        <w:t xml:space="preserve">4. STOPPING A MESSAGE SWITCHING SYSTEM</w:t>
      </w:r>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Figure 2. MSS decommissioning procedure" title="" id="47" name="Picture"/>
            <a:graphic>
              <a:graphicData uri="http://schemas.openxmlformats.org/drawingml/2006/picture">
                <pic:pic>
                  <pic:nvPicPr>
                    <pic:cNvPr descr="images/stopping-mss.png" id="48" name="Picture"/>
                    <pic:cNvPicPr>
                      <a:picLocks noChangeArrowheads="1" noChangeAspect="1"/>
                    </pic:cNvPicPr>
                  </pic:nvPicPr>
                  <pic:blipFill>
                    <a:blip r:embed="rId46"/>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bookmarkEnd w:id="49"/>
    <w:bookmarkStart w:id="59" w:name="X98939dd33b924668f7951a700ddd40214eddb4d"/>
    <w:p>
      <w:pPr>
        <w:pStyle w:val="Heading1"/>
      </w:pPr>
      <w:r>
        <w:t xml:space="preserve">5. MANAGEMENT OF WIS1 AND GTS</w:t>
      </w:r>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bookmarkStart w:id="53" w:name="X111bd1f93199c7121e85a1674d2394378e0022b"/>
    <w:p>
      <w:pPr>
        <w:pStyle w:val="Heading2"/>
      </w:pPr>
      <w:r>
        <w:t xml:space="preserve">5.1 Maintenance and operation of Message Switching Systems</w:t>
      </w:r>
    </w:p>
    <w:bookmarkStart w:id="50" w:name="X70b80e0db7f5da610d3f32fce7b4b551886a6dc"/>
    <w:p>
      <w:pPr>
        <w:pStyle w:val="Heading3"/>
      </w:pPr>
      <w:r>
        <w:t xml:space="preserve">5.1.1 Main Telecommunication Network</w:t>
      </w:r>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bookmarkEnd w:id="50"/>
    <w:bookmarkStart w:id="51" w:name="Xd019e4aa8632689ce17d5daf4009b203c182934"/>
    <w:p>
      <w:pPr>
        <w:pStyle w:val="Heading3"/>
      </w:pPr>
      <w:r>
        <w:t xml:space="preserve">5.1.2 Regional Telecommunication Hubs</w:t>
      </w:r>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bookmarkEnd w:id="51"/>
    <w:bookmarkStart w:id="52" w:name="X0a4d51eaf84b85dfcbfcc1505b4ae6f2bb33325"/>
    <w:p>
      <w:pPr>
        <w:pStyle w:val="Heading3"/>
      </w:pPr>
      <w:r>
        <w:t xml:space="preserve">5.1.3 National Meteorological Centres</w:t>
      </w:r>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Cs/>
          <w:i/>
        </w:rPr>
        <w:t xml:space="preserve">Note: The WIS2 Notification Messages with GTS properties will only concern data that are already published in GTS. New data will only be published on WIS2.</w:t>
      </w:r>
    </w:p>
    <w:bookmarkEnd w:id="52"/>
    <w:bookmarkEnd w:id="53"/>
    <w:bookmarkStart w:id="54" w:name="X3f66f2c7f63ea5cc44810d04b5f8a77dcc9b188"/>
    <w:p>
      <w:pPr>
        <w:pStyle w:val="Heading2"/>
      </w:pPr>
      <w:r>
        <w:t xml:space="preserve">5.2 Maintenance and operation of WIS1 Catalogue and Cache by Global Information System Centres</w:t>
      </w:r>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bookmarkEnd w:id="54"/>
    <w:bookmarkStart w:id="58" w:name="Xc2c31bf89786d2c4bf99f1d6c9568967d877e5e"/>
    <w:p>
      <w:pPr>
        <w:pStyle w:val="Heading2"/>
      </w:pPr>
      <w:r>
        <w:t xml:space="preserve">5.3 Management of GTS abbreviated headings</w:t>
      </w:r>
    </w:p>
    <w:p>
      <w:pPr>
        <w:pStyle w:val="FirstParagraph"/>
      </w:pPr>
      <w:r>
        <w:t xml:space="preserve">The GTS abbreviated headings are described in the</w:t>
      </w:r>
      <w:r>
        <w:t xml:space="preserve"> </w:t>
      </w:r>
      <w:hyperlink r:id="rId55">
        <w:r>
          <w:rPr>
            <w:rStyle w:val="Hyperlink"/>
            <w:iCs/>
            <w:i/>
          </w:rPr>
          <w:t xml:space="preserve">Manual on the Global Telecommunication System</w:t>
        </w:r>
      </w:hyperlink>
      <w:r>
        <w:t xml:space="preserve"> </w:t>
      </w:r>
      <w:r>
        <w:t xml:space="preserve">(WMO-No. 386) (</w:t>
      </w:r>
      <w:r>
        <w:rPr>
          <w:iCs/>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6">
        <w:r>
          <w:rPr>
            <w:rStyle w:val="Hyperlink"/>
            <w:iCs/>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bookmarkStart w:id="57" w:name="Xea57d4bb6c52531bfb10cf77d456b26f40483eb"/>
    <w:p>
      <w:pPr>
        <w:pStyle w:val="Heading3"/>
      </w:pPr>
      <w:r>
        <w:t xml:space="preserve">5.3.1 GTS headings for the International Civil Aviation Authority</w:t>
      </w:r>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bookmarkEnd w:id="57"/>
    <w:bookmarkEnd w:id="58"/>
    <w:bookmarkEnd w:id="59"/>
    <w:bookmarkStart w:id="63" w:name="X5e20f58738c779bac03ef9cf5a4a0734728eeef"/>
    <w:p>
      <w:pPr>
        <w:pStyle w:val="Heading1"/>
      </w:pPr>
      <w:r>
        <w:t xml:space="preserve">6. MANAGEMENT OF WIS CENTRES</w:t>
      </w:r>
    </w:p>
    <w:bookmarkStart w:id="60" w:name="X5dd851bc6a57d8a7632f100dcb2c0e130fa8d58"/>
    <w:p>
      <w:pPr>
        <w:pStyle w:val="Heading2"/>
      </w:pPr>
      <w:r>
        <w:t xml:space="preserve">6.1 National Centres</w:t>
      </w:r>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0"/>
    <w:bookmarkStart w:id="61" w:name="X66a265cd2ee904760bc1ad46fe74f45364f56bb"/>
    <w:p>
      <w:pPr>
        <w:pStyle w:val="Heading2"/>
      </w:pPr>
      <w:r>
        <w:t xml:space="preserve">6.2 Data Collection and Production Centres</w:t>
      </w:r>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1"/>
    <w:bookmarkStart w:id="62" w:name="X8faf1942622ecf2376b35c3b9091f4fc651ce07"/>
    <w:p>
      <w:pPr>
        <w:pStyle w:val="Heading2"/>
      </w:pPr>
      <w:r>
        <w:t xml:space="preserve">6.3 Global Information System Centres</w:t>
      </w:r>
    </w:p>
    <w:p>
      <w:pPr>
        <w:pStyle w:val="FirstParagraph"/>
      </w:pPr>
      <w:r>
        <w:t xml:space="preserve">A GISC shall support Members in its area of responsibility in the migration and operation of WIS2.</w:t>
      </w:r>
    </w:p>
    <w:bookmarkEnd w:id="62"/>
    <w:bookmarkEnd w:id="63"/>
    <w:bookmarkStart w:id="68" w:name="X8c52cb33a179e985e93533353f95ae036d08685"/>
    <w:p>
      <w:pPr>
        <w:pStyle w:val="Heading1"/>
      </w:pPr>
      <w:r>
        <w:t xml:space="preserve">7. References</w:t>
      </w:r>
    </w:p>
    <w:bookmarkStart w:id="64" w:name="Xec057786931d30c6a491007f9b7bdfeb6d1a106"/>
    <w:p>
      <w:pPr>
        <w:pStyle w:val="Heading2"/>
      </w:pPr>
      <w:r>
        <w:t xml:space="preserve">7.1 Normative</w:t>
      </w:r>
    </w:p>
    <w:p>
      <w:pPr>
        <w:numPr>
          <w:ilvl w:val="0"/>
          <w:numId w:val="1007"/>
        </w:numPr>
      </w:pPr>
      <w:hyperlink r:id="rId25">
        <w:r>
          <w:rPr>
            <w:rStyle w:val="Hyperlink"/>
            <w:iCs/>
            <w:i/>
          </w:rPr>
          <w:t xml:space="preserve">Manual on the WMO Information System</w:t>
        </w:r>
      </w:hyperlink>
      <w:r>
        <w:t xml:space="preserve"> </w:t>
      </w:r>
      <w:r>
        <w:t xml:space="preserve">(WMO-No. 1060), Volume II (the following appendices were adopted in Resolution 15 of the seventy-eighth session of the Executive Council (EC-78) and are available in the 2024 edition of the</w:t>
      </w:r>
      <w:r>
        <w:t xml:space="preserve"> </w:t>
      </w:r>
      <w:r>
        <w:rPr>
          <w:iCs/>
          <w:i/>
        </w:rPr>
        <w:t xml:space="preserve">Manual on the WMO Information System</w:t>
      </w:r>
      <w:r>
        <w:t xml:space="preserve">):</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(WMH):https://github.com/wmo-im/wis2-metric-hierarchy</w:t>
      </w:r>
    </w:p>
    <w:bookmarkEnd w:id="64"/>
    <w:bookmarkStart w:id="67" w:name="X65dcc418478fbd83ed264b703f7c25ba977b456"/>
    <w:p>
      <w:pPr>
        <w:pStyle w:val="Heading2"/>
      </w:pPr>
      <w:r>
        <w:t xml:space="preserve">7.2 Informative</w:t>
      </w:r>
    </w:p>
    <w:p>
      <w:pPr>
        <w:numPr>
          <w:ilvl w:val="0"/>
          <w:numId w:val="1009"/>
        </w:numPr>
      </w:pPr>
      <w:hyperlink r:id="rId65">
        <w:r>
          <w:rPr>
            <w:rStyle w:val="Hyperlink"/>
            <w:iCs/>
            <w:i/>
          </w:rPr>
          <w:t xml:space="preserve">WMO Information System 2.0 Strategy</w:t>
        </w:r>
      </w:hyperlink>
      <w:r>
        <w:t xml:space="preserve"> </w:t>
      </w:r>
      <w:r>
        <w:t xml:space="preserve">(WMO-No. 1213)</w:t>
      </w:r>
    </w:p>
    <w:p>
      <w:pPr>
        <w:numPr>
          <w:ilvl w:val="0"/>
          <w:numId w:val="1009"/>
        </w:numPr>
      </w:pPr>
      <w:hyperlink r:id="rId66">
        <w:r>
          <w:rPr>
            <w:rStyle w:val="Hyperlink"/>
            <w:iCs/>
            <w:i/>
          </w:rPr>
          <w:t xml:space="preserve">WMO Guidelines on Emerging Data Issues</w:t>
        </w:r>
      </w:hyperlink>
      <w:r>
        <w:t xml:space="preserve"> </w:t>
      </w:r>
      <w:r>
        <w:t xml:space="preserve">(WMO-No. 1239)</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(APPROVED)</dc:title>
  <dc:creator/>
  <cp:keywords/>
  <dcterms:created xsi:type="dcterms:W3CDTF">2025-01-27T14:00:18Z</dcterms:created>
  <dcterms:modified xsi:type="dcterms:W3CDTF">2025-01-27T14:00:18Z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2025-01-27</vt:lpwstr>
  </property>
</Properties>
</file>