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2024-08-01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2024-08-01</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The Executive Council, through</w:t>
      </w:r>
      <w:r>
        <w:t xml:space="preserve"> </w:t>
      </w:r>
      <w:hyperlink r:id="rId29">
        <w:r>
          <w:rPr>
            <w:rStyle w:val="Hyperlink"/>
          </w:rPr>
          <w:t xml:space="preserve">Resolution 34 (EC-76)</w:t>
        </w:r>
      </w:hyperlink>
      <w:r>
        <w:t xml:space="preserve">, recognized the importance of establishing a pilot phase to develop the WIS2 infrastructure and begin testing it, in order to be ready for a pre-operational phase in 2024, and then for the transition starting in 2025. 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The WIS2 to GTS gateway will ensure that only the data currently available on the GTS and whose Member is wishing to stop its MSS will be re-published onto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 GTS 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recalls the various roles on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for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w:t>
      </w:r>
    </w:p>
    <w:p>
      <w:pPr>
        <w:pStyle w:val="BodyText"/>
      </w:pPr>
      <w:r>
        <w:rPr>
          <w:i/>
        </w:rPr>
        <w:t xml:space="preserve">Note: This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b0368c9858e021a1bbdc826a55055282500de23"/>
      <w:r>
        <w:t xml:space="preserve">5.3.1 GTS headings for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2024-08-01T12:30:24Z</dcterms:created>
  <dcterms:modified xsi:type="dcterms:W3CDTF">2024-08-01T12:30:24Z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2024-08-01</vt:lpwstr>
  </property>
</Properties>
</file>