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WIGOS</w:t>
      </w:r>
      <w:r>
        <w:t xml:space="preserve"> </w:t>
      </w:r>
      <w:r>
        <w:t xml:space="preserve">Metadata</w:t>
      </w:r>
      <w:r>
        <w:t xml:space="preserve"> </w:t>
      </w:r>
      <w:r>
        <w:t xml:space="preserve">Representation</w:t>
      </w:r>
      <w:r>
        <w:t xml:space="preserve"> </w:t>
      </w:r>
      <w:r>
        <w:t xml:space="preserve">(WMDR)</w:t>
      </w:r>
      <w:r>
        <w:t xml:space="preserve"> </w:t>
      </w:r>
      <w:r>
        <w:t xml:space="preserve">Version</w:t>
      </w:r>
      <w:r>
        <w:t xml:space="preserve"> </w:t>
      </w:r>
      <w:r>
        <w:t xml:space="preserve">2</w:t>
      </w:r>
    </w:p>
    <w:p>
      <w:pPr>
        <w:pStyle w:val="Date"/>
      </w:pPr>
      <w:r>
        <w:t xml:space="preserve">2026-09-26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2026-09-26</w:t>
            </w:r>
          </w:p>
        </w:tc>
      </w:tr>
      <w:tr>
        <w:tc>
          <w:tcPr/>
          <w:p>
            <w:pPr>
              <w:jc w:val="left"/>
            </w:pPr>
            <w:r>
              <w:t xml:space="preserve">Version: 1.99.dev1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https://wmo-im.github.io/wmdr2/standard/wmdr2-DRAFT.html</w:t>
              </w:r>
            </w:hyperlink>
          </w:p>
        </w:tc>
      </w:tr>
      <w:tr>
        <w:tc>
          <w:tcPr/>
          <w:p>
            <w:pPr>
              <w:jc w:val="left"/>
            </w:pPr>
            <w:r>
              <w:t xml:space="preserve">WMO publication location: TODO</w:t>
            </w:r>
          </w:p>
        </w:tc>
      </w:tr>
      <w:tr>
        <w:tc>
          <w:tcPr/>
          <w:p>
            <w:pPr>
              <w:jc w:val="left"/>
            </w:pPr>
            <w:r>
              <w:t xml:space="preserve">Task Team on WIGOS Metadata (TT-WIGOSMD)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TODO opening overview.</w:t>
      </w:r>
    </w:p>
    <w:p>
      <w:pPr>
        <w:pStyle w:val="BodyText"/>
      </w:pPr>
      <w:r>
        <w:t xml:space="preserve">This document defines the content, structure, and encoding for the WIGOS Metadata Representation (WMDR). This standard is a profile and extension of the OGC API - Records standard</w:t>
      </w:r>
      <w:r>
        <w:t xml:space="preserve"> </w:t>
      </w:r>
      <w:r>
        <w:rPr>
          <w:rStyle w:val="FootnoteReference"/>
        </w:rPr>
        <w:footnoteReference w:id="29"/>
      </w:r>
      <w:r>
        <w:t xml:space="preserve">.</w:t>
      </w:r>
    </w:p>
    <w:p>
      <w:pPr>
        <w:pStyle w:val="BodyText"/>
      </w:pPr>
      <w:r>
        <w:t xml:space="preserve">TODO high level scope, 1 sentence.</w:t>
      </w:r>
    </w:p>
    <w:p>
      <w:pPr>
        <w:pStyle w:val="BodyText"/>
      </w:pPr>
      <w:r>
        <w:t xml:space="preserve">WMDR documents shall be encoded in GeoJSON (RFC 7946</w:t>
      </w:r>
      <w:r>
        <w:t xml:space="preserve"> </w:t>
      </w:r>
      <w:r>
        <w:rPr>
          <w:rStyle w:val="FootnoteReference"/>
        </w:rPr>
        <w:footnoteReference w:id="31"/>
      </w:r>
      <w:r>
        <w:t xml:space="preserve">) as defined in this specification and shall be made available as HTTP crawlable files or via API provisioning as defined by OGC API - Records.</w:t>
      </w:r>
    </w:p>
    <w:p>
      <w:pPr>
        <w:pStyle w:val="BodyText"/>
      </w:pPr>
      <w:r>
        <w:t xml:space="preserve">Weather/climate/water data is by nature geospatial and temporal. The W3C Data on the Web Best Practices</w:t>
      </w:r>
      <w:r>
        <w:t xml:space="preserve"> </w:t>
      </w:r>
      <w:r>
        <w:rPr>
          <w:rStyle w:val="FootnoteReference"/>
        </w:rPr>
        <w:footnoteReference w:id="33"/>
      </w:r>
      <w:r>
        <w:t xml:space="preserve"> </w:t>
      </w:r>
      <w:r>
        <w:t xml:space="preserve">and Spatial Data on the Web Best Practices</w:t>
      </w:r>
      <w:r>
        <w:t xml:space="preserve"> </w:t>
      </w:r>
      <w:r>
        <w:rPr>
          <w:rStyle w:val="FootnoteReference"/>
        </w:rPr>
        <w:footnoteReference w:id="35"/>
      </w:r>
      <w:r>
        <w:t xml:space="preserve"> </w:t>
      </w:r>
      <w:r>
        <w:t xml:space="preserve">publications 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7"/>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wigos, station, observing facility, observations, instrument, weather, climate, water, metadata,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9"/>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3"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WIGOS Global Observing Facility Catalogue (GOFC).</w:t>
      </w:r>
    </w:p>
    <w:p>
      <w:pPr>
        <w:pStyle w:val="BodyText"/>
      </w:pPr>
      <w:r>
        <w:t xml:space="preserve">The WIGOS Metadata Representation (WMDR) standard defined herein is an extension of the International Standard</w:t>
      </w:r>
      <w:r>
        <w:t xml:space="preserve"> </w:t>
      </w:r>
      <w:r>
        <w:rPr>
          <w:iCs/>
          <w:i/>
        </w:rPr>
        <w:t xml:space="preserve">OGC API - Records - Part 1: Core</w:t>
      </w:r>
      <w:r>
        <w:t xml:space="preserve">.</w:t>
      </w:r>
    </w:p>
    <w:p>
      <w:pPr>
        <w:pStyle w:val="BodyText"/>
      </w:pPr>
      <w:r>
        <w:t xml:space="preserve">WMDR observing facility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WMDR is to describe</w:t>
      </w:r>
      <w:r>
        <w:t xml:space="preserve"> </w:t>
      </w:r>
      <w:r>
        <w:rPr>
          <w:bCs/>
          <w:b/>
        </w:rPr>
        <w:t xml:space="preserve">stations</w:t>
      </w:r>
      <w:r>
        <w:t xml:space="preserve">, or observing facilities. Services and APIs operating on resources are represented as part of discovery metadata via links to WIS2 discovery metadata (WCMP2).</w:t>
      </w:r>
    </w:p>
    <w:p>
      <w:pPr>
        <w:pStyle w:val="BodyText"/>
      </w:pPr>
      <w:r>
        <w:t xml:space="preserve">WMDR observing facility metadata record provides descriptions at the granularity level of a station, or observing facilty. Dataset discovery metadata are supported by the</w:t>
      </w:r>
      <w:r>
        <w:t xml:space="preserve"> </w:t>
      </w:r>
      <w:r>
        <w:rPr>
          <w:iCs/>
          <w:i/>
        </w:rPr>
        <w:t xml:space="preserve">Manual on the WMO Information System, Volume II - WMO Information System 2.0</w:t>
      </w:r>
      <w:r>
        <w:t xml:space="preserve"> </w:t>
      </w:r>
      <w:r>
        <w:rPr>
          <w:rStyle w:val="FootnoteReference"/>
        </w:rPr>
        <w:footnoteReference w:id="41"/>
      </w:r>
      <w:r>
        <w:t xml:space="preserve">.</w:t>
      </w:r>
    </w:p>
    <w:p>
      <w:pPr>
        <w:pStyle w:val="BodyText"/>
      </w:pPr>
      <w:r>
        <w:t xml:space="preserve">This specification defines the conformance requirements for the WIGOS Metadata Representation. Annex A defines the abstract test suite. Annex B provides normative information on schemas. Annex C provides informative examples. Annex D provides informative codelists.</w:t>
      </w:r>
    </w:p>
    <w:bookmarkEnd w:id="43"/>
    <w:bookmarkStart w:id="44"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observing facility metadata records published within the WIGOS Global Observing Facility Catalogue (GOFC) are required to comply with the WIGOS Metadata Representation (WMDR). WMDR observing facility metadata shall therefore be compliant with OGC API - Records - Part 1: Core: Requirements Class: Record Core.</w:t>
      </w:r>
    </w:p>
    <w:p>
      <w:pPr>
        <w:pStyle w:val="BodyText"/>
      </w:pPr>
      <w:r>
        <w:t xml:space="preserve">WMO shall publish guidance material to assist authors of WMDR observing facility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WMDR is:</w:t>
      </w:r>
    </w:p>
    <w:p>
      <w:pPr>
        <w:numPr>
          <w:ilvl w:val="0"/>
          <w:numId w:val="1001"/>
        </w:numPr>
      </w:pPr>
      <w:r>
        <w:t xml:space="preserve">"WIGOS Metadata Representation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WMDR.</w:t>
      </w:r>
      <w:r>
        <w:t xml:space="preserve"> </w:t>
      </w:r>
      <w:r>
        <w:t xml:space="preserve">The requirements are specified in Chapter 7 and in Annex A in more detail.</w:t>
      </w:r>
    </w:p>
    <w:bookmarkEnd w:id="44"/>
    <w:bookmarkStart w:id="72" w:name="X7dc5ec89ace04afa0dfcc5c2c63a457bc733b57"/>
    <w:p>
      <w:pPr>
        <w:pStyle w:val="Heading1"/>
      </w:pPr>
      <w:r>
        <w:t xml:space="preserve">References</w:t>
      </w:r>
    </w:p>
    <w:p>
      <w:pPr>
        <w:numPr>
          <w:ilvl w:val="0"/>
          <w:numId w:val="1002"/>
        </w:numPr>
      </w:pPr>
      <w:bookmarkStart w:id="45" w:name="ogcapi-records"/>
      <w:bookmarkEnd w:id="45"/>
      <w:r>
        <w:t xml:space="preserve"> </w:t>
      </w:r>
      <w:r>
        <w:t xml:space="preserve">OGC: OGC 20-004, OGC API - Records - Part 1: Core 1.0 (2023)</w:t>
      </w:r>
      <w:r>
        <w:t xml:space="preserve"> </w:t>
      </w:r>
      <w:r>
        <w:rPr>
          <w:rStyle w:val="FootnoteReference"/>
        </w:rPr>
        <w:footnoteReference w:id="46"/>
      </w:r>
    </w:p>
    <w:p>
      <w:pPr>
        <w:numPr>
          <w:ilvl w:val="0"/>
          <w:numId w:val="1002"/>
        </w:numPr>
      </w:pPr>
      <w:bookmarkStart w:id="48" w:name="ogcapi-features"/>
      <w:bookmarkEnd w:id="48"/>
      <w:r>
        <w:t xml:space="preserve"> </w:t>
      </w:r>
      <w:r>
        <w:t xml:space="preserve">OGC: OGC 17-069r, OGC API - Features - Part 1: Core 1.0 (2022)</w:t>
      </w:r>
      <w:r>
        <w:t xml:space="preserve"> </w:t>
      </w:r>
      <w:r>
        <w:rPr>
          <w:rStyle w:val="FootnoteReference"/>
        </w:rPr>
        <w:footnoteReference w:id="49"/>
      </w:r>
    </w:p>
    <w:p>
      <w:pPr>
        <w:numPr>
          <w:ilvl w:val="0"/>
          <w:numId w:val="1002"/>
        </w:numPr>
      </w:pPr>
      <w:bookmarkStart w:id="51" w:name="rfc7946"/>
      <w:bookmarkEnd w:id="51"/>
      <w:r>
        <w:t xml:space="preserve"> </w:t>
      </w:r>
      <w:r>
        <w:t xml:space="preserve">IETF: RFC-7946 The GeoJSON Format (2016)</w:t>
      </w:r>
      <w:r>
        <w:t xml:space="preserve"> </w:t>
      </w:r>
      <w:r>
        <w:rPr>
          <w:rStyle w:val="FootnoteReference"/>
        </w:rPr>
        <w:footnoteReference w:id="52"/>
      </w:r>
    </w:p>
    <w:p>
      <w:pPr>
        <w:numPr>
          <w:ilvl w:val="0"/>
          <w:numId w:val="1002"/>
        </w:numPr>
      </w:pPr>
      <w:bookmarkStart w:id="53" w:name="rfc8259"/>
      <w:bookmarkEnd w:id="53"/>
      <w:r>
        <w:t xml:space="preserve"> </w:t>
      </w:r>
      <w:r>
        <w:t xml:space="preserve">IETF: RFC-8259 The JavaScript Object Notation (JSON) Data Interchange Format (2017)</w:t>
      </w:r>
      <w:r>
        <w:t xml:space="preserve"> </w:t>
      </w:r>
      <w:r>
        <w:rPr>
          <w:rStyle w:val="FootnoteReference"/>
        </w:rPr>
        <w:footnoteReference w:id="54"/>
      </w:r>
    </w:p>
    <w:p>
      <w:pPr>
        <w:numPr>
          <w:ilvl w:val="0"/>
          <w:numId w:val="1002"/>
        </w:numPr>
      </w:pPr>
      <w:r>
        <w:t xml:space="preserve">W3C/OGC: Spatial Data on the Web Best Practices, W3C Working Group Note (2017)</w:t>
      </w:r>
      <w:r>
        <w:t xml:space="preserve"> </w:t>
      </w:r>
      <w:r>
        <w:rPr>
          <w:rStyle w:val="FootnoteReference"/>
        </w:rPr>
        <w:footnoteReference w:id="56"/>
      </w:r>
    </w:p>
    <w:p>
      <w:pPr>
        <w:numPr>
          <w:ilvl w:val="0"/>
          <w:numId w:val="1002"/>
        </w:numPr>
      </w:pPr>
      <w:r>
        <w:t xml:space="preserve">W3C: Data on the Web Best Practices, W3C Recommendation (2017)</w:t>
      </w:r>
      <w:r>
        <w:t xml:space="preserve"> </w:t>
      </w:r>
      <w:r>
        <w:rPr>
          <w:rStyle w:val="FootnoteReference"/>
        </w:rPr>
        <w:footnoteReference w:id="57"/>
      </w:r>
    </w:p>
    <w:p>
      <w:pPr>
        <w:numPr>
          <w:ilvl w:val="0"/>
          <w:numId w:val="1002"/>
        </w:numPr>
      </w:pPr>
      <w:r>
        <w:t xml:space="preserve">W3C: Data Catalog Vocabulary, W3C Recommendation (2014)</w:t>
      </w:r>
      <w:r>
        <w:t xml:space="preserve"> </w:t>
      </w:r>
      <w:r>
        <w:rPr>
          <w:rStyle w:val="FootnoteReference"/>
        </w:rPr>
        <w:footnoteReference w:id="58"/>
      </w:r>
    </w:p>
    <w:p>
      <w:pPr>
        <w:numPr>
          <w:ilvl w:val="0"/>
          <w:numId w:val="1002"/>
        </w:numPr>
      </w:pPr>
      <w:r>
        <w:t xml:space="preserve">IANA: Link Relation Types (2020)</w:t>
      </w:r>
      <w:r>
        <w:t xml:space="preserve"> </w:t>
      </w:r>
      <w:r>
        <w:rPr>
          <w:rStyle w:val="FootnoteReference"/>
        </w:rPr>
        <w:footnoteReference w:id="60"/>
      </w:r>
    </w:p>
    <w:p>
      <w:pPr>
        <w:numPr>
          <w:ilvl w:val="0"/>
          <w:numId w:val="1002"/>
        </w:numPr>
      </w:pPr>
      <w:r>
        <w:t xml:space="preserve">IANA: Media Types (2023)</w:t>
      </w:r>
      <w:r>
        <w:t xml:space="preserve"> </w:t>
      </w:r>
      <w:r>
        <w:rPr>
          <w:rStyle w:val="FootnoteReference"/>
        </w:rPr>
        <w:footnoteReference w:id="62"/>
      </w:r>
    </w:p>
    <w:p>
      <w:pPr>
        <w:numPr>
          <w:ilvl w:val="0"/>
          <w:numId w:val="1002"/>
        </w:numPr>
      </w:pPr>
      <w:r>
        <w:t xml:space="preserve">Linux Foundation: SPDX License List (2021)</w:t>
      </w:r>
      <w:r>
        <w:t xml:space="preserve"> </w:t>
      </w:r>
      <w:r>
        <w:rPr>
          <w:rStyle w:val="FootnoteReference"/>
        </w:rPr>
        <w:footnoteReference w:id="64"/>
      </w:r>
    </w:p>
    <w:p>
      <w:pPr>
        <w:numPr>
          <w:ilvl w:val="0"/>
          <w:numId w:val="1002"/>
        </w:numPr>
      </w:pPr>
      <w:bookmarkStart w:id="66" w:name="json-schema"/>
      <w:bookmarkEnd w:id="66"/>
      <w:r>
        <w:t xml:space="preserve"> </w:t>
      </w:r>
      <w:r>
        <w:t xml:space="preserve">IETF: JSON Schema (2022)</w:t>
      </w:r>
      <w:r>
        <w:t xml:space="preserve"> </w:t>
      </w:r>
      <w:r>
        <w:rPr>
          <w:rStyle w:val="FootnoteReference"/>
        </w:rPr>
        <w:footnoteReference w:id="67"/>
      </w:r>
    </w:p>
    <w:p>
      <w:pPr>
        <w:numPr>
          <w:ilvl w:val="0"/>
          <w:numId w:val="1002"/>
        </w:numPr>
      </w:pPr>
      <w:bookmarkStart w:id="69" w:name="wis2-manual"/>
      <w:bookmarkEnd w:id="69"/>
      <w:r>
        <w:t xml:space="preserve"> </w:t>
      </w:r>
      <w:r>
        <w:t xml:space="preserve">Manual on the WMO Information System, Volume II - WMO Information System 2.0 (2025)</w:t>
      </w:r>
      <w:r>
        <w:t xml:space="preserve"> </w:t>
      </w:r>
      <w:r>
        <w:rPr>
          <w:rStyle w:val="FootnoteReference"/>
        </w:rPr>
        <w:footnoteReference w:id="70"/>
      </w:r>
    </w:p>
    <w:bookmarkEnd w:id="72"/>
    <w:bookmarkStart w:id="76"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73">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74">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75"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GOFC</w:t>
            </w:r>
          </w:p>
        </w:tc>
        <w:tc>
          <w:tcPr/>
          <w:p>
            <w:pPr>
              <w:jc w:val="left"/>
            </w:pPr>
            <w:r>
              <w:t xml:space="preserve">Global Observing Facility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OSCAR</w:t>
            </w:r>
          </w:p>
        </w:tc>
        <w:tc>
          <w:tcPr/>
          <w:p>
            <w:pPr>
              <w:jc w:val="left"/>
            </w:pPr>
            <w:r>
              <w:t xml:space="preserve">Observing Systems Capability Analysis and Review Tool</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WIGOS</w:t>
            </w:r>
          </w:p>
        </w:tc>
        <w:tc>
          <w:tcPr/>
          <w:p>
            <w:pPr>
              <w:jc w:val="left"/>
            </w:pPr>
            <w:r>
              <w:t xml:space="preserve">WMO Integrated Global Observing System</w:t>
            </w:r>
          </w:p>
        </w:tc>
      </w:tr>
      <w:tr>
        <w:tc>
          <w:tcPr/>
          <w:p>
            <w:pPr>
              <w:jc w:val="left"/>
            </w:pPr>
            <w:r>
              <w:t xml:space="preserve">WIS</w:t>
            </w:r>
          </w:p>
        </w:tc>
        <w:tc>
          <w:tcPr/>
          <w:p>
            <w:pPr>
              <w:jc w:val="left"/>
            </w:pPr>
            <w:r>
              <w:t xml:space="preserve">WMO Information System</w:t>
            </w:r>
          </w:p>
        </w:tc>
      </w:tr>
      <w:tr>
        <w:tc>
          <w:tcPr/>
          <w:p>
            <w:pPr>
              <w:jc w:val="left"/>
            </w:pPr>
            <w:r>
              <w:t xml:space="preserve">WMDR</w:t>
            </w:r>
          </w:p>
        </w:tc>
        <w:tc>
          <w:tcPr/>
          <w:p>
            <w:pPr>
              <w:jc w:val="left"/>
            </w:pPr>
            <w:r>
              <w:t xml:space="preserve">WIGOS Metadata Representation</w:t>
            </w:r>
          </w:p>
        </w:tc>
      </w:tr>
      <w:tr>
        <w:tc>
          <w:tcPr/>
          <w:p>
            <w:pPr>
              <w:jc w:val="left"/>
            </w:pPr>
            <w:r>
              <w:t xml:space="preserve">WMO</w:t>
            </w:r>
          </w:p>
        </w:tc>
        <w:tc>
          <w:tcPr/>
          <w:p>
            <w:pPr>
              <w:jc w:val="left"/>
            </w:pPr>
            <w:r>
              <w:t xml:space="preserve">World Meteorological Organization</w:t>
            </w:r>
          </w:p>
        </w:tc>
      </w:tr>
      <w:tr>
        <w:tc>
          <w:tcPr/>
          <w:p>
            <w:pPr>
              <w:jc w:val="left"/>
            </w:pPr>
            <w:r>
              <w:t xml:space="preserve">WSI</w:t>
            </w:r>
          </w:p>
        </w:tc>
        <w:tc>
          <w:tcPr/>
          <w:p>
            <w:pPr>
              <w:jc w:val="left"/>
            </w:pPr>
            <w:r>
              <w:t xml:space="preserve">WIGOS Station Identifier</w:t>
            </w:r>
          </w:p>
        </w:tc>
      </w:tr>
      <w:tr>
        <w:tc>
          <w:tcPr/>
          <w:p>
            <w:pPr>
              <w:jc w:val="left"/>
            </w:pPr>
            <w:r>
              <w:t xml:space="preserve">XML</w:t>
            </w:r>
          </w:p>
        </w:tc>
        <w:tc>
          <w:tcPr/>
          <w:p>
            <w:pPr>
              <w:jc w:val="left"/>
            </w:pPr>
            <w:r>
              <w:t xml:space="preserve">eXtensible Markup Language</w:t>
            </w:r>
          </w:p>
        </w:tc>
      </w:tr>
    </w:tbl>
    <w:bookmarkEnd w:id="75"/>
    <w:bookmarkEnd w:id="76"/>
    <w:bookmarkStart w:id="8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8"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7">
        <w:r>
          <w:rPr>
            <w:rStyle w:val="Hyperlink"/>
          </w:rPr>
          <w:t xml:space="preserve">http://wigos.wmo.int/spec/wmdr/2</w:t>
        </w:r>
      </w:hyperlink>
    </w:p>
    <w:p>
      <w:pPr>
        <w:pStyle w:val="BodyText"/>
      </w:pPr>
      <w:r>
        <w:t xml:space="preserve">All requirements and conformance tests that appear in this document are denoted by partial URIs which are relative to this base.</w:t>
      </w:r>
    </w:p>
    <w:bookmarkEnd w:id="78"/>
    <w:bookmarkStart w:id="80"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9">
        <w:r>
          <w:rPr>
            <w:rStyle w:val="Hyperlink"/>
          </w:rPr>
          <w:t xml:space="preserve">https://schemas.wmo.int/wmdr/2.0.0/examples</w:t>
        </w:r>
      </w:hyperlink>
    </w:p>
    <w:bookmarkEnd w:id="80"/>
    <w:bookmarkStart w:id="82" w:name="X51ea2dcbbf0dc3858aa5637c32a54d26159edc1"/>
    <w:p>
      <w:pPr>
        <w:pStyle w:val="Heading2"/>
      </w:pPr>
      <w:r>
        <w:t xml:space="preserve">Schemas</w:t>
      </w:r>
    </w:p>
    <w:p>
      <w:pPr>
        <w:pStyle w:val="FirstParagraph"/>
      </w:pPr>
      <w:r>
        <w:t xml:space="preserve">The WMDR schema can be found at</w:t>
      </w:r>
      <w:r>
        <w:t xml:space="preserve"> </w:t>
      </w:r>
      <w:hyperlink r:id="rId81">
        <w:r>
          <w:rPr>
            <w:rStyle w:val="Hyperlink"/>
          </w:rPr>
          <w:t xml:space="preserve">https://schemas.wmo.int/wmdr/2.0.0/schemas/wmdr2-bundled.json</w:t>
        </w:r>
      </w:hyperlink>
    </w:p>
    <w:bookmarkEnd w:id="82"/>
    <w:bookmarkStart w:id="87"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83"/>
      </w:r>
      <w:r>
        <w:t xml:space="preserve"> </w:t>
      </w:r>
      <w:r>
        <w:t xml:space="preserve">objects are used throughout this standard to define the structure of metadata records. These schema objects are also typically represented using YAML</w:t>
      </w:r>
      <w:r>
        <w:t xml:space="preserve"> </w:t>
      </w:r>
      <w:r>
        <w:rPr>
          <w:rStyle w:val="FootnoteReference"/>
        </w:rPr>
        <w:footnoteReference w:id="84"/>
      </w:r>
      <w:r>
        <w:t xml:space="preserve">.</w:t>
      </w:r>
    </w:p>
    <w:p>
      <w:pPr>
        <w:pStyle w:val="BodyText"/>
      </w:pPr>
      <w:r>
        <w:t xml:space="preserve">YAML is a superset of JSON, and in this standard are regarded as equivalent.</w:t>
      </w:r>
    </w:p>
    <w:p>
      <w:pPr>
        <w:pStyle w:val="BodyText"/>
      </w:pPr>
      <w:r>
        <w:t xml:space="preserve">Metadata record instances are always represented as JSON.</w:t>
      </w:r>
    </w:p>
    <w:bookmarkStart w:id="86"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6"/>
    <w:bookmarkEnd w:id="87"/>
    <w:bookmarkStart w:id="88"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88"/>
    <w:bookmarkEnd w:id="89"/>
    <w:bookmarkStart w:id="98" w:name="X1ea7cbd003469405f98a7976943980a7b23bcee"/>
    <w:p>
      <w:pPr>
        <w:pStyle w:val="Heading1"/>
      </w:pPr>
      <w:r>
        <w:t xml:space="preserve">Introduction</w:t>
      </w:r>
    </w:p>
    <w:bookmarkStart w:id="93" w:name="X43f9398da9c2eb974194c1e60a2fdc80e1bfc87"/>
    <w:p>
      <w:pPr>
        <w:pStyle w:val="Heading2"/>
      </w:pPr>
      <w:r>
        <w:t xml:space="preserve">Overview</w:t>
      </w:r>
    </w:p>
    <w:p>
      <w:pPr>
        <w:pStyle w:val="FirstParagraph"/>
      </w:pPr>
      <w:r>
        <w:t xml:space="preserve">TODO</w:t>
      </w:r>
    </w:p>
    <w:bookmarkStart w:id="90" w:name="Xb025ca641f3801473c7c6931011e010f19b6c48"/>
    <w:p>
      <w:pPr>
        <w:pStyle w:val="Heading3"/>
      </w:pPr>
      <w:r>
        <w:t xml:space="preserve">WIGOS</w:t>
      </w:r>
    </w:p>
    <w:p>
      <w:pPr>
        <w:pStyle w:val="FirstParagraph"/>
      </w:pPr>
      <w:r>
        <w:t xml:space="preserve">TODO</w:t>
      </w:r>
    </w:p>
    <w:bookmarkEnd w:id="90"/>
    <w:bookmarkStart w:id="91" w:name="Xc575335eb11b845f141e79e2d0bc29823358c07"/>
    <w:p>
      <w:pPr>
        <w:pStyle w:val="Heading3"/>
      </w:pPr>
      <w:r>
        <w:t xml:space="preserve">Observing facility metadata design considerations</w:t>
      </w:r>
    </w:p>
    <w:p>
      <w:pPr>
        <w:pStyle w:val="FirstParagraph"/>
      </w:pPr>
      <w:r>
        <w:t xml:space="preserve">The following describes envisioned workflows of WMDR in the context of observing facility metadata publication and search.</w:t>
      </w:r>
    </w:p>
    <w:p>
      <w:pPr>
        <w:numPr>
          <w:ilvl w:val="0"/>
          <w:numId w:val="1003"/>
        </w:numPr>
      </w:pPr>
      <w:r>
        <w:t xml:space="preserve">Flexible metadata publishing mechanisms so providers can publish observing facility metadata in the easiest and most efficient way possible.</w:t>
      </w:r>
    </w:p>
    <w:p>
      <w:pPr>
        <w:numPr>
          <w:ilvl w:val="0"/>
          <w:numId w:val="1003"/>
        </w:numPr>
      </w:pPr>
      <w:r>
        <w:t xml:space="preserve">Basic, HTTP crawlable metadata files (filesystem, object storage). For example, publishing observing facility metadata as JSON files to an S3 bucket, and then making that bucket available for harvesting and traversal to search engines and metadata harvesters.</w:t>
      </w:r>
    </w:p>
    <w:p>
      <w:pPr>
        <w:numPr>
          <w:ilvl w:val="0"/>
          <w:numId w:val="1003"/>
        </w:numPr>
      </w:pPr>
      <w:r>
        <w:t xml:space="preserve">The browser as the catalogue. Browsers utilize mass market search engines as the gateway to low barrier</w:t>
      </w:r>
      <w:r>
        <w:t xml:space="preserve"> </w:t>
      </w:r>
      <w:r>
        <w:t xml:space="preserve">discovery. This pattern may work by way of the WIGOS Global Observing Facility Catalogue, with the idea that search engines can index from the authoritative source.</w:t>
      </w:r>
    </w:p>
    <w:bookmarkEnd w:id="91"/>
    <w:bookmarkStart w:id="92" w:name="X28d371aa0c0ef80c266a346e5bb56f745385050"/>
    <w:p>
      <w:pPr>
        <w:pStyle w:val="Heading3"/>
      </w:pPr>
      <w:r>
        <w:t xml:space="preserve">Granularity</w:t>
      </w:r>
    </w:p>
    <w:p>
      <w:pPr>
        <w:pStyle w:val="FirstParagraph"/>
      </w:pPr>
      <w:r>
        <w:t xml:space="preserve">TODO</w:t>
      </w:r>
    </w:p>
    <w:bookmarkEnd w:id="92"/>
    <w:bookmarkEnd w:id="93"/>
    <w:bookmarkStart w:id="94" w:name="Xb0f63ba3c7bc76c9e95dbad89cd924b80d2140e"/>
    <w:p>
      <w:pPr>
        <w:pStyle w:val="Heading2"/>
      </w:pPr>
      <w:r>
        <w:t xml:space="preserve">User stories</w:t>
      </w:r>
    </w:p>
    <w:p>
      <w:pPr>
        <w:pStyle w:val="FirstParagraph"/>
      </w:pPr>
      <w:r>
        <w:t xml:space="preserve">TODO</w:t>
      </w:r>
    </w:p>
    <w:bookmarkEnd w:id="94"/>
    <w:bookmarkStart w:id="95"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04"/>
        </w:numPr>
      </w:pPr>
      <w:r>
        <w:t xml:space="preserve">lowers the discovery barrier to finding the existence of geospatial resources on the Web</w:t>
      </w:r>
    </w:p>
    <w:p>
      <w:pPr>
        <w:numPr>
          <w:ilvl w:val="0"/>
          <w:numId w:val="1004"/>
        </w:numPr>
      </w:pPr>
      <w:r>
        <w:t xml:space="preserve">provides the ability for discovery metadata to be published via API machinery (searchable catalogue) or static records (crawlable catalogue)</w:t>
      </w:r>
    </w:p>
    <w:p>
      <w:pPr>
        <w:numPr>
          <w:ilvl w:val="0"/>
          <w:numId w:val="1004"/>
        </w:numPr>
      </w:pPr>
      <w:r>
        <w:t xml:space="preserve">provides a core record model for information communities to extend</w:t>
      </w:r>
    </w:p>
    <w:p>
      <w:pPr>
        <w:numPr>
          <w:ilvl w:val="0"/>
          <w:numId w:val="1004"/>
        </w:numPr>
      </w:pPr>
      <w:r>
        <w:t xml:space="preserve">provides a subset of core queryables (e.g. by resource type, by external identifier) which enables</w:t>
      </w:r>
      <w:r>
        <w:t xml:space="preserve"> </w:t>
      </w:r>
      <w:r>
        <w:t xml:space="preserve">federation and cross catalogue discovery functionality</w:t>
      </w:r>
    </w:p>
    <w:bookmarkEnd w:id="95"/>
    <w:bookmarkStart w:id="96" w:name="X9fb99c1e4e52d39846c765beabaf87341288cae"/>
    <w:p>
      <w:pPr>
        <w:pStyle w:val="Heading2"/>
      </w:pPr>
      <w:r>
        <w:t xml:space="preserve">The WIGOS Global Observing Facility Catalogue (GOFC)</w:t>
      </w:r>
    </w:p>
    <w:p>
      <w:pPr>
        <w:pStyle w:val="FirstParagraph"/>
      </w:pPr>
      <w:r>
        <w:t xml:space="preserve">The GOFC will provide a central search endpoint, enabling users to traverse, browse and search</w:t>
      </w:r>
      <w:r>
        <w:t xml:space="preserve"> </w:t>
      </w:r>
      <w:r>
        <w:t xml:space="preserve">observing facility metadata holdings in OSCAR. Key search predicate capabilities include:</w:t>
      </w:r>
    </w:p>
    <w:p>
      <w:pPr>
        <w:numPr>
          <w:ilvl w:val="0"/>
          <w:numId w:val="1005"/>
        </w:numPr>
      </w:pPr>
      <w:r>
        <w:t xml:space="preserve">geospatial (</w:t>
      </w:r>
      <w:r>
        <w:rPr>
          <w:rStyle w:val="VerbatimChar"/>
        </w:rPr>
        <w:t xml:space="preserve">bbox=</w:t>
      </w:r>
      <w:r>
        <w:t xml:space="preserve">)</w:t>
      </w:r>
    </w:p>
    <w:p>
      <w:pPr>
        <w:numPr>
          <w:ilvl w:val="0"/>
          <w:numId w:val="1005"/>
        </w:numPr>
      </w:pPr>
      <w:r>
        <w:t xml:space="preserve">temporal (time instant or time period) (</w:t>
      </w:r>
      <w:r>
        <w:rPr>
          <w:rStyle w:val="VerbatimChar"/>
        </w:rPr>
        <w:t xml:space="preserve">datetime=</w:t>
      </w:r>
      <w:r>
        <w:t xml:space="preserve">)</w:t>
      </w:r>
    </w:p>
    <w:p>
      <w:pPr>
        <w:numPr>
          <w:ilvl w:val="0"/>
          <w:numId w:val="1005"/>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05"/>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WIGOS Global Observing Facility Catalogue, WMDR provides a standards-based, clear and well-defined information model to facilitate the management and discovery of data within WIGOS.</w:t>
      </w:r>
    </w:p>
    <w:bookmarkEnd w:id="96"/>
    <w:bookmarkStart w:id="97"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WMDR observing facility metadata enables annotations that can facilitate Search Engine Optimization (SEO) and</w:t>
      </w:r>
      <w:r>
        <w:t xml:space="preserve"> </w:t>
      </w:r>
      <w:r>
        <w:t xml:space="preserve">structured data discovery, search, and relevant results.</w:t>
      </w:r>
    </w:p>
    <w:bookmarkEnd w:id="97"/>
    <w:bookmarkEnd w:id="98"/>
    <w:bookmarkStart w:id="135" w:name="Xd32ae44f6f5f98f2e00627e6dfb10f19204b9f2"/>
    <w:p>
      <w:pPr>
        <w:pStyle w:val="Heading1"/>
      </w:pPr>
      <w:r>
        <w:t xml:space="preserve">WIGOS Metadata Representation (Version 2)</w:t>
      </w:r>
    </w:p>
    <w:p>
      <w:pPr>
        <w:pStyle w:val="FirstParagraph"/>
      </w:pPr>
      <w:r>
        <w:t xml:space="preserve">WIGOS Metadata Representation (WMDR) is an extension of the OGC API – Records standard and shall be encoded in GeoJSON. The normative provisions in WMDR (version 2) are denoted by the base URI (</w:t>
      </w:r>
      <w:r>
        <w:rPr>
          <w:rStyle w:val="VerbatimChar"/>
        </w:rPr>
        <w:t xml:space="preserve">http://wigos.wmo.int/spec/wmdr/2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29"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9">
              <w:r>
                <w:rPr>
                  <w:rStyle w:val="Hyperlink"/>
                </w:rPr>
                <w:t xml:space="preserve">http://wigos.wmo.int/spec/wmdr/2/req/core</w:t>
              </w:r>
            </w:hyperlink>
          </w:p>
        </w:tc>
      </w:tr>
      <w:tr>
        <w:tc>
          <w:tcPr/>
          <w:p>
            <w:pPr>
              <w:jc w:val="left"/>
            </w:pPr>
            <w:r>
              <w:t xml:space="preserve">Target type</w:t>
            </w:r>
          </w:p>
        </w:tc>
        <w:tc>
          <w:tcPr/>
          <w:p>
            <w:pPr>
              <w:jc w:val="left"/>
            </w:pPr>
            <w:r>
              <w:t xml:space="preserve">Observing facility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5">
              <w:r>
                <w:rPr>
                  <w:rStyle w:val="Hyperlink"/>
                </w:rPr>
                <w:t xml:space="preserve">(IETF RFC8259 (2017))</w:t>
              </w:r>
            </w:hyperlink>
          </w:p>
        </w:tc>
      </w:tr>
      <w:tr>
        <w:tc>
          <w:tcPr/>
          <w:p>
            <w:pPr>
              <w:jc w:val="left"/>
            </w:pPr>
            <w:r>
              <w:t xml:space="preserve">Dependency</w:t>
            </w:r>
          </w:p>
        </w:tc>
        <w:tc>
          <w:tcPr/>
          <w:p>
            <w:pPr>
              <w:jc w:val="left"/>
            </w:pPr>
            <w:hyperlink r:id="rId6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2">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0">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100">
              <w:r>
                <w:rPr>
                  <w:rStyle w:val="Hyperlink"/>
                </w:rPr>
                <w:t xml:space="preserve">OGC API - Records - Part 1: Core</w:t>
              </w:r>
            </w:hyperlink>
          </w:p>
        </w:tc>
      </w:tr>
    </w:tbl>
    <w:bookmarkStart w:id="101" w:name="X322101054fd636c32d6869f7cfec83424c5280c"/>
    <w:p>
      <w:pPr>
        <w:pStyle w:val="Heading3"/>
      </w:pPr>
      <w:r>
        <w:t xml:space="preserve">Overview</w:t>
      </w:r>
    </w:p>
    <w:p>
      <w:pPr>
        <w:pStyle w:val="FirstParagraph"/>
      </w:pPr>
      <w:r>
        <w:t xml:space="preserve">The table below provides an overview of the set of properties that may be included in a WMDR.</w:t>
      </w:r>
    </w:p>
    <w:p>
      <w:pPr>
        <w:pStyle w:val="TableCaption"/>
      </w:pPr>
      <w:r>
        <w:t xml:space="preserve">Table. WMDR core properties</w:t>
      </w:r>
    </w:p>
    <w:tbl>
      <w:tblPr>
        <w:tblStyle w:val="Table"/>
        <w:tblW w:type="pct" w:w="5000"/>
        <w:tblLook w:firstRow="1" w:lastRow="0" w:firstColumn="0" w:lastColumn="0" w:noHBand="0" w:noVBand="0" w:val="0020"/>
        <w:jc w:val="start"/>
        <w:tblCaption w:val="Table. WMDR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station/platform (see TODO)</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WMDR as a GeoJSON</w:t>
            </w:r>
            <w:r>
              <w:t xml:space="preserve"> </w:t>
            </w:r>
            <w:r>
              <w:rPr>
                <w:rStyle w:val="VerbatimChar"/>
              </w:rPr>
              <w:t xml:space="preserve">Feature</w:t>
            </w:r>
            <w:r>
              <w:t xml:space="preserve"> </w:t>
            </w:r>
            <w:r>
              <w:t xml:space="preserve">(see TODO)</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WMDR associated to which the record conforms (see TODO)</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 TODO)</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Record type (fixed to</w:t>
            </w:r>
            <w:r>
              <w:t xml:space="preserve"> </w:t>
            </w:r>
            <w:r>
              <w:rPr>
                <w:rStyle w:val="VerbatimChar"/>
              </w:rPr>
              <w:t xml:space="preserve">facility</w:t>
            </w:r>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 TODO)</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WMDR was created (see TODO)</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WMDR was updated (see TODO)</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 TODO)</w:t>
            </w:r>
          </w:p>
        </w:tc>
      </w:tr>
    </w:tbl>
    <w:bookmarkEnd w:id="101"/>
    <w:bookmarkStart w:id="102" w:name="Xea044ef05fc7b5fc0ea156f3969cdf0462e1516"/>
    <w:p>
      <w:pPr>
        <w:pStyle w:val="Heading3"/>
      </w:pPr>
      <w:r>
        <w:t xml:space="preserve">WIGOS Metadata Representation representation</w:t>
      </w:r>
    </w:p>
    <w:p>
      <w:pPr>
        <w:pStyle w:val="FirstParagraph"/>
      </w:pPr>
      <w:r>
        <w:t xml:space="preserve">A WMDR can be represented in various ways internally, in WIGOS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WMDR, when transported through a protocol that supports it, SHOULD be</w:t>
            </w:r>
            <w:r>
              <w:t xml:space="preserve"> </w:t>
            </w:r>
            <w:r>
              <w:rPr>
                <w:rStyle w:val="VerbatimChar"/>
              </w:rPr>
              <w:t xml:space="preserve">application/geo+json</w:t>
            </w:r>
            <w:r>
              <w:t xml:space="preserve">.</w:t>
            </w:r>
          </w:p>
        </w:tc>
      </w:tr>
    </w:tbl>
    <w:bookmarkEnd w:id="102"/>
    <w:bookmarkStart w:id="103" w:name="X6c8ff279ae0c1bdfb37bb6344105bb8007f162a"/>
    <w:p>
      <w:pPr>
        <w:pStyle w:val="Heading3"/>
      </w:pPr>
      <w:r>
        <w:t xml:space="preserve">Validation</w:t>
      </w:r>
    </w:p>
    <w:p>
      <w:pPr>
        <w:pStyle w:val="FirstParagraph"/>
      </w:pPr>
      <w:r>
        <w:t xml:space="preserve">The WMDR schema is based on the Requirements Class "Record Core" of OGC API – Records – Part 1: Core schema and the associated information model. WMDRs compliant with the WMDR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WMDR SHALL validate without error against the WMDR schema.</w:t>
            </w:r>
          </w:p>
        </w:tc>
      </w:tr>
      <w:tr>
        <w:tc>
          <w:tcPr/>
          <w:p>
            <w:pPr>
              <w:jc w:val="center"/>
            </w:pPr>
            <w:r>
              <w:t xml:space="preserve">B</w:t>
            </w:r>
          </w:p>
        </w:tc>
        <w:tc>
          <w:tcPr/>
          <w:p>
            <w:pPr>
              <w:jc w:val="left"/>
            </w:pPr>
            <w:r>
              <w:t xml:space="preserve">Each WMDR SHALL provide id (see TODO), type (see TODO), geometry (see TODO) and properties (see, for example, TODO)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03"/>
    <w:bookmarkStart w:id="104" w:name="X308bfe473ee20a8b70bcf19a3157dd310a3e83c"/>
    <w:p>
      <w:pPr>
        <w:pStyle w:val="Heading3"/>
      </w:pPr>
      <w:r>
        <w:t xml:space="preserve">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Observing Facility Catalogue (GOFC).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WMDR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be a WIGOS Station Identifier (WSI).</w:t>
            </w:r>
          </w:p>
        </w:tc>
      </w:tr>
    </w:tbl>
    <w:bookmarkEnd w:id="104"/>
    <w:bookmarkStart w:id="105" w:name="X863352c0a208a97f96d5316c8b110d03a11946f"/>
    <w:p>
      <w:pPr>
        <w:pStyle w:val="Heading3"/>
      </w:pPr>
      <w:r>
        <w:t xml:space="preserve">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WMDR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"http://wigos.wmo.int/spec/wmdr/2/conf/core"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WMDR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WMDR.</w:t>
            </w:r>
          </w:p>
        </w:tc>
      </w:tr>
    </w:tbl>
    <w:bookmarkEnd w:id="105"/>
    <w:bookmarkStart w:id="107" w:name="X35a334403f938723739025300a4eafb7282eb26"/>
    <w:p>
      <w:pPr>
        <w:pStyle w:val="Heading3"/>
      </w:pPr>
      <w:r>
        <w:t xml:space="preserve">Geospatial extent</w:t>
      </w:r>
    </w:p>
    <w:p>
      <w:pPr>
        <w:pStyle w:val="FirstParagraph"/>
      </w:pPr>
      <w:r>
        <w:t xml:space="preserve">The</w:t>
      </w:r>
      <w:r>
        <w:t xml:space="preserve"> </w:t>
      </w:r>
      <w:r>
        <w:rPr>
          <w:rStyle w:val="VerbatimChar"/>
        </w:rPr>
        <w:t xml:space="preserve">geometry</w:t>
      </w:r>
      <w:r>
        <w:t xml:space="preserve"> </w:t>
      </w:r>
      <w:r>
        <w:t xml:space="preserve">property is the location of the station/platform in the geographic coordinate system. , and provides a useful indicator of the location of the station/platform to facilitate search and map displays in the GOFC.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/req/core/extent_geospatial</w:t>
            </w:r>
          </w:p>
        </w:tc>
      </w:tr>
      <w:tr>
        <w:tc>
          <w:tcPr/>
          <w:p>
            <w:pPr>
              <w:jc w:val="center"/>
            </w:pPr>
            <w:r>
              <w:t xml:space="preserve">A</w:t>
            </w:r>
          </w:p>
        </w:tc>
        <w:tc>
          <w:tcPr/>
          <w:p>
            <w:pPr>
              <w:jc w:val="left"/>
            </w:pPr>
            <w:r>
              <w:t xml:space="preserve">A WMDR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WMDR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/per/core/extent_geospatial</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Start w:id="106" w:name="X588a05d06ef6be52311cc5cfafec95f7fa5aa17"/>
    <w:p>
      <w:pPr>
        <w:pStyle w:val="Heading4"/>
      </w:pPr>
      <w:r>
        <w:t xml:space="preserve">Temporal extent</w:t>
      </w:r>
    </w:p>
    <w:p>
      <w:pPr>
        <w:pStyle w:val="FirstParagraph"/>
      </w:pPr>
      <w:r>
        <w:t xml:space="preserve">The</w:t>
      </w:r>
      <w:r>
        <w:t xml:space="preserve"> </w:t>
      </w:r>
      <w:r>
        <w:rPr>
          <w:rStyle w:val="VerbatimChar"/>
        </w:rPr>
        <w:t xml:space="preserve">time</w:t>
      </w:r>
      <w:r>
        <w:t xml:space="preserve"> </w:t>
      </w:r>
      <w:r>
        <w:t xml:space="preserve">property describes the aggregate extent of the facility.</w:t>
      </w:r>
    </w:p>
    <w:p>
      <w:pPr>
        <w:pStyle w:val="BodyText"/>
      </w:pPr>
      <w:r>
        <w:t xml:space="preserve">Temporal extents provide a useful indicator of the date and time period of the facility and facilitate temporal searching in the GOFC.</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/req/core/extent_temporal</w:t>
            </w:r>
          </w:p>
        </w:tc>
      </w:tr>
      <w:tr>
        <w:tc>
          <w:tcPr/>
          <w:p>
            <w:pPr>
              <w:jc w:val="center"/>
            </w:pPr>
            <w:r>
              <w:t xml:space="preserve">A</w:t>
            </w:r>
          </w:p>
        </w:tc>
        <w:tc>
          <w:tcPr/>
          <w:p>
            <w:pPr>
              <w:jc w:val="left"/>
            </w:pPr>
            <w:r>
              <w:t xml:space="preserve">A WMDR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WMDR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bl>
    <w:bookmarkEnd w:id="106"/>
    <w:bookmarkEnd w:id="107"/>
    <w:bookmarkStart w:id="108" w:name="X5f04a09c9b33d9ad8b2a9841bb08b741ed45545"/>
    <w:p>
      <w:pPr>
        <w:pStyle w:val="Heading3"/>
      </w:pPr>
      <w:r>
        <w:t xml:space="preserve">Properties / Type</w:t>
      </w:r>
    </w:p>
    <w:p>
      <w:pPr>
        <w:pStyle w:val="FirstParagraph"/>
      </w:pPr>
      <w:r>
        <w:t xml:space="preserve">TODO</w:t>
      </w:r>
    </w:p>
    <w:bookmarkEnd w:id="108"/>
    <w:bookmarkStart w:id="109" w:name="Xc6b1df124ed066472c346a268f1ec7b7d26026d"/>
    <w:p>
      <w:pPr>
        <w:pStyle w:val="Heading3"/>
      </w:pPr>
      <w:r>
        <w:t xml:space="preserve">Properties / Title</w:t>
      </w:r>
    </w:p>
    <w:p>
      <w:pPr>
        <w:pStyle w:val="FirstParagraph"/>
      </w:pPr>
      <w:r>
        <w:t xml:space="preserve">TODO</w:t>
      </w:r>
    </w:p>
    <w:bookmarkEnd w:id="109"/>
    <w:bookmarkStart w:id="110" w:name="Xc7f0267ce03598a201629ab7353ae638cff484d"/>
    <w:p>
      <w:pPr>
        <w:pStyle w:val="Heading3"/>
      </w:pPr>
      <w:r>
        <w:t xml:space="preserve">Properties / Description</w:t>
      </w:r>
    </w:p>
    <w:p>
      <w:pPr>
        <w:pStyle w:val="FirstParagraph"/>
      </w:pPr>
      <w:r>
        <w:t xml:space="preserve">TODO</w:t>
      </w:r>
    </w:p>
    <w:bookmarkEnd w:id="110"/>
    <w:bookmarkStart w:id="111" w:name="X2bdeca71a76171919cce52ccfe875d512944a72"/>
    <w:p>
      <w:pPr>
        <w:pStyle w:val="Heading3"/>
      </w:pPr>
      <w:r>
        <w:t xml:space="preserve">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/req/core/contacts</w:t>
            </w:r>
          </w:p>
        </w:tc>
      </w:tr>
      <w:tr>
        <w:tc>
          <w:tcPr/>
          <w:p>
            <w:pPr>
              <w:jc w:val="center"/>
            </w:pPr>
            <w:r>
              <w:t xml:space="preserve">A</w:t>
            </w:r>
          </w:p>
        </w:tc>
        <w:tc>
          <w:tcPr/>
          <w:p>
            <w:pPr>
              <w:jc w:val="left"/>
            </w:pPr>
            <w:r>
              <w:t xml:space="preserve">A WMDR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11"/>
    <w:bookmarkStart w:id="115" w:name="X36daa86e8eca49ae6522f49310ca557b5f7a027"/>
    <w:p>
      <w:pPr>
        <w:pStyle w:val="Heading3"/>
      </w:pPr>
      <w:r>
        <w:t xml:space="preserve">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06"/>
        </w:numPr>
      </w:pPr>
      <w:r>
        <w:t xml:space="preserve">Digital Object Identifier (</w:t>
      </w:r>
      <w:hyperlink r:id="rId112">
        <w:r>
          <w:rPr>
            <w:rStyle w:val="Hyperlink"/>
          </w:rPr>
          <w:t xml:space="preserve">DOI</w:t>
        </w:r>
      </w:hyperlink>
      <w:r>
        <w:t xml:space="preserve">)</w:t>
      </w:r>
    </w:p>
    <w:p>
      <w:pPr>
        <w:numPr>
          <w:ilvl w:val="0"/>
          <w:numId w:val="1006"/>
        </w:numPr>
      </w:pPr>
      <w:r>
        <w:t xml:space="preserve">Archival Resource Key (</w:t>
      </w:r>
      <w:hyperlink r:id="rId113">
        <w:r>
          <w:rPr>
            <w:rStyle w:val="Hyperlink"/>
          </w:rPr>
          <w:t xml:space="preserve">ARK</w:t>
        </w:r>
      </w:hyperlink>
      <w:r>
        <w:t xml:space="preserve">)</w:t>
      </w:r>
    </w:p>
    <w:p>
      <w:pPr>
        <w:numPr>
          <w:ilvl w:val="0"/>
          <w:numId w:val="1006"/>
        </w:numPr>
      </w:pPr>
      <w:hyperlink r:id="rId114">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/rec/core/pids</w:t>
            </w:r>
          </w:p>
        </w:tc>
      </w:tr>
      <w:tr>
        <w:tc>
          <w:tcPr/>
          <w:p>
            <w:pPr>
              <w:jc w:val="center"/>
            </w:pPr>
            <w:r>
              <w:t xml:space="preserve">A</w:t>
            </w:r>
          </w:p>
        </w:tc>
        <w:tc>
          <w:tcPr/>
          <w:p>
            <w:pPr>
              <w:jc w:val="left"/>
            </w:pPr>
            <w:r>
              <w:t xml:space="preserve">A WMDR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/per/core/pids</w:t>
            </w:r>
          </w:p>
        </w:tc>
      </w:tr>
      <w:tr>
        <w:tc>
          <w:tcPr/>
          <w:p>
            <w:pPr>
              <w:jc w:val="center"/>
            </w:pPr>
            <w:r>
              <w:t xml:space="preserve">A</w:t>
            </w:r>
          </w:p>
        </w:tc>
        <w:tc>
          <w:tcPr/>
          <w:p>
            <w:pPr>
              <w:jc w:val="left"/>
            </w:pPr>
            <w:r>
              <w:t xml:space="preserve">A WMDR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WMDR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15"/>
    <w:bookmarkStart w:id="116" w:name="X3743c39a0218b3c0ad43194440965896f7c8443"/>
    <w:p>
      <w:pPr>
        <w:pStyle w:val="Heading3"/>
      </w:pPr>
      <w:r>
        <w:t xml:space="preserve">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is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/req/core/record_creation_date</w:t>
            </w:r>
          </w:p>
        </w:tc>
      </w:tr>
      <w:tr>
        <w:tc>
          <w:tcPr/>
          <w:p>
            <w:pPr>
              <w:jc w:val="center"/>
            </w:pPr>
            <w:r>
              <w:t xml:space="preserve">A</w:t>
            </w:r>
          </w:p>
        </w:tc>
        <w:tc>
          <w:tcPr/>
          <w:p>
            <w:pPr>
              <w:jc w:val="left"/>
            </w:pPr>
            <w:r>
              <w:t xml:space="preserve">A WMDR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16"/>
    <w:bookmarkStart w:id="117" w:name="Xa2fa2d054e18d0a85e6c71d2fddc4efdaef2423"/>
    <w:p>
      <w:pPr>
        <w:pStyle w:val="Heading3"/>
      </w:pPr>
      <w:r>
        <w:t xml:space="preserve">Properties / Record update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/rec/core/record_update_date</w:t>
            </w:r>
          </w:p>
        </w:tc>
      </w:tr>
      <w:tr>
        <w:tc>
          <w:tcPr/>
          <w:p>
            <w:pPr>
              <w:jc w:val="center"/>
            </w:pPr>
            <w:r>
              <w:t xml:space="preserve">A</w:t>
            </w:r>
          </w:p>
        </w:tc>
        <w:tc>
          <w:tcPr/>
          <w:p>
            <w:pPr>
              <w:jc w:val="left"/>
            </w:pPr>
            <w:r>
              <w:t xml:space="preserve">A WMDR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17"/>
    <w:bookmarkStart w:id="118" w:name="Xcbbf04713c976708eaf1e51fafe13a41245fc87"/>
    <w:p>
      <w:pPr>
        <w:pStyle w:val="Heading3"/>
      </w:pPr>
      <w:r>
        <w:t xml:space="preserve">Properties / Additional identifiers</w:t>
      </w:r>
    </w:p>
    <w:p>
      <w:pPr>
        <w:pStyle w:val="FirstParagraph"/>
      </w:pPr>
      <w:r>
        <w:t xml:space="preserve">TODO</w:t>
      </w:r>
    </w:p>
    <w:bookmarkEnd w:id="118"/>
    <w:bookmarkStart w:id="119" w:name="X18592819a97ec429ad8e10357c6072cfac6d820"/>
    <w:p>
      <w:pPr>
        <w:pStyle w:val="Heading3"/>
      </w:pPr>
      <w:r>
        <w:t xml:space="preserve">Properties / Additional titles</w:t>
      </w:r>
    </w:p>
    <w:p>
      <w:pPr>
        <w:pStyle w:val="FirstParagraph"/>
      </w:pPr>
      <w:r>
        <w:t xml:space="preserve">TODO</w:t>
      </w:r>
    </w:p>
    <w:bookmarkEnd w:id="119"/>
    <w:bookmarkStart w:id="120" w:name="Xef7d00259eb51e6871eada5742d69c124c6364c"/>
    <w:p>
      <w:pPr>
        <w:pStyle w:val="Heading3"/>
      </w:pPr>
      <w:r>
        <w:t xml:space="preserve">Properties / Facility type</w:t>
      </w:r>
    </w:p>
    <w:p>
      <w:pPr>
        <w:pStyle w:val="FirstParagraph"/>
      </w:pPr>
      <w:r>
        <w:t xml:space="preserve">TODO</w:t>
      </w:r>
    </w:p>
    <w:bookmarkEnd w:id="120"/>
    <w:bookmarkStart w:id="121" w:name="X42266a4d9ae15a821feb133a2243fd1d34cec39"/>
    <w:p>
      <w:pPr>
        <w:pStyle w:val="Heading3"/>
      </w:pPr>
      <w:r>
        <w:t xml:space="preserve">Properties / WMO region</w:t>
      </w:r>
    </w:p>
    <w:p>
      <w:pPr>
        <w:pStyle w:val="FirstParagraph"/>
      </w:pPr>
      <w:r>
        <w:t xml:space="preserve">TODO</w:t>
      </w:r>
    </w:p>
    <w:bookmarkEnd w:id="121"/>
    <w:bookmarkStart w:id="122" w:name="Xafd1066e217646b623a98b87d4817ccd262c350"/>
    <w:p>
      <w:pPr>
        <w:pStyle w:val="Heading3"/>
      </w:pPr>
      <w:r>
        <w:t xml:space="preserve">Properties / Territories</w:t>
      </w:r>
    </w:p>
    <w:p>
      <w:pPr>
        <w:pStyle w:val="FirstParagraph"/>
      </w:pPr>
      <w:r>
        <w:t xml:space="preserve">TODO</w:t>
      </w:r>
    </w:p>
    <w:bookmarkEnd w:id="122"/>
    <w:bookmarkStart w:id="123" w:name="Xbcd3e57a9d7dfb3cb933b7caaccb7e35677758b"/>
    <w:p>
      <w:pPr>
        <w:pStyle w:val="Heading3"/>
      </w:pPr>
      <w:r>
        <w:t xml:space="preserve">Properties / Observations</w:t>
      </w:r>
    </w:p>
    <w:p>
      <w:pPr>
        <w:pStyle w:val="FirstParagraph"/>
      </w:pPr>
      <w:r>
        <w:t xml:space="preserve">TODO</w:t>
      </w:r>
    </w:p>
    <w:bookmarkEnd w:id="123"/>
    <w:bookmarkStart w:id="124" w:name="X565ee450de95e2d44d9a4fdd152f494818eabb3"/>
    <w:p>
      <w:pPr>
        <w:pStyle w:val="Heading3"/>
      </w:pPr>
      <w:r>
        <w:t xml:space="preserve">Properties / Observations / Configurations</w:t>
      </w:r>
    </w:p>
    <w:p>
      <w:pPr>
        <w:pStyle w:val="FirstParagraph"/>
      </w:pPr>
      <w:r>
        <w:t xml:space="preserve">TODO</w:t>
      </w:r>
    </w:p>
    <w:bookmarkEnd w:id="124"/>
    <w:bookmarkStart w:id="125" w:name="X983006ab18b2e8f8c681d848a3a6b65ad03fdce"/>
    <w:p>
      <w:pPr>
        <w:pStyle w:val="Heading3"/>
      </w:pPr>
      <w:r>
        <w:t xml:space="preserve">Properties / Observations / Configurations / Instrument</w:t>
      </w:r>
    </w:p>
    <w:p>
      <w:pPr>
        <w:pStyle w:val="FirstParagraph"/>
      </w:pPr>
      <w:r>
        <w:t xml:space="preserve">TODO</w:t>
      </w:r>
    </w:p>
    <w:bookmarkEnd w:id="125"/>
    <w:bookmarkStart w:id="127" w:name="X4adef350ddc0a818c2a5dcf28d01e1a3a2e42b6"/>
    <w:p>
      <w:pPr>
        <w:pStyle w:val="Heading3"/>
      </w:pPr>
      <w:r>
        <w:t xml:space="preserve">Links and distribution information</w:t>
      </w:r>
    </w:p>
    <w:p>
      <w:pPr>
        <w:pStyle w:val="FirstParagraph"/>
      </w:pPr>
      <w:r>
        <w:t xml:space="preserve">TODO</w:t>
      </w:r>
    </w:p>
    <w:bookmarkStart w:id="126" w:name="X983c4aa7ef28fb7032ae84e3fd3376f6e50726d"/>
    <w:p>
      <w:pPr>
        <w:pStyle w:val="Heading4"/>
      </w:pPr>
      <w:r>
        <w:t xml:space="preserve">Overview</w:t>
      </w:r>
    </w:p>
    <w:p>
      <w:pPr>
        <w:pStyle w:val="FirstParagraph"/>
      </w:pPr>
      <w:r>
        <w:t xml:space="preserve">TODO</w:t>
      </w:r>
    </w:p>
    <w:bookmarkEnd w:id="126"/>
    <w:bookmarkEnd w:id="127"/>
    <w:bookmarkStart w:id="128" w:name="X2b145b5a935ac6e14f7d0458519266699c26f66"/>
    <w:p>
      <w:pPr>
        <w:pStyle w:val="Heading3"/>
      </w:pPr>
      <w:r>
        <w:t xml:space="preserve">Additional properties</w:t>
      </w:r>
    </w:p>
    <w:p>
      <w:pPr>
        <w:pStyle w:val="FirstParagraph"/>
      </w:pPr>
      <w:r>
        <w:t xml:space="preserve">A WMDR can be extended as required for organizational purposes by adding properties (of any type) in the</w:t>
      </w:r>
      <w:r>
        <w:t xml:space="preserve"> </w:t>
      </w:r>
      <w:r>
        <w:t xml:space="preserve">record. Additional properties do not render a record non-compliant with WMDR.</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/per/core/additional_properties</w:t>
            </w:r>
          </w:p>
        </w:tc>
      </w:tr>
      <w:tr>
        <w:tc>
          <w:tcPr/>
          <w:p>
            <w:pPr>
              <w:jc w:val="center"/>
            </w:pPr>
            <w:r>
              <w:t xml:space="preserve">A</w:t>
            </w:r>
          </w:p>
        </w:tc>
        <w:tc>
          <w:tcPr/>
          <w:p>
            <w:pPr>
              <w:jc w:val="left"/>
            </w:pPr>
            <w:r>
              <w:t xml:space="preserve">A WMDR MAY provide additional properties of any type in any part of the document as needed.</w:t>
            </w:r>
          </w:p>
        </w:tc>
      </w:tr>
    </w:tbl>
    <w:bookmarkEnd w:id="128"/>
    <w:bookmarkEnd w:id="129"/>
    <w:bookmarkStart w:id="134" w:name="X4424fefbfd75ca97caf043734c19dac4e243e52"/>
    <w:p>
      <w:pPr>
        <w:pStyle w:val="Heading2"/>
      </w:pPr>
      <w:r>
        <w:t xml:space="preserve">WIGOS Metadata Representation resources</w:t>
      </w:r>
    </w:p>
    <w:bookmarkStart w:id="131" w:name="X84ad1a028c96a094434852d43f044cc7128529e"/>
    <w:p>
      <w:pPr>
        <w:pStyle w:val="Heading3"/>
      </w:pPr>
      <w:r>
        <w:t xml:space="preserve">WMO Codes Registry</w:t>
      </w:r>
    </w:p>
    <w:p>
      <w:pPr>
        <w:numPr>
          <w:ilvl w:val="0"/>
          <w:numId w:val="1007"/>
        </w:numPr>
      </w:pPr>
      <w:hyperlink r:id="rId130">
        <w:r>
          <w:rPr>
            <w:rStyle w:val="Hyperlink"/>
          </w:rPr>
          <w:t xml:space="preserve">http://codes.wmo.int/wmdr</w:t>
        </w:r>
      </w:hyperlink>
    </w:p>
    <w:bookmarkEnd w:id="131"/>
    <w:bookmarkStart w:id="133" w:name="Xbf43198f9369ea90a582752aa21c431193bfdca"/>
    <w:p>
      <w:pPr>
        <w:pStyle w:val="Heading3"/>
      </w:pPr>
      <w:r>
        <w:t xml:space="preserve">WMO schemas server</w:t>
      </w:r>
    </w:p>
    <w:p>
      <w:pPr>
        <w:pStyle w:val="FirstParagraph"/>
      </w:pPr>
      <w:r>
        <w:t xml:space="preserve">Validation schemas, examples and other resources are published at</w:t>
      </w:r>
      <w:r>
        <w:t xml:space="preserve"> </w:t>
      </w:r>
      <w:hyperlink r:id="rId132">
        <w:r>
          <w:rPr>
            <w:rStyle w:val="Hyperlink"/>
          </w:rPr>
          <w:t xml:space="preserve">https://schemas.wmo.int/wmdr</w:t>
        </w:r>
      </w:hyperlink>
      <w:r>
        <w:t xml:space="preserve">.</w:t>
      </w:r>
    </w:p>
    <w:bookmarkEnd w:id="133"/>
    <w:bookmarkEnd w:id="134"/>
    <w:bookmarkEnd w:id="135"/>
    <w:bookmarkStart w:id="137" w:name="X923228b5c97e1eb8dabcd1cbb2d566dfa9877af"/>
    <w:p>
      <w:pPr>
        <w:pStyle w:val="Heading1"/>
      </w:pPr>
      <w:r>
        <w:t xml:space="preserve">Cataloguing considerations</w:t>
      </w:r>
    </w:p>
    <w:p>
      <w:pPr>
        <w:pStyle w:val="FirstParagraph"/>
      </w:pPr>
      <w:r>
        <w:t xml:space="preserve">In addition to documenting and describing WIGOS metadata holdings, WMDR observing facility metadata will be searchable via the WIGOS Global Observing Facility Catalogue (GOFC). As part of discovery and search workflow, a GOFC may choose to apply filters to help narrow search results. This is realized by the API of the GOFC, as well as applying facets in the catalogue.</w:t>
      </w:r>
    </w:p>
    <w:bookmarkStart w:id="136" w:name="X31d95753d8963ef876a659fb5032dfc02fd0b43"/>
    <w:p>
      <w:pPr>
        <w:pStyle w:val="Heading2"/>
      </w:pPr>
      <w:r>
        <w:t xml:space="preserve">Faceting</w:t>
      </w:r>
    </w:p>
    <w:p>
      <w:pPr>
        <w:pStyle w:val="FirstParagraph"/>
      </w:pPr>
      <w:r>
        <w:t xml:space="preserve">The API of the GOFC, in addition to allowing for spatial/temporal/attribute queries and filters,</w:t>
      </w:r>
      <w:r>
        <w:t xml:space="preserve"> </w:t>
      </w:r>
      <w:r>
        <w:t xml:space="preserve">may choose to apply facets to WMDRs. Facets are effective when applied against controlled</w:t>
      </w:r>
      <w:r>
        <w:t xml:space="preserve"> </w:t>
      </w:r>
      <w:r>
        <w:t xml:space="preserve">vocabularies and classifications.</w:t>
      </w:r>
    </w:p>
    <w:bookmarkEnd w:id="136"/>
    <w:bookmarkEnd w:id="137"/>
    <w:bookmarkStart w:id="146" w:name="X78fdb1f4716baf4c26796c550dad0531813f831"/>
    <w:p>
      <w:pPr>
        <w:pStyle w:val="Heading1"/>
      </w:pPr>
      <w:r>
        <w:t xml:space="preserve">Conformance Class Abstract Test Suite (Normative)</w:t>
      </w:r>
    </w:p>
    <w:bookmarkStart w:id="145" w:name="X832d8df2233b24fd4778b0d5040958f69375ea7"/>
    <w:p>
      <w:pPr>
        <w:pStyle w:val="Heading2"/>
      </w:pPr>
      <w:r>
        <w:t xml:space="preserve">Conformance Class: Core</w:t>
      </w:r>
    </w:p>
    <w:p>
      <w:pPr>
        <w:pStyle w:val="DefinitionTerm"/>
      </w:pPr>
      <w:r>
        <w:t xml:space="preserve">label</w:t>
      </w:r>
    </w:p>
    <w:p>
      <w:pPr>
        <w:pStyle w:val="Definition"/>
      </w:pPr>
      <w:hyperlink r:id="rId138">
        <w:r>
          <w:rPr>
            <w:rStyle w:val="Hyperlink"/>
          </w:rPr>
          <w:t xml:space="preserve">http://wigos.wmo.int/spec/wmdr/2/conf/core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Type:Observing facility metadata</w:t>
      </w:r>
    </w:p>
    <w:bookmarkStart w:id="139" w:name="Xd66068c09e2a54a50a68955949a313d0b938175"/>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WMDR is valid to the authoritative WMDR schema.</w:t>
      </w:r>
    </w:p>
    <w:p>
      <w:pPr>
        <w:pStyle w:val="FirstParagraph"/>
      </w:pPr>
      <w:r>
        <w:t xml:space="preserve">Run JSON Schema validation on the WMDR against the WMDR authoritative schema.</w:t>
      </w:r>
    </w:p>
    <w:bookmarkEnd w:id="139"/>
    <w:bookmarkStart w:id="140" w:name="X8749fcc5d010c03aaa11d4f982116a6b2a782f3"/>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WMDR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WMDR.</w:t>
      </w:r>
    </w:p>
    <w:p>
      <w:pPr>
        <w:pStyle w:val="BodyText"/>
      </w:pPr>
      <w:r>
        <w:t xml:space="preserve">In the WMDR’s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40"/>
    <w:bookmarkStart w:id="141" w:name="X9fdb21ee96995d5f930cb0780bfaebc67434759"/>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WMDR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WMDR.</w:t>
      </w:r>
    </w:p>
    <w:p>
      <w:pPr>
        <w:pStyle w:val="BodyText"/>
      </w:pPr>
      <w:r>
        <w:t xml:space="preserve">In the WMDR’s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http://wigos.wmo.int/spec/wmdr/2/conf/core</w:t>
      </w:r>
      <w:r>
        <w:t xml:space="preserve">.</w:t>
      </w:r>
    </w:p>
    <w:bookmarkEnd w:id="141"/>
    <w:bookmarkStart w:id="142" w:name="X2cd138ec2cc1e8f3c389d6ae274f3ec62d714cc"/>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WMDR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WMDR.</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42"/>
    <w:bookmarkStart w:id="143"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WMDR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WMDR.</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WMDR contact role codelist.</w:t>
      </w:r>
    </w:p>
    <w:bookmarkEnd w:id="143"/>
    <w:bookmarkStart w:id="144"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WMDR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WMDR.</w:t>
      </w:r>
    </w:p>
    <w:bookmarkEnd w:id="144"/>
    <w:bookmarkEnd w:id="145"/>
    <w:bookmarkEnd w:id="146"/>
    <w:bookmarkStart w:id="149" w:name="schemas"/>
    <w:p>
      <w:pPr>
        <w:pStyle w:val="Heading1"/>
      </w:pPr>
      <w:r>
        <w:t xml:space="preserve">Schemas (Normative)</w:t>
      </w:r>
    </w:p>
    <w:p>
      <w:pPr>
        <w:pStyle w:val="FirstParagraph"/>
      </w:pPr>
      <w:r>
        <w:t xml:space="preserve">The schema document will be published on</w:t>
      </w:r>
      <w:r>
        <w:t xml:space="preserve"> </w:t>
      </w:r>
      <w:hyperlink r:id="rId147">
        <w:r>
          <w:rPr>
            <w:rStyle w:val="Hyperlink"/>
          </w:rPr>
          <w:t xml:space="preserve">https://schemas.wmo.int/wmdr/2.0.0</w:t>
        </w:r>
      </w:hyperlink>
      <w:r>
        <w:t xml:space="preserve"> </w:t>
      </w:r>
      <w:r>
        <w:t xml:space="preserve">once the standard has been approved.</w:t>
      </w:r>
    </w:p>
    <w:bookmarkStart w:id="148" w:name="Xad9f852d38af1af762a09286caa8efe53949058"/>
    <w:p>
      <w:pPr>
        <w:pStyle w:val="Heading2"/>
      </w:pPr>
      <w:r>
        <w:t xml:space="preserve">WIGOS Metadata Representation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"https://raw.githubusercontent.com/wmo-im/wmdr2/main/schemas/wmdrRecordGeoJSON.yaml"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"WIGOS station identifier"</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"http://wigos.wmo.int/spec/wmdr/2/conf/core"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"record type"</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"facility"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facility name (primary)"</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facility description"</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"additionalIds"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WIGOS Station Identifiers (WSI)"</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"additionalTitles"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observing facility names"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"facilityType"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facility type"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"https://codes.wmo.int/wmdr/FacilityType"</w:t>
      </w:r>
      <w:r>
        <w:br/>
      </w:r>
      <w:r>
        <w:rPr>
          <w:rStyle w:val="NormalTok"/>
        </w:rPr>
        <w:t xml:space="preserve">        </w:t>
      </w:r>
      <w:r>
        <w:rPr>
          <w:rStyle w:val="FunctionTok"/>
        </w:rPr>
        <w:t xml:space="preserve">},</w:t>
      </w:r>
      <w:r>
        <w:br/>
      </w:r>
      <w:r>
        <w:rPr>
          <w:rStyle w:val="NormalTok"/>
        </w:rPr>
        <w:t xml:space="preserve">        </w:t>
      </w:r>
      <w:r>
        <w:rPr>
          <w:rStyle w:val="DataTypeTok"/>
        </w:rPr>
        <w:t xml:space="preserve">"wmoRegion"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"WMO Region"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"https://codes.wmo.int/wmdr/WMORegion"</w:t>
      </w:r>
      <w:r>
        <w:br/>
      </w:r>
      <w:r>
        <w:rPr>
          <w:rStyle w:val="NormalTok"/>
        </w:rPr>
        <w:t xml:space="preserve">        </w:t>
      </w:r>
      <w:r>
        <w:rPr>
          <w:rStyle w:val="FunctionTok"/>
        </w:rPr>
        <w:t xml:space="preserve">},</w:t>
      </w:r>
      <w:r>
        <w:br/>
      </w:r>
      <w:r>
        <w:rPr>
          <w:rStyle w:val="NormalTok"/>
        </w:rPr>
        <w:t xml:space="preserve">        </w:t>
      </w:r>
      <w:r>
        <w:rPr>
          <w:rStyle w:val="DataTypeTok"/>
        </w:rPr>
        <w:t xml:space="preserve">"territories"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series of territories"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"territory"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"Territory of origin of data"</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"https://codes.wmo.int/wmdr/TerritoryName"</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"territory"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"observations made at the facility, including the observed geometry and observed property"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"#/definitions/Observations"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"created"</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"observations"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"Configurations"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"configuration identifier"</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"#/properties/time"</w:t>
      </w:r>
      <w:r>
        <w:br/>
      </w:r>
      <w:r>
        <w:rPr>
          <w:rStyle w:val="NormalTok"/>
        </w:rPr>
        <w:t xml:space="preserve">        </w:t>
      </w:r>
      <w:r>
        <w:rPr>
          <w:rStyle w:val="FunctionTok"/>
        </w:rPr>
        <w:t xml:space="preserve">},</w:t>
      </w:r>
      <w:r>
        <w:br/>
      </w:r>
      <w:r>
        <w:rPr>
          <w:rStyle w:val="NormalTok"/>
        </w:rPr>
        <w:t xml:space="preserve">        </w:t>
      </w:r>
      <w:r>
        <w:rPr>
          <w:rStyle w:val="DataTypeTok"/>
        </w:rPr>
        <w:t xml:space="preserve">"observingMethod"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method"</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https://codes.wmo.int/wmdr/ObservingMethodAtmosphere</w:t>
      </w:r>
      <w:r>
        <w:rPr>
          <w:rStyle w:val="CharTok"/>
        </w:rPr>
        <w:t xml:space="preserve">\n</w:t>
      </w:r>
      <w:r>
        <w:rPr>
          <w:rStyle w:val="StringTok"/>
        </w:rPr>
        <w:t xml:space="preserve">- https://codes.wmo.int/wmdr/ObservingMethodTerrestrial</w:t>
      </w:r>
      <w:r>
        <w:rPr>
          <w:rStyle w:val="CharTok"/>
        </w:rPr>
        <w:t xml:space="preserve">\n</w:t>
      </w:r>
      <w:r>
        <w:rPr>
          <w:rStyle w:val="StringTok"/>
        </w:rPr>
        <w:t xml:space="preserve">- https://codes.wmo.int/wmdr/ObservingMethodOcean"</w:t>
      </w:r>
      <w:r>
        <w:br/>
      </w:r>
      <w:r>
        <w:rPr>
          <w:rStyle w:val="NormalTok"/>
        </w:rPr>
        <w:t xml:space="preserve">        </w:t>
      </w:r>
      <w:r>
        <w:rPr>
          <w:rStyle w:val="FunctionTok"/>
        </w:rPr>
        <w:t xml:space="preserve">},</w:t>
      </w:r>
      <w:r>
        <w:br/>
      </w:r>
      <w:r>
        <w:rPr>
          <w:rStyle w:val="NormalTok"/>
        </w:rPr>
        <w:t xml:space="preserve">        </w:t>
      </w:r>
      <w:r>
        <w:rPr>
          <w:rStyle w:val="DataTypeTok"/>
        </w:rPr>
        <w:t xml:space="preserve">"operatingStatus"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"operating status"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https://codes.wmo.int/wmdr/InstrumentOperatingStatus"</w:t>
      </w:r>
      <w:r>
        <w:br/>
      </w:r>
      <w:r>
        <w:rPr>
          <w:rStyle w:val="NormalTok"/>
        </w:rPr>
        <w:t xml:space="preserve">        </w:t>
      </w:r>
      <w:r>
        <w:rPr>
          <w:rStyle w:val="FunctionTok"/>
        </w:rPr>
        <w:t xml:space="preserve">},</w:t>
      </w:r>
      <w:r>
        <w:br/>
      </w:r>
      <w:r>
        <w:rPr>
          <w:rStyle w:val="NormalTok"/>
        </w:rPr>
        <w:t xml:space="preserve">        </w:t>
      </w:r>
      <w:r>
        <w:rPr>
          <w:rStyle w:val="DataTypeTok"/>
        </w:rPr>
        <w:t xml:space="preserve">"sourceOfObservation"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"Source of observation"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"https://codes.wmo.int/wmdr/SourceOfObservation"</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"#/definitions/Instrument"</w:t>
      </w:r>
      <w:r>
        <w:br/>
      </w:r>
      <w:r>
        <w:rPr>
          <w:rStyle w:val="NormalTok"/>
        </w:rPr>
        <w:t xml:space="preserve">        </w:t>
      </w:r>
      <w:r>
        <w:rPr>
          <w:rStyle w:val="FunctionTok"/>
        </w:rPr>
        <w:t xml:space="preserve">},</w:t>
      </w:r>
      <w:r>
        <w:br/>
      </w:r>
      <w:r>
        <w:rPr>
          <w:rStyle w:val="NormalTok"/>
        </w:rPr>
        <w:t xml:space="preserve">        </w:t>
      </w:r>
      <w:r>
        <w:rPr>
          <w:rStyle w:val="DataTypeTok"/>
        </w:rPr>
        <w:t xml:space="preserve">"instrumentSerialNumber"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serial number"</w:t>
      </w:r>
      <w:r>
        <w:br/>
      </w:r>
      <w:r>
        <w:rPr>
          <w:rStyle w:val="NormalTok"/>
        </w:rPr>
        <w:t xml:space="preserve">        </w:t>
      </w:r>
      <w:r>
        <w:rPr>
          <w:rStyle w:val="FunctionTok"/>
        </w:rPr>
        <w:t xml:space="preserve">},</w:t>
      </w:r>
      <w:r>
        <w:br/>
      </w:r>
      <w:r>
        <w:rPr>
          <w:rStyle w:val="NormalTok"/>
        </w:rPr>
        <w:t xml:space="preserve">        </w:t>
      </w:r>
      <w:r>
        <w:rPr>
          <w:rStyle w:val="DataTypeTok"/>
        </w:rPr>
        <w:t xml:space="preserve">"verticalDistance"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"Signed vertical distances from reference surface"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"Measurement unit"</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"https://codes.wmo.int/wmdr/unit"</w:t>
      </w:r>
      <w:r>
        <w:br/>
      </w:r>
      <w:r>
        <w:rPr>
          <w:rStyle w:val="NormalTok"/>
        </w:rPr>
        <w:t xml:space="preserve">            </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"Type of reference surface"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"https://codes.wmo.int/wmdr/ReferenceSurfaceType"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"distances"</w:t>
      </w:r>
      <w:r>
        <w:rPr>
          <w:rStyle w:val="OtherTok"/>
        </w:rPr>
        <w:t xml:space="preserve">,</w:t>
      </w:r>
      <w:r>
        <w:br/>
      </w:r>
      <w:r>
        <w:rPr>
          <w:rStyle w:val="NormalTok"/>
        </w:rPr>
        <w:t xml:space="preserve">            </w:t>
      </w:r>
      <w:r>
        <w:rPr>
          <w:rStyle w:val="StringTok"/>
        </w:rPr>
        <w:t xml:space="preserve">"unit"</w:t>
      </w:r>
      <w:r>
        <w:rPr>
          <w:rStyle w:val="OtherTok"/>
        </w:rPr>
        <w:t xml:space="preserve">,</w:t>
      </w:r>
      <w:r>
        <w:br/>
      </w:r>
      <w:r>
        <w:rPr>
          <w:rStyle w:val="NormalTok"/>
        </w:rPr>
        <w:t xml:space="preserve">            </w:t>
      </w:r>
      <w:r>
        <w:rPr>
          <w:rStyle w:val="StringTok"/>
        </w:rPr>
        <w:t xml:space="preserve">"referenceSurface"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"time"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"integer"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manufacturer"</w:t>
      </w:r>
      <w:r>
        <w:br/>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model"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"observedGeometry"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"#/properties/properties/properties/wmoRegion/allOf/0/oneOf/0"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"observed geometry"</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https://codes.wmo.int/wmdr/Geometry"</w:t>
      </w:r>
      <w:r>
        <w:br/>
      </w:r>
      <w:r>
        <w:rPr>
          <w:rStyle w:val="NormalTok"/>
        </w:rPr>
        <w:t xml:space="preserve">        </w:t>
      </w:r>
      <w:r>
        <w:rPr>
          <w:rStyle w:val="FunctionTok"/>
        </w:rPr>
        <w:t xml:space="preserve">},</w:t>
      </w:r>
      <w:r>
        <w:br/>
      </w:r>
      <w:r>
        <w:rPr>
          <w:rStyle w:val="NormalTok"/>
        </w:rPr>
        <w:t xml:space="preserve">        </w:t>
      </w:r>
      <w:r>
        <w:rPr>
          <w:rStyle w:val="DataTypeTok"/>
        </w:rPr>
        <w:t xml:space="preserve">"observedProperty"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"#/properties/properties/properties/wmoRegion/allOf/0/oneOf/0"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"observed property"</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https://codes.wmo.int/wmdr/ObservedVariableAtmosphere</w:t>
      </w:r>
      <w:r>
        <w:rPr>
          <w:rStyle w:val="CharTok"/>
        </w:rPr>
        <w:t xml:space="preserve">\n</w:t>
      </w:r>
      <w:r>
        <w:rPr>
          <w:rStyle w:val="StringTok"/>
        </w:rPr>
        <w:t xml:space="preserve">- https://codes.wmo.int/wmdr/ObservedVariableEarth</w:t>
      </w:r>
      <w:r>
        <w:rPr>
          <w:rStyle w:val="CharTok"/>
        </w:rPr>
        <w:t xml:space="preserve">\n</w:t>
      </w:r>
      <w:r>
        <w:rPr>
          <w:rStyle w:val="StringTok"/>
        </w:rPr>
        <w:t xml:space="preserve">- https://codes.wmo.int/wmdr/ObservedVariableOcean</w:t>
      </w:r>
      <w:r>
        <w:rPr>
          <w:rStyle w:val="CharTok"/>
        </w:rPr>
        <w:t xml:space="preserve">\n</w:t>
      </w:r>
      <w:r>
        <w:rPr>
          <w:rStyle w:val="StringTok"/>
        </w:rPr>
        <w:t xml:space="preserve">- https://codes.wmo.int/wmdr/ObservedVariableOuterSpace</w:t>
      </w:r>
      <w:r>
        <w:rPr>
          <w:rStyle w:val="CharTok"/>
        </w:rPr>
        <w:t xml:space="preserve">\n</w:t>
      </w:r>
      <w:r>
        <w:rPr>
          <w:rStyle w:val="StringTok"/>
        </w:rPr>
        <w:t xml:space="preserve">- https://codes.wmo.int/wmdr/ObservedVariableTerrestrial"</w:t>
      </w:r>
      <w:r>
        <w:br/>
      </w:r>
      <w:r>
        <w:rPr>
          <w:rStyle w:val="NormalTok"/>
        </w:rPr>
        <w:t xml:space="preserve">        </w:t>
      </w:r>
      <w:r>
        <w:rPr>
          <w:rStyle w:val="FunctionTok"/>
        </w:rPr>
        <w:t xml:space="preserve">},</w:t>
      </w:r>
      <w:r>
        <w:br/>
      </w:r>
      <w:r>
        <w:rPr>
          <w:rStyle w:val="NormalTok"/>
        </w:rPr>
        <w:t xml:space="preserve">        </w:t>
      </w:r>
      <w:r>
        <w:rPr>
          <w:rStyle w:val="DataTypeTok"/>
        </w:rPr>
        <w:t xml:space="preserve">"programAffiliations"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 affiliations"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"programAffiliation"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"#/properties/properties/properties/wmoRegion/allOf/0/oneOf/0"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"Programme/network affiliation"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"https://codes.wmo.int/wmdr/ProgramAffiliation"</w:t>
      </w:r>
      <w:r>
        <w:br/>
      </w:r>
      <w:r>
        <w:rPr>
          <w:rStyle w:val="NormalTok"/>
        </w:rPr>
        <w:t xml:space="preserve">              </w:t>
      </w:r>
      <w:r>
        <w:rPr>
          <w:rStyle w:val="FunctionTok"/>
        </w:rPr>
        <w:t xml:space="preserve">},</w:t>
      </w:r>
      <w:r>
        <w:br/>
      </w:r>
      <w:r>
        <w:rPr>
          <w:rStyle w:val="NormalTok"/>
        </w:rPr>
        <w:t xml:space="preserve">              </w:t>
      </w:r>
      <w:r>
        <w:rPr>
          <w:rStyle w:val="DataTypeTok"/>
        </w:rPr>
        <w:t xml:space="preserve">"reportingStatus"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"#/properties/properties/properties/wmoRegion/allOf/0"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"Station/Platform operating status"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"https://codes.wmo.int/wmdr/ReportingStatus"</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"#/properties/properties/properties/territories/items/properties/dates"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"programAffiliation"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"configurations"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"configurations"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"#/definitions/Configurations"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"observedProperty"</w:t>
      </w:r>
      <w:r>
        <w:rPr>
          <w:rStyle w:val="OtherTok"/>
        </w:rPr>
        <w:t xml:space="preserve">,</w:t>
      </w:r>
      <w:r>
        <w:br/>
      </w:r>
      <w:r>
        <w:rPr>
          <w:rStyle w:val="NormalTok"/>
        </w:rPr>
        <w:t xml:space="preserve">        </w:t>
      </w:r>
      <w:r>
        <w:rPr>
          <w:rStyle w:val="StringTok"/>
        </w:rPr>
        <w:t xml:space="preserve">"programAffiliations"</w:t>
      </w:r>
      <w:r>
        <w:rPr>
          <w:rStyle w:val="OtherTok"/>
        </w:rPr>
        <w:t xml:space="preserve">,</w:t>
      </w:r>
      <w:r>
        <w:br/>
      </w:r>
      <w:r>
        <w:rPr>
          <w:rStyle w:val="NormalTok"/>
        </w:rPr>
        <w:t xml:space="preserve">        </w:t>
      </w:r>
      <w:r>
        <w:rPr>
          <w:rStyle w:val="StringTok"/>
        </w:rPr>
        <w:t xml:space="preserve">"configurations"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48"/>
    <w:bookmarkEnd w:id="149"/>
    <w:bookmarkStart w:id="151" w:name="examples"/>
    <w:p>
      <w:pPr>
        <w:pStyle w:val="Heading1"/>
      </w:pPr>
      <w:r>
        <w:t xml:space="preserve">Examples (Informative)</w:t>
      </w:r>
    </w:p>
    <w:bookmarkStart w:id="150" w:name="X500b6651f8a0d201c3f4b4a0309044f325e15d2"/>
    <w:p>
      <w:pPr>
        <w:pStyle w:val="Heading2"/>
      </w:pPr>
      <w:r>
        <w:t xml:space="preserve">WIGOS Metadata Representation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"type": "Feature",</w:t>
      </w:r>
      <w:r>
        <w:br/>
      </w:r>
      <w:r>
        <w:rPr>
          <w:rStyle w:val="VerbatimChar"/>
        </w:rPr>
        <w:t xml:space="preserve">    "id": "0-20008-0-THE",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22.956,</w:t>
      </w:r>
      <w:r>
        <w:br/>
      </w:r>
      <w:r>
        <w:rPr>
          <w:rStyle w:val="VerbatimChar"/>
        </w:rPr>
        <w:t xml:space="preserve">            40.634,</w:t>
      </w:r>
      <w:r>
        <w:br/>
      </w:r>
      <w:r>
        <w:rPr>
          <w:rStyle w:val="VerbatimChar"/>
        </w:rPr>
        <w:t xml:space="preserve">            60</w:t>
      </w:r>
      <w:r>
        <w:br/>
      </w:r>
      <w:r>
        <w:rPr>
          <w:rStyle w:val="VerbatimChar"/>
        </w:rPr>
        <w:t xml:space="preserve">        ]</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"conformsTo": [</w:t>
      </w:r>
      <w:r>
        <w:br/>
      </w:r>
      <w:r>
        <w:rPr>
          <w:rStyle w:val="VerbatimChar"/>
        </w:rPr>
        <w:t xml:space="preserve">        "http://wigos.wmo.int/spec/wmdr/2/conf/core"</w:t>
      </w:r>
      <w:r>
        <w:br/>
      </w:r>
      <w:r>
        <w:rPr>
          <w:rStyle w:val="VerbatimChar"/>
        </w:rPr>
        <w:t xml:space="preserve">    ],</w:t>
      </w:r>
      <w:r>
        <w:br/>
      </w:r>
      <w:r>
        <w:rPr>
          <w:rStyle w:val="VerbatimChar"/>
        </w:rPr>
        <w:t xml:space="preserve">    "properties": {</w:t>
      </w:r>
      <w:r>
        <w:br/>
      </w:r>
      <w:r>
        <w:rPr>
          <w:rStyle w:val="VerbatimChar"/>
        </w:rPr>
        <w:t xml:space="preserve">        "type": "facility",</w:t>
      </w:r>
      <w:r>
        <w:br/>
      </w:r>
      <w:r>
        <w:rPr>
          <w:rStyle w:val="VerbatimChar"/>
        </w:rPr>
        <w:t xml:space="preserve">        "facilityType": {</w:t>
      </w:r>
      <w:r>
        <w:br/>
      </w:r>
      <w:r>
        <w:rPr>
          <w:rStyle w:val="VerbatimChar"/>
        </w:rPr>
        <w:t xml:space="preserve">            "id": "landFixed"</w:t>
      </w:r>
      <w:r>
        <w:br/>
      </w:r>
      <w:r>
        <w:rPr>
          <w:rStyle w:val="VerbatimChar"/>
        </w:rPr>
        <w:t xml:space="preserve">        },</w:t>
      </w:r>
      <w:r>
        <w:br/>
      </w:r>
      <w:r>
        <w:rPr>
          <w:rStyle w:val="VerbatimChar"/>
        </w:rPr>
        <w:t xml:space="preserve">        "title": "Thessaloniki",</w:t>
      </w:r>
      <w:r>
        <w:br/>
      </w:r>
      <w:r>
        <w:rPr>
          <w:rStyle w:val="VerbatimChar"/>
        </w:rPr>
        <w:t xml:space="preserve">        "created": "2024-12-11T00:00:00Z",</w:t>
      </w:r>
      <w:r>
        <w:br/>
      </w:r>
      <w:r>
        <w:rPr>
          <w:rStyle w:val="VerbatimChar"/>
        </w:rPr>
        <w:t xml:space="preserve">        "updated": "2024-12-11T00:00:00Z",</w:t>
      </w:r>
      <w:r>
        <w:br/>
      </w:r>
      <w:r>
        <w:rPr>
          <w:rStyle w:val="VerbatimChar"/>
        </w:rPr>
        <w:t xml:space="preserve">        "description": "The Brewer spectrophotometers and all radiation instruments are located on the roof of the 4-storey building of the Physics Dept., of the Aristotle University of Thessaloniki. The Campus is located in the city center about 500 m east of the seashore. The highest elevation of about 1100 m is at a distance of about 15 km towards the east. Thessaloniki is the second largest city of Greece with about 1000000 inhabitants in the greater metropolitan area.",</w:t>
      </w:r>
      <w:r>
        <w:br/>
      </w:r>
      <w:r>
        <w:rPr>
          <w:rStyle w:val="VerbatimChar"/>
        </w:rPr>
        <w:t xml:space="preserve">        "contacts": [</w:t>
      </w:r>
      <w:r>
        <w:br/>
      </w:r>
      <w:r>
        <w:rPr>
          <w:rStyle w:val="VerbatimChar"/>
        </w:rPr>
        <w:t xml:space="preserve">            {</w:t>
      </w:r>
      <w:r>
        <w:br/>
      </w:r>
      <w:r>
        <w:rPr>
          <w:rStyle w:val="VerbatimChar"/>
        </w:rPr>
        <w:t xml:space="preserve">                "identifier": "contact:aristotle-university-of-thessaloniki--ed7b7e4a",</w:t>
      </w:r>
      <w:r>
        <w:br/>
      </w:r>
      <w:r>
        <w:rPr>
          <w:rStyle w:val="VerbatimChar"/>
        </w:rPr>
        <w:t xml:space="preserve">                "organization": "Aristotle University of Thessaloniki",</w:t>
      </w:r>
      <w:r>
        <w:br/>
      </w:r>
      <w:r>
        <w:rPr>
          <w:rStyle w:val="VerbatimChar"/>
        </w:rPr>
        <w:t xml:space="preserve">                "roles": [</w:t>
      </w:r>
      <w:r>
        <w:br/>
      </w:r>
      <w:r>
        <w:rPr>
          <w:rStyle w:val="VerbatimChar"/>
        </w:rPr>
        <w:t xml:space="preserve">                    "owner"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"contact:clima@hnms.gr",</w:t>
      </w:r>
      <w:r>
        <w:br/>
      </w:r>
      <w:r>
        <w:rPr>
          <w:rStyle w:val="VerbatimChar"/>
        </w:rPr>
        <w:t xml:space="preserve">                "name": "Mrs M. Michelaraki",</w:t>
      </w:r>
      <w:r>
        <w:br/>
      </w:r>
      <w:r>
        <w:rPr>
          <w:rStyle w:val="VerbatimChar"/>
        </w:rPr>
        <w:t xml:space="preserve">                "organization": "Hellenic National Meteorological Service",</w:t>
      </w:r>
      <w:r>
        <w:br/>
      </w:r>
      <w:r>
        <w:rPr>
          <w:rStyle w:val="VerbatimChar"/>
        </w:rPr>
        <w:t xml:space="preserve">                "roles": [</w:t>
      </w:r>
      <w:r>
        <w:br/>
      </w:r>
      <w:r>
        <w:rPr>
          <w:rStyle w:val="VerbatimChar"/>
        </w:rPr>
        <w:t xml:space="preserve">                    "pointOfContact"</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"https://www.emy.gr",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"contact:abais@auth.gr",</w:t>
      </w:r>
      <w:r>
        <w:br/>
      </w:r>
      <w:r>
        <w:rPr>
          <w:rStyle w:val="VerbatimChar"/>
        </w:rPr>
        <w:t xml:space="preserve">                "name": "Alkiviadis Bais",</w:t>
      </w:r>
      <w:r>
        <w:br/>
      </w:r>
      <w:r>
        <w:rPr>
          <w:rStyle w:val="VerbatimChar"/>
        </w:rPr>
        <w:t xml:space="preserve">                "organization": "Aristotle University of Thessaloniki",</w:t>
      </w:r>
      <w:r>
        <w:br/>
      </w:r>
      <w:r>
        <w:rPr>
          <w:rStyle w:val="VerbatimChar"/>
        </w:rPr>
        <w:t xml:space="preserve">                "roles": [</w:t>
      </w:r>
      <w:r>
        <w:br/>
      </w:r>
      <w:r>
        <w:rPr>
          <w:rStyle w:val="VerbatimChar"/>
        </w:rPr>
        <w:t xml:space="preserve">                    "principalInvestigator"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"contact:balis@auth.gr",</w:t>
      </w:r>
      <w:r>
        <w:br/>
      </w:r>
      <w:r>
        <w:rPr>
          <w:rStyle w:val="VerbatimChar"/>
        </w:rPr>
        <w:t xml:space="preserve">                "name": "Dimitris Balis",</w:t>
      </w:r>
      <w:r>
        <w:br/>
      </w:r>
      <w:r>
        <w:rPr>
          <w:rStyle w:val="VerbatimChar"/>
        </w:rPr>
        <w:t xml:space="preserve">                "organization": "Aristotle University of Thessaloniki",</w:t>
      </w:r>
      <w:r>
        <w:br/>
      </w:r>
      <w:r>
        <w:rPr>
          <w:rStyle w:val="VerbatimChar"/>
        </w:rPr>
        <w:t xml:space="preserve">                "roles": [</w:t>
      </w:r>
      <w:r>
        <w:br/>
      </w:r>
      <w:r>
        <w:rPr>
          <w:rStyle w:val="VerbatimChar"/>
        </w:rPr>
        <w:t xml:space="preserve">                    "principalInvestigator"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"wmoRegion": {</w:t>
      </w:r>
      <w:r>
        <w:br/>
      </w:r>
      <w:r>
        <w:rPr>
          <w:rStyle w:val="VerbatimChar"/>
        </w:rPr>
        <w:t xml:space="preserve">            "id": "europe"</w:t>
      </w:r>
      <w:r>
        <w:br/>
      </w:r>
      <w:r>
        <w:rPr>
          <w:rStyle w:val="VerbatimChar"/>
        </w:rPr>
        <w:t xml:space="preserve">        },</w:t>
      </w:r>
      <w:r>
        <w:br/>
      </w:r>
      <w:r>
        <w:rPr>
          <w:rStyle w:val="VerbatimChar"/>
        </w:rPr>
        <w:t xml:space="preserve">        "territories": [</w:t>
      </w:r>
      <w:r>
        <w:br/>
      </w:r>
      <w:r>
        <w:rPr>
          <w:rStyle w:val="VerbatimChar"/>
        </w:rPr>
        <w:t xml:space="preserve">            {</w:t>
      </w:r>
      <w:r>
        <w:br/>
      </w:r>
      <w:r>
        <w:rPr>
          <w:rStyle w:val="VerbatimChar"/>
        </w:rPr>
        <w:t xml:space="preserve">                "dates": [</w:t>
      </w:r>
      <w:r>
        <w:br/>
      </w:r>
      <w:r>
        <w:rPr>
          <w:rStyle w:val="VerbatimChar"/>
        </w:rPr>
        <w:t xml:space="preserve">                    "2011-02-16",</w:t>
      </w:r>
      <w:r>
        <w:br/>
      </w:r>
      <w:r>
        <w:rPr>
          <w:rStyle w:val="VerbatimChar"/>
        </w:rPr>
        <w:t xml:space="preserve">                    ".."</w:t>
      </w:r>
      <w:r>
        <w:br/>
      </w:r>
      <w:r>
        <w:rPr>
          <w:rStyle w:val="VerbatimChar"/>
        </w:rPr>
        <w:t xml:space="preserve">                ],</w:t>
      </w:r>
      <w:r>
        <w:br/>
      </w:r>
      <w:r>
        <w:rPr>
          <w:rStyle w:val="VerbatimChar"/>
        </w:rPr>
        <w:t xml:space="preserve">                "territory": {"id": "GRC"}</w:t>
      </w:r>
      <w:r>
        <w:br/>
      </w:r>
      <w:r>
        <w:rPr>
          <w:rStyle w:val="VerbatimChar"/>
        </w:rPr>
        <w:t xml:space="preserve">            }</w:t>
      </w:r>
      <w:r>
        <w:br/>
      </w:r>
      <w:r>
        <w:rPr>
          <w:rStyle w:val="VerbatimChar"/>
        </w:rPr>
        <w:t xml:space="preserve">        ],</w:t>
      </w:r>
      <w:r>
        <w:br/>
      </w:r>
      <w:r>
        <w:rPr>
          <w:rStyle w:val="VerbatimChar"/>
        </w:rPr>
        <w:t xml:space="preserve">        "observations": [</w:t>
      </w:r>
      <w:r>
        <w:br/>
      </w:r>
      <w:r>
        <w:rPr>
          <w:rStyle w:val="VerbatimChar"/>
        </w:rPr>
        <w:t xml:space="preserve">            {</w:t>
      </w:r>
      <w:r>
        <w:br/>
      </w:r>
      <w:r>
        <w:rPr>
          <w:rStyle w:val="VerbatimChar"/>
        </w:rPr>
        <w:t xml:space="preserve">                "observedProperty": {</w:t>
      </w:r>
      <w:r>
        <w:br/>
      </w:r>
      <w:r>
        <w:rPr>
          <w:rStyle w:val="VerbatimChar"/>
        </w:rPr>
        <w:t xml:space="preserve">                    "id": "12164"</w:t>
      </w:r>
      <w:r>
        <w:br/>
      </w:r>
      <w:r>
        <w:rPr>
          <w:rStyle w:val="VerbatimChar"/>
        </w:rPr>
        <w:t xml:space="preserve">                },</w:t>
      </w:r>
      <w:r>
        <w:br/>
      </w:r>
      <w:r>
        <w:rPr>
          <w:rStyle w:val="VerbatimChar"/>
        </w:rPr>
        <w:t xml:space="preserve">                "programAffiliations": [</w:t>
      </w:r>
      <w:r>
        <w:br/>
      </w:r>
      <w:r>
        <w:rPr>
          <w:rStyle w:val="VerbatimChar"/>
        </w:rPr>
        <w:t xml:space="preserve">                    {</w:t>
      </w:r>
      <w:r>
        <w:br/>
      </w:r>
      <w:r>
        <w:rPr>
          <w:rStyle w:val="VerbatimChar"/>
        </w:rPr>
        <w:t xml:space="preserve">                        "dates":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"programAffiliation": {</w:t>
      </w:r>
      <w:r>
        <w:br/>
      </w:r>
      <w:r>
        <w:rPr>
          <w:rStyle w:val="VerbatimChar"/>
        </w:rPr>
        <w:t xml:space="preserve">                            "id": "GAWregional"</w:t>
      </w:r>
      <w:r>
        <w:br/>
      </w:r>
      <w:r>
        <w:rPr>
          <w:rStyle w:val="VerbatimChar"/>
        </w:rPr>
        <w:t xml:space="preserve">                        },</w:t>
      </w:r>
      <w:r>
        <w:br/>
      </w:r>
      <w:r>
        <w:rPr>
          <w:rStyle w:val="VerbatimChar"/>
        </w:rPr>
        <w:t xml:space="preserve">                        "reportingStatus": {</w:t>
      </w:r>
      <w:r>
        <w:br/>
      </w:r>
      <w:r>
        <w:rPr>
          <w:rStyle w:val="VerbatimChar"/>
        </w:rPr>
        <w:t xml:space="preserve">                            "id": "operational"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"dates": [</w:t>
      </w:r>
      <w:r>
        <w:br/>
      </w:r>
      <w:r>
        <w:rPr>
          <w:rStyle w:val="VerbatimChar"/>
        </w:rPr>
        <w:t xml:space="preserve">                            "2008-01-01",</w:t>
      </w:r>
      <w:r>
        <w:br/>
      </w:r>
      <w:r>
        <w:rPr>
          <w:rStyle w:val="VerbatimChar"/>
        </w:rPr>
        <w:t xml:space="preserve">                            "2024-12-11"</w:t>
      </w:r>
      <w:r>
        <w:br/>
      </w:r>
      <w:r>
        <w:rPr>
          <w:rStyle w:val="VerbatimChar"/>
        </w:rPr>
        <w:t xml:space="preserve">                        ],</w:t>
      </w:r>
      <w:r>
        <w:br/>
      </w:r>
      <w:r>
        <w:rPr>
          <w:rStyle w:val="VerbatimChar"/>
        </w:rPr>
        <w:t xml:space="preserve">                        "programAffiliation": {</w:t>
      </w:r>
      <w:r>
        <w:br/>
      </w:r>
      <w:r>
        <w:rPr>
          <w:rStyle w:val="VerbatimChar"/>
        </w:rPr>
        <w:t xml:space="preserve">                            "id": "GALION"</w:t>
      </w:r>
      <w:r>
        <w:br/>
      </w:r>
      <w:r>
        <w:rPr>
          <w:rStyle w:val="VerbatimChar"/>
        </w:rPr>
        <w:t xml:space="preserve">                        },</w:t>
      </w:r>
      <w:r>
        <w:br/>
      </w:r>
      <w:r>
        <w:rPr>
          <w:rStyle w:val="VerbatimChar"/>
        </w:rPr>
        <w:t xml:space="preserve">                        "reportingStatus": {</w:t>
      </w:r>
      <w:r>
        <w:br/>
      </w:r>
      <w:r>
        <w:rPr>
          <w:rStyle w:val="VerbatimChar"/>
        </w:rPr>
        <w:t xml:space="preserve">                            "id": "operational"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"dates": [</w:t>
      </w:r>
      <w:r>
        <w:br/>
      </w:r>
      <w:r>
        <w:rPr>
          <w:rStyle w:val="VerbatimChar"/>
        </w:rPr>
        <w:t xml:space="preserve">                            "2003-06-01",</w:t>
      </w:r>
      <w:r>
        <w:br/>
      </w:r>
      <w:r>
        <w:rPr>
          <w:rStyle w:val="VerbatimChar"/>
        </w:rPr>
        <w:t xml:space="preserve">                            "2024-12-11"</w:t>
      </w:r>
      <w:r>
        <w:br/>
      </w:r>
      <w:r>
        <w:rPr>
          <w:rStyle w:val="VerbatimChar"/>
        </w:rPr>
        <w:t xml:space="preserve">                        ],</w:t>
      </w:r>
      <w:r>
        <w:br/>
      </w:r>
      <w:r>
        <w:rPr>
          <w:rStyle w:val="VerbatimChar"/>
        </w:rPr>
        <w:t xml:space="preserve">                        "programAffiliation": {</w:t>
      </w:r>
      <w:r>
        <w:br/>
      </w:r>
      <w:r>
        <w:rPr>
          <w:rStyle w:val="VerbatimChar"/>
        </w:rPr>
        <w:t xml:space="preserve">                            "id": "AERONET"</w:t>
      </w:r>
      <w:r>
        <w:br/>
      </w:r>
      <w:r>
        <w:rPr>
          <w:rStyle w:val="VerbatimChar"/>
        </w:rPr>
        <w:t xml:space="preserve">                        },</w:t>
      </w:r>
      <w:r>
        <w:br/>
      </w:r>
      <w:r>
        <w:rPr>
          <w:rStyle w:val="VerbatimChar"/>
        </w:rPr>
        <w:t xml:space="preserve">                        "reportingStatus": {</w:t>
      </w:r>
      <w:r>
        <w:br/>
      </w:r>
      <w:r>
        <w:rPr>
          <w:rStyle w:val="VerbatimChar"/>
        </w:rPr>
        <w:t xml:space="preserve">                            "id": "operational"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"configurations": [</w:t>
      </w:r>
      <w:r>
        <w:br/>
      </w:r>
      <w:r>
        <w:rPr>
          <w:rStyle w:val="VerbatimChar"/>
        </w:rPr>
        <w:t xml:space="preserve">                    {</w:t>
      </w:r>
      <w:r>
        <w:br/>
      </w:r>
      <w:r>
        <w:rPr>
          <w:rStyle w:val="VerbatimChar"/>
        </w:rPr>
        <w:t xml:space="preserve">                        "id": "configuration-456",</w:t>
      </w:r>
      <w:r>
        <w:br/>
      </w:r>
      <w:r>
        <w:rPr>
          <w:rStyle w:val="VerbatimChar"/>
        </w:rPr>
        <w:t xml:space="preserve">                        "time": {</w:t>
      </w:r>
      <w:r>
        <w:br/>
      </w:r>
      <w:r>
        <w:rPr>
          <w:rStyle w:val="VerbatimChar"/>
        </w:rPr>
        <w:t xml:space="preserve">                            "interval":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"observingMethod": {</w:t>
      </w:r>
      <w:r>
        <w:br/>
      </w:r>
      <w:r>
        <w:rPr>
          <w:rStyle w:val="VerbatimChar"/>
        </w:rPr>
        <w:t xml:space="preserve">                            "id": "78"</w:t>
      </w:r>
      <w:r>
        <w:br/>
      </w:r>
      <w:r>
        <w:rPr>
          <w:rStyle w:val="VerbatimChar"/>
        </w:rPr>
        <w:t xml:space="preserve">                        },</w:t>
      </w:r>
      <w:r>
        <w:br/>
      </w:r>
      <w:r>
        <w:rPr>
          <w:rStyle w:val="VerbatimChar"/>
        </w:rPr>
        <w:t xml:space="preserve">                        "sourceOfObservation": {</w:t>
      </w:r>
      <w:r>
        <w:br/>
      </w:r>
      <w:r>
        <w:rPr>
          <w:rStyle w:val="VerbatimChar"/>
        </w:rPr>
        <w:t xml:space="preserve">                            "id": "automaticReading"</w:t>
      </w:r>
      <w:r>
        <w:br/>
      </w:r>
      <w:r>
        <w:rPr>
          <w:rStyle w:val="VerbatimChar"/>
        </w:rPr>
        <w:t xml:space="preserve">                        },</w:t>
      </w:r>
      <w:r>
        <w:br/>
      </w:r>
      <w:r>
        <w:rPr>
          <w:rStyle w:val="VerbatimChar"/>
        </w:rPr>
        <w:t xml:space="preserve">                        "instrument": {</w:t>
      </w:r>
      <w:r>
        <w:br/>
      </w:r>
      <w:r>
        <w:rPr>
          <w:rStyle w:val="VerbatimChar"/>
        </w:rPr>
        <w:t xml:space="preserve">                            "id": "instrument-789"</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"https://lapweb.physics.auth.gr/en/infrastructure/#Infrastructure",</w:t>
      </w:r>
      <w:r>
        <w:br/>
      </w:r>
      <w:r>
        <w:rPr>
          <w:rStyle w:val="VerbatimChar"/>
        </w:rPr>
        <w:t xml:space="preserve">            "rel": "about",</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w:t>
      </w:r>
    </w:p>
    <w:bookmarkEnd w:id="150"/>
    <w:bookmarkEnd w:id="151"/>
    <w:bookmarkStart w:id="156" w:name="Codelists"/>
    <w:p>
      <w:pPr>
        <w:pStyle w:val="Heading1"/>
      </w:pPr>
      <w:r>
        <w:t xml:space="preserve">Codelists (Informative)</w:t>
      </w:r>
    </w:p>
    <w:bookmarkStart w:id="15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08"/>
        </w:numPr>
      </w:pPr>
      <w:hyperlink r:id="rId152">
        <w:r>
          <w:rPr>
            <w:rStyle w:val="Hyperlink"/>
          </w:rPr>
          <w:t xml:space="preserve">https://www.w3.org/TR/vocab-dcat-3/#life-cycle</w:t>
        </w:r>
      </w:hyperlink>
    </w:p>
    <w:p>
      <w:pPr>
        <w:numPr>
          <w:ilvl w:val="0"/>
          <w:numId w:val="1008"/>
        </w:numPr>
      </w:pPr>
      <w:hyperlink r:id="rId153">
        <w:r>
          <w:rPr>
            <w:rStyle w:val="Hyperlink"/>
          </w:rPr>
          <w:t xml:space="preserve">https://vocab.met.no/mmd/en/page/?uri=https%3A%2F%2Fvocab.met.no%2Fmmd%2FOperational_Status</w:t>
        </w:r>
      </w:hyperlink>
    </w:p>
    <w:p>
      <w:pPr>
        <w:numPr>
          <w:ilvl w:val="0"/>
          <w:numId w:val="1008"/>
        </w:numPr>
      </w:pPr>
      <w:hyperlink r:id="rId154">
        <w:r>
          <w:rPr>
            <w:rStyle w:val="Hyperlink"/>
          </w:rPr>
          <w:t xml:space="preserve">https://wiki.esipfed.org/ISO_19115_and_19115-2_CodeList_Dictionaries#MD_ProgressCode</w:t>
        </w:r>
      </w:hyperlink>
    </w:p>
    <w:bookmarkEnd w:id="155"/>
    <w:bookmarkEnd w:id="156"/>
    <w:bookmarkStart w:id="162" w:name="Bibliography"/>
    <w:p>
      <w:pPr>
        <w:pStyle w:val="Heading1"/>
      </w:pPr>
      <w:r>
        <w:t xml:space="preserve">Bibliography</w:t>
      </w:r>
    </w:p>
    <w:p>
      <w:pPr>
        <w:numPr>
          <w:ilvl w:val="0"/>
          <w:numId w:val="1009"/>
        </w:numPr>
      </w:pPr>
      <w:bookmarkStart w:id="157" w:name="SDWBP"/>
      <w:bookmarkEnd w:id="157"/>
      <w:r>
        <w:t xml:space="preserve"> </w:t>
      </w:r>
      <w:r>
        <w:t xml:space="preserve">W3C/OGC: Spatial Data on the Web Best Practices, W3C Working Group Note 28 September 2017,</w:t>
      </w:r>
      <w:r>
        <w:t xml:space="preserve"> </w:t>
      </w:r>
      <w:hyperlink r:id="rId36">
        <w:r>
          <w:rPr>
            <w:rStyle w:val="Hyperlink"/>
          </w:rPr>
          <w:t xml:space="preserve">https://www.w3.org/TR/sdw-bp</w:t>
        </w:r>
      </w:hyperlink>
    </w:p>
    <w:p>
      <w:pPr>
        <w:numPr>
          <w:ilvl w:val="0"/>
          <w:numId w:val="1009"/>
        </w:numPr>
      </w:pPr>
      <w:bookmarkStart w:id="158" w:name="DWBP"/>
      <w:bookmarkEnd w:id="158"/>
      <w:r>
        <w:t xml:space="preserve"> </w:t>
      </w:r>
      <w:r>
        <w:t xml:space="preserve">W3C: Data on the Web Best Practices, W3C Recommendation 31 January 2017,</w:t>
      </w:r>
      <w:r>
        <w:t xml:space="preserve"> </w:t>
      </w:r>
      <w:hyperlink r:id="rId34">
        <w:r>
          <w:rPr>
            <w:rStyle w:val="Hyperlink"/>
          </w:rPr>
          <w:t xml:space="preserve">https://www.w3.org/TR/dwbp</w:t>
        </w:r>
      </w:hyperlink>
    </w:p>
    <w:p>
      <w:pPr>
        <w:numPr>
          <w:ilvl w:val="0"/>
          <w:numId w:val="1009"/>
        </w:numPr>
      </w:pPr>
      <w:bookmarkStart w:id="159" w:name="DCAT"/>
      <w:bookmarkEnd w:id="159"/>
      <w:r>
        <w:t xml:space="preserve"> </w:t>
      </w:r>
      <w:r>
        <w:t xml:space="preserve">W3C: Data Catalog Vocabulary, W3C Recommendation 16 January 2014,</w:t>
      </w:r>
      <w:r>
        <w:t xml:space="preserve"> </w:t>
      </w:r>
      <w:hyperlink r:id="rId59">
        <w:r>
          <w:rPr>
            <w:rStyle w:val="Hyperlink"/>
          </w:rPr>
          <w:t xml:space="preserve">https://www.w3.org/TR/vocab-dcat</w:t>
        </w:r>
      </w:hyperlink>
    </w:p>
    <w:p>
      <w:pPr>
        <w:numPr>
          <w:ilvl w:val="0"/>
          <w:numId w:val="1009"/>
        </w:numPr>
      </w:pPr>
      <w:bookmarkStart w:id="160" w:name="link-relations"/>
      <w:bookmarkEnd w:id="160"/>
      <w:r>
        <w:t xml:space="preserve"> </w:t>
      </w:r>
      <w:r>
        <w:t xml:space="preserve">IANA: Link Relation Types,</w:t>
      </w:r>
      <w:r>
        <w:t xml:space="preserve"> </w:t>
      </w:r>
      <w:hyperlink r:id="rId61">
        <w:r>
          <w:rPr>
            <w:rStyle w:val="Hyperlink"/>
          </w:rPr>
          <w:t xml:space="preserve">https://www.iana.org/assignments/link-relations/link-relations.xml</w:t>
        </w:r>
      </w:hyperlink>
    </w:p>
    <w:p>
      <w:pPr>
        <w:numPr>
          <w:ilvl w:val="0"/>
          <w:numId w:val="1009"/>
        </w:numPr>
      </w:pPr>
      <w:bookmarkStart w:id="161" w:name="SPDX"/>
      <w:bookmarkEnd w:id="161"/>
      <w:r>
        <w:t xml:space="preserve"> </w:t>
      </w:r>
      <w:r>
        <w:t xml:space="preserve">Linux Foundation: SPDX License List,</w:t>
      </w:r>
      <w:r>
        <w:t xml:space="preserve"> </w:t>
      </w:r>
      <w:hyperlink r:id="rId65">
        <w:r>
          <w:rPr>
            <w:rStyle w:val="Hyperlink"/>
          </w:rPr>
          <w:t xml:space="preserve">https://spdx.org/licenses</w:t>
        </w:r>
      </w:hyperlink>
    </w:p>
    <w:bookmarkEnd w:id="162"/>
    <w:bookmarkStart w:id="16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2025-11-12</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https://community.wmo.int/en/governance/commission-membership/commission-observation-infrastructure-and-information-systems-infcom/standing-committee-information-management-and-technology-sc-imt/expert-team-metadata-standards-et-metadata/task-team-wigos-metadata-tt-wigosmd</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https://ogcapi.ogc.org/records</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3">
    <w:p>
      <w:pPr>
        <w:pStyle w:val="FootnoteText"/>
      </w:pPr>
      <w:r>
        <w:rPr>
          <w:rStyle w:val="FootnoteReference"/>
        </w:rPr>
        <w:footnoteRef/>
      </w:r>
      <w:r>
        <w:t xml:space="preserve"> </w:t>
      </w:r>
      <w:hyperlink r:id="rId34">
        <w:r>
          <w:rPr>
            <w:rStyle w:val="Hyperlink"/>
          </w:rPr>
          <w:t xml:space="preserve">https://www.w3.org/TR/dwbp</w:t>
        </w:r>
      </w:hyperlink>
    </w:p>
  </w:footnote>
  <w:footnote w:id="35">
    <w:p>
      <w:pPr>
        <w:pStyle w:val="FootnoteText"/>
      </w:pPr>
      <w:r>
        <w:rPr>
          <w:rStyle w:val="FootnoteReference"/>
        </w:rPr>
        <w:footnoteRef/>
      </w:r>
      <w:r>
        <w:t xml:space="preserve"> </w:t>
      </w:r>
      <w:hyperlink r:id="rId36">
        <w:r>
          <w:rPr>
            <w:rStyle w:val="Hyperlink"/>
          </w:rPr>
          <w:t xml:space="preserve">https://www.w3.org/TR/sdw-bp</w:t>
        </w:r>
      </w:hyperlink>
    </w:p>
  </w:footnote>
  <w:footnote w:id="37">
    <w:p>
      <w:pPr>
        <w:pStyle w:val="FootnoteText"/>
      </w:pPr>
      <w:r>
        <w:rPr>
          <w:rStyle w:val="FootnoteReference"/>
        </w:rPr>
        <w:footnoteRef/>
      </w:r>
      <w:r>
        <w:t xml:space="preserve"> </w:t>
      </w:r>
      <w:hyperlink r:id="rId38">
        <w:r>
          <w:rPr>
            <w:rStyle w:val="Hyperlink"/>
          </w:rPr>
          <w:t xml:space="preserve">https://en.wikipedia.org/wiki/FAIR_data</w:t>
        </w:r>
      </w:hyperlink>
    </w:p>
  </w:footnote>
  <w:footnote w:id="39">
    <w:p>
      <w:pPr>
        <w:pStyle w:val="FootnoteText"/>
      </w:pPr>
      <w:r>
        <w:rPr>
          <w:rStyle w:val="FootnoteReference"/>
        </w:rPr>
        <w:footnoteRef/>
      </w:r>
      <w:r>
        <w:t xml:space="preserve"> </w:t>
      </w:r>
      <w:hyperlink r:id="rId40">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https://library.wmo.int/idurl/4/68731</w:t>
        </w:r>
      </w:hyperlink>
    </w:p>
  </w:footnote>
  <w:footnote w:id="46">
    <w:p>
      <w:pPr>
        <w:pStyle w:val="FootnoteText"/>
      </w:pPr>
      <w:r>
        <w:rPr>
          <w:rStyle w:val="FootnoteReference"/>
        </w:rPr>
        <w:footnoteRef/>
      </w:r>
      <w:r>
        <w:t xml:space="preserve"> </w:t>
      </w:r>
      <w:hyperlink r:id="rId47">
        <w:r>
          <w:rPr>
            <w:rStyle w:val="Hyperlink"/>
          </w:rPr>
          <w:t xml:space="preserve">https://docs.ogc.org/is/20-004r1/20-004r1.html</w:t>
        </w:r>
      </w:hyperlink>
    </w:p>
  </w:footnote>
  <w:footnote w:id="49">
    <w:p>
      <w:pPr>
        <w:pStyle w:val="FootnoteText"/>
      </w:pPr>
      <w:r>
        <w:rPr>
          <w:rStyle w:val="FootnoteReference"/>
        </w:rPr>
        <w:footnoteRef/>
      </w:r>
      <w:r>
        <w:t xml:space="preserve"> </w:t>
      </w:r>
      <w:hyperlink r:id="rId50">
        <w:r>
          <w:rPr>
            <w:rStyle w:val="Hyperlink"/>
          </w:rPr>
          <w:t xml:space="preserve">https://docs.opengeospatial.org/is/17-069r4/17-069r4.html</w:t>
        </w:r>
      </w:hyperlink>
    </w:p>
  </w:footnote>
  <w:footnote w:id="52">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54">
    <w:p>
      <w:pPr>
        <w:pStyle w:val="FootnoteText"/>
      </w:pPr>
      <w:r>
        <w:rPr>
          <w:rStyle w:val="FootnoteReference"/>
        </w:rPr>
        <w:footnoteRef/>
      </w:r>
      <w:r>
        <w:t xml:space="preserve"> </w:t>
      </w:r>
      <w:hyperlink r:id="rId55">
        <w:r>
          <w:rPr>
            <w:rStyle w:val="Hyperlink"/>
          </w:rPr>
          <w:t xml:space="preserve">https://datatracker.ietf.org/doc/html/rfc8259</w:t>
        </w:r>
      </w:hyperlink>
    </w:p>
  </w:footnote>
  <w:footnote w:id="56">
    <w:p>
      <w:pPr>
        <w:pStyle w:val="FootnoteText"/>
      </w:pPr>
      <w:r>
        <w:rPr>
          <w:rStyle w:val="FootnoteReference"/>
        </w:rPr>
        <w:footnoteRef/>
      </w:r>
      <w:r>
        <w:t xml:space="preserve"> </w:t>
      </w:r>
      <w:hyperlink r:id="rId36">
        <w:r>
          <w:rPr>
            <w:rStyle w:val="Hyperlink"/>
          </w:rPr>
          <w:t xml:space="preserve">https://www.w3.org/TR/sdw-bp</w:t>
        </w:r>
      </w:hyperlink>
    </w:p>
  </w:footnote>
  <w:footnote w:id="57">
    <w:p>
      <w:pPr>
        <w:pStyle w:val="FootnoteText"/>
      </w:pPr>
      <w:r>
        <w:rPr>
          <w:rStyle w:val="FootnoteReference"/>
        </w:rPr>
        <w:footnoteRef/>
      </w:r>
      <w:r>
        <w:t xml:space="preserve"> </w:t>
      </w:r>
      <w:hyperlink r:id="rId34">
        <w:r>
          <w:rPr>
            <w:rStyle w:val="Hyperlink"/>
          </w:rPr>
          <w:t xml:space="preserve">https://www.w3.org/TR/dwbp</w:t>
        </w:r>
      </w:hyperlink>
    </w:p>
  </w:footnote>
  <w:footnote w:id="58">
    <w:p>
      <w:pPr>
        <w:pStyle w:val="FootnoteText"/>
      </w:pPr>
      <w:r>
        <w:rPr>
          <w:rStyle w:val="FootnoteReference"/>
        </w:rPr>
        <w:footnoteRef/>
      </w:r>
      <w:r>
        <w:t xml:space="preserve"> </w:t>
      </w:r>
      <w:hyperlink r:id="rId59">
        <w:r>
          <w:rPr>
            <w:rStyle w:val="Hyperlink"/>
          </w:rPr>
          <w:t xml:space="preserve">https://www.w3.org/TR/vocab-dcat</w:t>
        </w:r>
      </w:hyperlink>
    </w:p>
  </w:footnote>
  <w:footnote w:id="60">
    <w:p>
      <w:pPr>
        <w:pStyle w:val="FootnoteText"/>
      </w:pPr>
      <w:r>
        <w:rPr>
          <w:rStyle w:val="FootnoteReference"/>
        </w:rPr>
        <w:footnoteRef/>
      </w:r>
      <w:r>
        <w:t xml:space="preserve"> </w:t>
      </w:r>
      <w:hyperlink r:id="rId61">
        <w:r>
          <w:rPr>
            <w:rStyle w:val="Hyperlink"/>
          </w:rPr>
          <w:t xml:space="preserve">https://www.iana.org/assignments/link-relations/link-relations.xml</w:t>
        </w:r>
      </w:hyperlink>
    </w:p>
  </w:footnote>
  <w:footnote w:id="62">
    <w:p>
      <w:pPr>
        <w:pStyle w:val="FootnoteText"/>
      </w:pPr>
      <w:r>
        <w:rPr>
          <w:rStyle w:val="FootnoteReference"/>
        </w:rPr>
        <w:footnoteRef/>
      </w:r>
      <w:r>
        <w:t xml:space="preserve"> </w:t>
      </w:r>
      <w:hyperlink r:id="rId63">
        <w:r>
          <w:rPr>
            <w:rStyle w:val="Hyperlink"/>
          </w:rPr>
          <w:t xml:space="preserve">https://www.iana.org/assignments/media-types/media-types.xhtml</w:t>
        </w:r>
      </w:hyperlink>
    </w:p>
  </w:footnote>
  <w:footnote w:id="64">
    <w:p>
      <w:pPr>
        <w:pStyle w:val="FootnoteText"/>
      </w:pPr>
      <w:r>
        <w:rPr>
          <w:rStyle w:val="FootnoteReference"/>
        </w:rPr>
        <w:footnoteRef/>
      </w:r>
      <w:r>
        <w:t xml:space="preserve"> </w:t>
      </w:r>
      <w:hyperlink r:id="rId65">
        <w:r>
          <w:rPr>
            <w:rStyle w:val="Hyperlink"/>
          </w:rPr>
          <w:t xml:space="preserve">https://spdx.org/licenses</w:t>
        </w:r>
      </w:hyperlink>
    </w:p>
  </w:footnote>
  <w:footnote w:id="67">
    <w:p>
      <w:pPr>
        <w:pStyle w:val="FootnoteText"/>
      </w:pPr>
      <w:r>
        <w:rPr>
          <w:rStyle w:val="FootnoteReference"/>
        </w:rPr>
        <w:footnoteRef/>
      </w:r>
      <w:r>
        <w:t xml:space="preserve"> </w:t>
      </w:r>
      <w:hyperlink r:id="rId68">
        <w:r>
          <w:rPr>
            <w:rStyle w:val="Hyperlink"/>
          </w:rPr>
          <w:t xml:space="preserve">https://json-schema.org</w:t>
        </w:r>
      </w:hyperlink>
    </w:p>
  </w:footnote>
  <w:footnote w:id="70">
    <w:p>
      <w:pPr>
        <w:pStyle w:val="FootnoteText"/>
      </w:pPr>
      <w:r>
        <w:rPr>
          <w:rStyle w:val="FootnoteReference"/>
        </w:rPr>
        <w:footnoteRef/>
      </w:r>
      <w:r>
        <w:t xml:space="preserve"> </w:t>
      </w:r>
      <w:hyperlink r:id="rId71">
        <w:r>
          <w:rPr>
            <w:rStyle w:val="Hyperlink"/>
          </w:rPr>
          <w:t xml:space="preserve">https://library.wmo.int/records/item/68731-manual-on-the-wmo-information-system-volume-ii-wmo-information-system-2-0</w:t>
        </w:r>
      </w:hyperlink>
    </w:p>
  </w:footnote>
  <w:footnote w:id="83">
    <w:p>
      <w:pPr>
        <w:pStyle w:val="FootnoteText"/>
      </w:pPr>
      <w:r>
        <w:rPr>
          <w:rStyle w:val="FootnoteReference"/>
        </w:rPr>
        <w:footnoteRef/>
      </w:r>
      <w:r>
        <w:t xml:space="preserve"> </w:t>
      </w:r>
      <w:hyperlink r:id="rId68">
        <w:r>
          <w:rPr>
            <w:rStyle w:val="Hyperlink"/>
          </w:rPr>
          <w:t xml:space="preserve">https://json-schema.org</w:t>
        </w:r>
      </w:hyperlink>
    </w:p>
  </w:footnote>
  <w:footnote w:id="84">
    <w:p>
      <w:pPr>
        <w:pStyle w:val="FootnoteText"/>
      </w:pPr>
      <w:r>
        <w:rPr>
          <w:rStyle w:val="FootnoteReference"/>
        </w:rPr>
        <w:footnoteRef/>
      </w:r>
      <w:r>
        <w:t xml:space="preserve"> </w:t>
      </w:r>
      <w:hyperlink r:id="rId85">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0"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38"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13"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12"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4"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32" Target="https://schemas.wmo.int/wmdr" TargetMode="External" /><Relationship Type="http://schemas.openxmlformats.org/officeDocument/2006/relationships/hyperlink" Id="rId147"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53" Target="https://vocab.met.no/mmd/en/page/?uri=https%3A%2F%2Fvocab.met.no%2Fmmd%2FOperational_Status" TargetMode="External" /><Relationship Type="http://schemas.openxmlformats.org/officeDocument/2006/relationships/hyperlink" Id="rId154"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5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30"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38"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13"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12"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4"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32" Target="https://schemas.wmo.int/wmdr" TargetMode="External" /><Relationship Type="http://schemas.openxmlformats.org/officeDocument/2006/relationships/hyperlink" Id="rId147"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53" Target="https://vocab.met.no/mmd/en/page/?uri=https%3A%2F%2Fvocab.met.no%2Fmmd%2FOperational_Status" TargetMode="External" /><Relationship Type="http://schemas.openxmlformats.org/officeDocument/2006/relationships/hyperlink" Id="rId154"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5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WIGOS Metadata Representation (WMDR) Version 2</dc:title>
  <dc:creator/>
  <cp:keywords/>
  <dcterms:created xsi:type="dcterms:W3CDTF">2026-09-26T18:26:05Z</dcterms:created>
  <dcterms:modified xsi:type="dcterms:W3CDTF">2026-09-26T18:26:05Z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2026-09-26</vt:lpwstr>
  </property>
</Properties>
</file>