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2026-01-23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2026-01-23</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9" w:name="X1ea7cbd003469405f98a7976943980a7b23bcee"/>
    <w:p>
      <w:pPr>
        <w:pStyle w:val="Heading1"/>
      </w:pPr>
      <w:r>
        <w:t xml:space="preserve">Introduction</w:t>
      </w:r>
    </w:p>
    <w:p>
      <w:pPr>
        <w:pStyle w:val="FirstParagraph"/>
      </w:pPr>
      <w:r>
        <w:t xml:space="preserve">Open source software has become increasingly crucial for WMO and its Members. No longer a "niche" industry, FOSS now powers major initiatives and services worldwide, and is backed by industry support.</w:t>
      </w:r>
    </w:p>
    <w:p>
      <w:pPr>
        <w:pStyle w:val="BodyText"/>
      </w:pPr>
      <w:r>
        <w:t xml:space="preserve">FOSS solutions play a pivotal role as accelerators for the implementation of Early Warnings for 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developing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25" w:name="Xd3eb036a852ae4abd9de591cc51a28510ade18b"/>
    <w:p>
      <w:pPr>
        <w:pStyle w:val="Heading2"/>
      </w:pPr>
      <w:r>
        <w:t xml:space="preserve">Audience</w:t>
      </w:r>
    </w:p>
    <w:p>
      <w:pPr>
        <w:pStyle w:val="FirstParagraph"/>
      </w:pPr>
      <w:r>
        <w:t xml:space="preserve">The document is intended for WMO Members who are involved in software development activities in their respective organizations (developers, managers/decision makers) as well as WMO Secretariat in the coordination, alignment and support of FOSS within WMO.</w:t>
      </w:r>
    </w:p>
    <w:bookmarkEnd w:id="25"/>
    <w:bookmarkStart w:id="26" w:name="Xc8210088bf4711be4456d26326179eb58b8f5b4"/>
    <w:p>
      <w:pPr>
        <w:pStyle w:val="Heading2"/>
      </w:pPr>
      <w:r>
        <w:t xml:space="preserve">Scope</w:t>
      </w:r>
    </w:p>
    <w:p>
      <w:pPr>
        <w:pStyle w:val="FirstParagraph"/>
      </w:pPr>
      <w:r>
        <w:t xml:space="preserve">This document provides guidance on FOSS for WMO Members and WMO Secretariat.</w:t>
      </w:r>
    </w:p>
    <w:bookmarkEnd w:id="26"/>
    <w:bookmarkStart w:id="27" w:name="Xca774f64942a7f7563fb94bb05ba7dab3a26d69"/>
    <w:p>
      <w:pPr>
        <w:pStyle w:val="Heading2"/>
      </w:pPr>
      <w:r>
        <w:t xml:space="preserve">Background</w:t>
      </w:r>
    </w:p>
    <w:p>
      <w:pPr>
        <w:numPr>
          <w:ilvl w:val="0"/>
          <w:numId w:val="1001"/>
        </w:numPr>
      </w:pPr>
      <w:r>
        <w:t xml:space="preserve">use notes from TT-OSS document to INFCOM Management Group</w:t>
      </w:r>
    </w:p>
    <w:p>
      <w:pPr>
        <w:numPr>
          <w:ilvl w:val="0"/>
          <w:numId w:val="1001"/>
        </w:numPr>
      </w:pPr>
      <w:r>
        <w:t xml:space="preserve">strong usage, increasing usage</w:t>
      </w:r>
    </w:p>
    <w:p>
      <w:pPr>
        <w:numPr>
          <w:ilvl w:val="0"/>
          <w:numId w:val="1001"/>
        </w:numPr>
      </w:pPr>
      <w:r>
        <w:t xml:space="preserve">WIS 2.0 as an example of FOSS dev during standards dev</w:t>
      </w:r>
    </w:p>
    <w:p>
      <w:pPr>
        <w:numPr>
          <w:ilvl w:val="0"/>
          <w:numId w:val="1001"/>
        </w:numPr>
      </w:pPr>
      <w:r>
        <w:t xml:space="preserve">needs coordination</w:t>
      </w:r>
    </w:p>
    <w:p>
      <w:pPr>
        <w:pStyle w:val="FirstParagraph"/>
      </w:pPr>
      <w:r>
        <w:t xml:space="preserve">FOSS development and use among WMO Members has been a longstanding activity. Typical FOSS implementations included decoders and encoder libraries of WMO BUFR and GRIB formats (e.g. ecCodes, degrib, libecbufr, etc.), as well as data dissemination services (THREDDS, GDAL, ERDDAP, etc.).</w:t>
      </w:r>
    </w:p>
    <w:p>
      <w:pPr>
        <w:pStyle w:val="BodyText"/>
      </w:pPr>
      <w:r>
        <w:t xml:space="preserve">In addition, as part of the global open data/open science movement, numerous government organizations have put forth using FOSS by default; this includes use of exiting FOSS tools as well as developing of same,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(such as wis2box, wis2-gdc, etc.). The development of software in the open during the pre-operational phases of WIS2 proved valuable in testing WIS2 Standards put forth in Technical Regulations while in development, promoting the “release early, release often” philosophy of agile and iterative development.</w:t>
      </w:r>
      <w:r>
        <w:t xml:space="preserve"> </w:t>
      </w:r>
      <w:r>
        <w:t xml:space="preserve">While FOSS is resident in numerous WMO Member organizations, guidance and coordination becomes more vital to ensure Member services are provided with security, privacy and safety in mind for WMO Members and beyond.</w:t>
      </w:r>
    </w:p>
    <w:bookmarkEnd w:id="27"/>
    <w:bookmarkStart w:id="28" w:name="Xa8805659787c6fdeae91fd75158a091780b7809"/>
    <w:p>
      <w:pPr>
        <w:pStyle w:val="Heading2"/>
      </w:pPr>
      <w:r>
        <w:t xml:space="preserve">Data policy considerations (TODO Athina)</w:t>
      </w:r>
    </w:p>
    <w:p>
      <w:pPr>
        <w:pStyle w:val="FirstParagraph"/>
      </w:pPr>
      <w:r>
        <w:t xml:space="preserve">Enabling Unified Data Policy via software</w:t>
      </w:r>
    </w:p>
    <w:p>
      <w:pPr>
        <w:pStyle w:val="BodyText"/>
      </w:pPr>
      <w:r>
        <w:t xml:space="preserve">Open data policies</w:t>
      </w:r>
    </w:p>
    <w:p>
      <w:pPr>
        <w:pStyle w:val="BodyText"/>
      </w:pPr>
      <w:r>
        <w:t xml:space="preserve">FAIR data principles</w:t>
      </w:r>
    </w:p>
    <w:bookmarkEnd w:id="28"/>
    <w:bookmarkEnd w:id="29"/>
    <w:bookmarkStart w:id="49" w:name="X3148c62ae8380655b8c29f1e8f24835e28abe42"/>
    <w:p>
      <w:pPr>
        <w:pStyle w:val="Heading1"/>
      </w:pPr>
      <w:r>
        <w:t xml:space="preserve">Guidelines</w:t>
      </w:r>
    </w:p>
    <w:bookmarkStart w:id="37" w:name="Xafc3c35aae3bdfeb1706aa82a2c86b245796cb3"/>
    <w:p>
      <w:pPr>
        <w:pStyle w:val="Heading2"/>
      </w:pPr>
      <w:r>
        <w:t xml:space="preserve">WMO Members</w:t>
      </w:r>
    </w:p>
    <w:bookmarkStart w:id="30" w:name="X6e6120c13b4fdf0aca0a8db50173eb0f817f9bb"/>
    <w:p>
      <w:pPr>
        <w:pStyle w:val="Heading3"/>
      </w:pPr>
      <w:r>
        <w:t xml:space="preserve">Using FOSS</w:t>
      </w:r>
    </w:p>
    <w:p>
      <w:pPr>
        <w:numPr>
          <w:ilvl w:val="0"/>
          <w:numId w:val="1002"/>
        </w:numPr>
      </w:pPr>
      <w:r>
        <w:t xml:space="preserve">FOSS as an option during software evaluation</w:t>
      </w:r>
    </w:p>
    <w:p>
      <w:pPr>
        <w:numPr>
          <w:ilvl w:val="0"/>
          <w:numId w:val="1002"/>
        </w:numPr>
      </w:pPr>
      <w:r>
        <w:t xml:space="preserve">Risk, hidden costs (TODO Jian)</w:t>
      </w:r>
    </w:p>
    <w:p>
      <w:pPr>
        <w:numPr>
          <w:ilvl w:val="0"/>
          <w:numId w:val="1002"/>
        </w:numPr>
      </w:pPr>
      <w:r>
        <w:t xml:space="preserve">Principles apply to ANY software</w:t>
      </w:r>
    </w:p>
    <w:p>
      <w:pPr>
        <w:numPr>
          <w:ilvl w:val="0"/>
          <w:numId w:val="1002"/>
        </w:numPr>
      </w:pPr>
      <w:r>
        <w:t xml:space="preserve">Risk management</w:t>
      </w:r>
    </w:p>
    <w:p>
      <w:pPr>
        <w:numPr>
          <w:ilvl w:val="0"/>
          <w:numId w:val="1002"/>
        </w:numPr>
      </w:pPr>
      <w:r>
        <w:t xml:space="preserve">Due diligence (maintenance, updates)</w:t>
      </w:r>
    </w:p>
    <w:p>
      <w:pPr>
        <w:numPr>
          <w:ilvl w:val="0"/>
          <w:numId w:val="1002"/>
        </w:numPr>
      </w:pPr>
      <w:r>
        <w:t xml:space="preserve">Lifecycle management/EOL → migration</w:t>
      </w:r>
    </w:p>
    <w:p>
      <w:pPr>
        <w:numPr>
          <w:ilvl w:val="0"/>
          <w:numId w:val="1002"/>
        </w:numPr>
      </w:pPr>
      <w:r>
        <w:t xml:space="preserve">Total cost of ownership considerations</w:t>
      </w:r>
    </w:p>
    <w:p>
      <w:pPr>
        <w:numPr>
          <w:ilvl w:val="1"/>
          <w:numId w:val="1003"/>
        </w:numPr>
      </w:pPr>
      <w:r>
        <w:t xml:space="preserve">HR profile / IT capacity of organization</w:t>
      </w:r>
    </w:p>
    <w:p>
      <w:pPr>
        <w:numPr>
          <w:ilvl w:val="0"/>
          <w:numId w:val="1002"/>
        </w:numPr>
      </w:pPr>
      <w:r>
        <w:t xml:space="preserve">Benefits (freedom, cost, reducing vendor lock in, portability) (TODO Jian)</w:t>
      </w:r>
    </w:p>
    <w:p>
      <w:pPr>
        <w:numPr>
          <w:ilvl w:val="0"/>
          <w:numId w:val="1002"/>
        </w:numPr>
      </w:pPr>
      <w:r>
        <w:t xml:space="preserve">Infrastructure considerations</w:t>
      </w:r>
    </w:p>
    <w:bookmarkEnd w:id="30"/>
    <w:bookmarkStart w:id="32" w:name="Xc3643c74377f85c9a4aa3b901502d228a87a410"/>
    <w:p>
      <w:pPr>
        <w:pStyle w:val="Heading3"/>
      </w:pPr>
      <w:r>
        <w:t xml:space="preserve">Contributing to FOSS</w:t>
      </w:r>
    </w:p>
    <w:bookmarkStart w:id="31"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 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04"/>
        </w:numPr>
      </w:pPr>
      <w:r>
        <w:t xml:space="preserve">"Open by default" procurement rules requiring public institutions to consider FOSS alternatives alongside proprietary solutions when acquiring software. In some countries, like Romania, when you purchase "on demand" software development services, the source code should be transferred to the customer along with all the IPR associated with the software. Making the source code available under an open-source license is highly recommended.</w:t>
      </w:r>
    </w:p>
    <w:p>
      <w:pPr>
        <w:numPr>
          <w:ilvl w:val="0"/>
          <w:numId w:val="1004"/>
        </w:numPr>
      </w:pPr>
      <w:r>
        <w:t xml:space="preserve">Guidelines for software development funded from public budget, encouraging publication of code under approved open-source licenses.</w:t>
      </w:r>
    </w:p>
    <w:p>
      <w:pPr>
        <w:numPr>
          <w:ilvl w:val="0"/>
          <w:numId w:val="1004"/>
        </w:numPr>
      </w:pPr>
      <w:r>
        <w:t xml:space="preserve">Policies promoting interoperability and open standards, which naturally align with FOSS implementations within WIS2 and other WMO technical frameworks.</w:t>
      </w:r>
    </w:p>
    <w:p>
      <w:pPr>
        <w:numPr>
          <w:ilvl w:val="0"/>
          <w:numId w:val="1004"/>
        </w:numPr>
      </w:pPr>
      <w:r>
        <w:t xml:space="preserve">Capacity-building programs that enable staff to acquire skills for maintaining and developing open-source tools, reducing long-term operational dependency on external vendors.</w:t>
      </w:r>
    </w:p>
    <w:p>
      <w:pPr>
        <w:numPr>
          <w:ilvl w:val="0"/>
          <w:numId w:val="1004"/>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05"/>
        </w:numPr>
      </w:pPr>
      <w:r>
        <w:t xml:space="preserve">Establish internal rules for licensing, contribution approval and repository management.</w:t>
      </w:r>
    </w:p>
    <w:p>
      <w:pPr>
        <w:numPr>
          <w:ilvl w:val="0"/>
          <w:numId w:val="1005"/>
        </w:numPr>
      </w:pPr>
      <w:r>
        <w:t xml:space="preserve">Define procedures for evaluating FOSS components (governance, community health, maintenance model).</w:t>
      </w:r>
    </w:p>
    <w:p>
      <w:pPr>
        <w:numPr>
          <w:ilvl w:val="0"/>
          <w:numId w:val="1005"/>
        </w:numPr>
      </w:pPr>
      <w:r>
        <w:t xml:space="preserve">Incorporate sustainability planning (including contribution back to upstream projects when fixes or new features are developed internally).</w:t>
      </w:r>
    </w:p>
    <w:p>
      <w:pPr>
        <w:numPr>
          <w:ilvl w:val="0"/>
          <w:numId w:val="1005"/>
        </w:numPr>
      </w:pPr>
      <w:r>
        <w:t xml:space="preserve">Promote transparency by adopting open repositories for research software and operational tools.</w:t>
      </w:r>
    </w:p>
    <w:p>
      <w:pPr>
        <w:numPr>
          <w:ilvl w:val="0"/>
          <w:numId w:val="1005"/>
        </w:numPr>
      </w:pPr>
      <w:r>
        <w:t xml:space="preserve">Events/hackathons (e.g. OGC/OSGeo/ASF Joint Sprints) TODO Vasile</w:t>
      </w:r>
    </w:p>
    <w:p>
      <w:pPr>
        <w:numPr>
          <w:ilvl w:val="1"/>
          <w:numId w:val="1006"/>
        </w:numPr>
      </w:pPr>
      <w:r>
        <w:t xml:space="preserve">By product: connection/collab</w:t>
      </w:r>
    </w:p>
    <w:p>
      <w:pPr>
        <w:numPr>
          <w:ilvl w:val="0"/>
          <w:numId w:val="1005"/>
        </w:numPr>
      </w:pPr>
      <w:r>
        <w:t xml:space="preserve">Regulations / risk / constraints / considerations</w:t>
      </w:r>
    </w:p>
    <w:p>
      <w:pPr>
        <w:numPr>
          <w:ilvl w:val="1"/>
          <w:numId w:val="1007"/>
        </w:numPr>
      </w:pPr>
      <w:r>
        <w:t xml:space="preserve">Features, maintenance, project</w:t>
      </w:r>
    </w:p>
    <w:bookmarkEnd w:id="31"/>
    <w:bookmarkEnd w:id="32"/>
    <w:bookmarkStart w:id="36"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provides a strong support mechanism for doing FOSS development in the open, using services such as</w:t>
      </w:r>
      <w:r>
        <w:t xml:space="preserve"> </w:t>
      </w:r>
      <w:hyperlink r:id="rId33">
        <w:r>
          <w:rPr>
            <w:rStyle w:val="Hyperlink"/>
          </w:rPr>
          <w:t xml:space="preserve">GitHub</w:t>
        </w:r>
      </w:hyperlink>
      <w:r>
        <w:t xml:space="preserve">,</w:t>
      </w:r>
      <w:r>
        <w:t xml:space="preserve"> </w:t>
      </w:r>
      <w:hyperlink r:id="rId34">
        <w:r>
          <w:rPr>
            <w:rStyle w:val="Hyperlink"/>
          </w:rPr>
          <w:t xml:space="preserve">GitLab</w:t>
        </w:r>
      </w:hyperlink>
      <w:r>
        <w:t xml:space="preserve">,</w:t>
      </w:r>
      <w:r>
        <w:t xml:space="preserve"> </w:t>
      </w:r>
      <w:hyperlink r:id="rId35">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08"/>
        </w:numPr>
      </w:pPr>
      <w:r>
        <w:t xml:space="preserve">Establish an "architecture of participation":</w:t>
      </w:r>
    </w:p>
    <w:p>
      <w:pPr>
        <w:numPr>
          <w:ilvl w:val="1"/>
          <w:numId w:val="1009"/>
        </w:numPr>
      </w:pPr>
      <w:r>
        <w:t xml:space="preserve">Who will be responsible for development, release management, and accepting external contributions?</w:t>
      </w:r>
    </w:p>
    <w:p>
      <w:pPr>
        <w:numPr>
          <w:ilvl w:val="1"/>
          <w:numId w:val="1009"/>
        </w:numPr>
      </w:pPr>
      <w:r>
        <w:t xml:space="preserve">How will commit access be governed and managed? Does the project need a project steering committee or group of stakeholders to help drive the project?</w:t>
      </w:r>
    </w:p>
    <w:p>
      <w:pPr>
        <w:numPr>
          <w:ilvl w:val="1"/>
          <w:numId w:val="1009"/>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09"/>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09"/>
        </w:numPr>
      </w:pPr>
      <w:r>
        <w:t xml:space="preserve">Make clear how security issues should be addressed (mitigation/release policies/timelines, contact points, etc.)</w:t>
      </w:r>
    </w:p>
    <w:p>
      <w:pPr>
        <w:numPr>
          <w:ilvl w:val="1"/>
          <w:numId w:val="1009"/>
        </w:numPr>
      </w:pPr>
      <w:r>
        <w:t xml:space="preserve">What is the release schedule for new versions?</w:t>
      </w:r>
    </w:p>
    <w:p>
      <w:pPr>
        <w:numPr>
          <w:ilvl w:val="0"/>
          <w:numId w:val="1008"/>
        </w:numPr>
      </w:pPr>
      <w:r>
        <w:t xml:space="preserve">Choose a license that the software will be made available with (such as the Apache License, Version 2.0, MIT, etc.). It is strongly advised to consider and consult organization policies to ensure proper licensing and understanding risk, responsibility and liability</w:t>
      </w:r>
    </w:p>
    <w:p>
      <w:pPr>
        <w:numPr>
          <w:ilvl w:val="0"/>
          <w:numId w:val="1008"/>
        </w:numPr>
      </w:pPr>
      <w:r>
        <w:t xml:space="preserve">Choose the mechanism by which the software will be made available (GitHub, GtiLab, Codeberg, organizational website, etc.)</w:t>
      </w:r>
    </w:p>
    <w:p>
      <w:pPr>
        <w:numPr>
          <w:ilvl w:val="0"/>
          <w:numId w:val="1008"/>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08"/>
        </w:numPr>
      </w:pPr>
      <w:r>
        <w:t xml:space="preserve">Identify any supported WMO Technical Regulations</w:t>
      </w:r>
    </w:p>
    <w:p>
      <w:pPr>
        <w:numPr>
          <w:ilvl w:val="0"/>
          <w:numId w:val="1008"/>
        </w:numPr>
      </w:pPr>
      <w:r>
        <w:t xml:space="preserve">Ensure that the project has proper documentation for users (downloading, installing, configuring, running), as well as additinal documentation for developer or othe audience types (administrators, etc.)</w:t>
      </w:r>
    </w:p>
    <w:p>
      <w:pPr>
        <w:numPr>
          <w:ilvl w:val="0"/>
          <w:numId w:val="1008"/>
        </w:numPr>
      </w:pPr>
      <w:r>
        <w:t xml:space="preserve">Ensure the code is versioned (for example using Git as a version control system)</w:t>
      </w:r>
    </w:p>
    <w:bookmarkEnd w:id="36"/>
    <w:bookmarkEnd w:id="37"/>
    <w:bookmarkStart w:id="48" w:name="X6bcf1cf9c376d92376d2e0d9f96c3afb74e806b"/>
    <w:p>
      <w:pPr>
        <w:pStyle w:val="Heading2"/>
      </w:pPr>
      <w:r>
        <w:t xml:space="preserve">WMO Activities</w:t>
      </w:r>
    </w:p>
    <w:bookmarkStart w:id="38" w:name="Xffac0e98aef200720a26298781747a5d6352066"/>
    <w:p>
      <w:pPr>
        <w:pStyle w:val="Heading3"/>
      </w:pPr>
      <w:r>
        <w:t xml:space="preserve">Coordination, alignment and support (TODO Dave/Enrico)</w:t>
      </w:r>
    </w:p>
    <w:p>
      <w:pPr>
        <w:numPr>
          <w:ilvl w:val="0"/>
          <w:numId w:val="1010"/>
        </w:numPr>
      </w:pPr>
      <w:r>
        <w:t xml:space="preserve">Coordination/support functions</w:t>
      </w:r>
    </w:p>
    <w:p>
      <w:pPr>
        <w:numPr>
          <w:ilvl w:val="0"/>
          <w:numId w:val="1010"/>
        </w:numPr>
      </w:pPr>
      <w:r>
        <w:t xml:space="preserve">Software selection for WMO projects and application development</w:t>
      </w:r>
    </w:p>
    <w:p>
      <w:pPr>
        <w:numPr>
          <w:ilvl w:val="0"/>
          <w:numId w:val="1010"/>
        </w:numPr>
      </w:pPr>
      <w:r>
        <w:t xml:space="preserve">Managing FOSS activities</w:t>
      </w:r>
    </w:p>
    <w:p>
      <w:pPr>
        <w:numPr>
          <w:ilvl w:val="0"/>
          <w:numId w:val="1010"/>
        </w:numPr>
      </w:pPr>
      <w:r>
        <w:t xml:space="preserve">Aligning with WMO ecosystem of activities</w:t>
      </w:r>
    </w:p>
    <w:p>
      <w:pPr>
        <w:numPr>
          <w:ilvl w:val="0"/>
          <w:numId w:val="1010"/>
        </w:numPr>
      </w:pPr>
      <w:r>
        <w:t xml:space="preserve">Ensuring sustainability of FOSS usage</w:t>
      </w:r>
    </w:p>
    <w:p>
      <w:pPr>
        <w:numPr>
          <w:ilvl w:val="0"/>
          <w:numId w:val="1010"/>
        </w:numPr>
      </w:pPr>
      <w:r>
        <w:t xml:space="preserve">Managing risk</w:t>
      </w:r>
    </w:p>
    <w:p>
      <w:pPr>
        <w:numPr>
          <w:ilvl w:val="0"/>
          <w:numId w:val="1010"/>
        </w:numPr>
      </w:pPr>
      <w:r>
        <w:t xml:space="preserve">Functions</w:t>
      </w:r>
    </w:p>
    <w:p>
      <w:pPr>
        <w:numPr>
          <w:ilvl w:val="0"/>
          <w:numId w:val="1010"/>
        </w:numPr>
      </w:pPr>
      <w:r>
        <w:t xml:space="preserve">People</w:t>
      </w:r>
    </w:p>
    <w:bookmarkEnd w:id="38"/>
    <w:bookmarkStart w:id="39" w:name="Xc7a9bd0e5b06720cd7545663d17a58f87557081"/>
    <w:p>
      <w:pPr>
        <w:pStyle w:val="Heading3"/>
      </w:pPr>
      <w:r>
        <w:t xml:space="preserve">Standards compliance</w:t>
      </w:r>
    </w:p>
    <w:p>
      <w:pPr>
        <w:numPr>
          <w:ilvl w:val="0"/>
          <w:numId w:val="1011"/>
        </w:numPr>
      </w:pPr>
      <w:r>
        <w:t xml:space="preserve">Compatability / compliance matrix</w:t>
      </w:r>
    </w:p>
    <w:p>
      <w:pPr>
        <w:numPr>
          <w:ilvl w:val="0"/>
          <w:numId w:val="1011"/>
        </w:numPr>
      </w:pPr>
      <w:r>
        <w:t xml:space="preserve">Open Standards &lt;→ FOSS support matrix</w:t>
      </w:r>
    </w:p>
    <w:p>
      <w:pPr>
        <w:numPr>
          <w:ilvl w:val="0"/>
          <w:numId w:val="1011"/>
        </w:numPr>
      </w:pPr>
      <w:r>
        <w:t xml:space="preserve">Implementation of WMO Tech Regs / compliance ?</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(supported network protocols, avaiability of tooling/libraries for</w:t>
      </w:r>
      <w:r>
        <w:t xml:space="preserve"> </w:t>
      </w:r>
      <w:r>
        <w:t xml:space="preserve">integration, as well as speed of implementation (if a FOSS implementation during the development</w:t>
      </w:r>
      <w:r>
        <w:t xml:space="preserve"> </w:t>
      </w:r>
      <w:r>
        <w:t xml:space="preserve">of a standard takes a considerable level of effort, why? Is the complexity acceptable for the</w:t>
      </w:r>
      <w:r>
        <w:t xml:space="preserve"> </w:t>
      </w:r>
      <w:r>
        <w:t xml:space="preserve">scope of the standard? Determining these aspects earlier can help improve and adjust the standard</w:t>
      </w:r>
      <w:r>
        <w:t xml:space="preserve"> </w:t>
      </w:r>
      <w:r>
        <w:t xml:space="preserve">while in development (as opposed to 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39"/>
    <w:bookmarkStart w:id="40" w:name="X4a9739f194c9c8657b3d86e4d1160cf5556d3dd"/>
    <w:p>
      <w:pPr>
        <w:pStyle w:val="Heading3"/>
      </w:pPr>
      <w:r>
        <w:t xml:space="preserve">Software review and evaluation</w:t>
      </w:r>
    </w:p>
    <w:p>
      <w:pPr>
        <w:numPr>
          <w:ilvl w:val="0"/>
          <w:numId w:val="1012"/>
        </w:numPr>
      </w:pPr>
      <w:r>
        <w:t xml:space="preserve">Software identification and selection (TODO Vasile)</w:t>
      </w:r>
    </w:p>
    <w:p>
      <w:pPr>
        <w:numPr>
          <w:ilvl w:val="1"/>
          <w:numId w:val="1013"/>
        </w:numPr>
      </w:pPr>
      <w:r>
        <w:t xml:space="preserve">Project checklist/assessment</w:t>
      </w:r>
    </w:p>
    <w:p>
      <w:pPr>
        <w:numPr>
          <w:ilvl w:val="0"/>
          <w:numId w:val="1012"/>
        </w:numPr>
      </w:pPr>
      <w:r>
        <w:t xml:space="preserve">"Approved projects" and/or Reference Implementations</w:t>
      </w:r>
    </w:p>
    <w:p>
      <w:pPr>
        <w:numPr>
          <w:ilvl w:val="1"/>
          <w:numId w:val="1014"/>
        </w:numPr>
      </w:pPr>
      <w:r>
        <w:t xml:space="preserve">Make Tech Regs more concrete</w:t>
      </w:r>
    </w:p>
    <w:p>
      <w:pPr>
        <w:numPr>
          <w:ilvl w:val="1"/>
          <w:numId w:val="1014"/>
        </w:numPr>
      </w:pPr>
      <w:r>
        <w:t xml:space="preserve">Tech Regs → FOSS implementations</w:t>
      </w:r>
    </w:p>
    <w:p>
      <w:pPr>
        <w:numPr>
          <w:ilvl w:val="1"/>
          <w:numId w:val="1014"/>
        </w:numPr>
      </w:pPr>
      <w:r>
        <w:t xml:space="preserve">Should FOSS be cited in WMO Tech Regs (suggest no)</w:t>
      </w:r>
    </w:p>
    <w:p>
      <w:pPr>
        <w:numPr>
          <w:ilvl w:val="1"/>
          <w:numId w:val="1014"/>
        </w:numPr>
      </w:pPr>
      <w:r>
        <w:t xml:space="preserve">Criteria needed (TODO Jian)</w:t>
      </w:r>
    </w:p>
    <w:p>
      <w:pPr>
        <w:numPr>
          <w:ilvl w:val="2"/>
          <w:numId w:val="1015"/>
        </w:numPr>
      </w:pPr>
      <w:r>
        <w:t xml:space="preserve">Compliance (data exchange)</w:t>
      </w:r>
    </w:p>
    <w:p>
      <w:pPr>
        <w:numPr>
          <w:ilvl w:val="2"/>
          <w:numId w:val="1015"/>
        </w:numPr>
      </w:pPr>
      <w:r>
        <w:t xml:space="preserve">Software evaluation (FOSS!) checklist → confidence</w:t>
      </w:r>
    </w:p>
    <w:p>
      <w:pPr>
        <w:numPr>
          <w:ilvl w:val="2"/>
          <w:numId w:val="1015"/>
        </w:numPr>
      </w:pPr>
      <w:r>
        <w:t xml:space="preserve">Readiness</w:t>
      </w:r>
    </w:p>
    <w:p>
      <w:pPr>
        <w:numPr>
          <w:ilvl w:val="2"/>
          <w:numId w:val="1015"/>
        </w:numPr>
      </w:pPr>
      <w:r>
        <w:t xml:space="preserve">Bus/retirement factor</w:t>
      </w:r>
    </w:p>
    <w:p>
      <w:pPr>
        <w:numPr>
          <w:ilvl w:val="1"/>
          <w:numId w:val="1014"/>
        </w:numPr>
      </w:pPr>
      <w:r>
        <w:t xml:space="preserve">Rolling review</w:t>
      </w:r>
    </w:p>
    <w:p>
      <w:pPr>
        <w:numPr>
          <w:ilvl w:val="0"/>
          <w:numId w:val="1012"/>
        </w:numPr>
      </w:pPr>
      <w:r>
        <w:t xml:space="preserve">Harmonization: regular review of ecosystem to ensure alignment and optimal use of resources</w:t>
      </w:r>
    </w:p>
    <w:bookmarkEnd w:id="40"/>
    <w:bookmarkStart w:id="47" w:name="X32ca8d865a8b2cadbc341302bd4a374dbe535e4"/>
    <w:p>
      <w:pPr>
        <w:pStyle w:val="Heading3"/>
      </w:pPr>
      <w:r>
        <w:t xml:space="preserve">Case study: WIS2, FOSS, and agile development</w:t>
      </w:r>
    </w:p>
    <w:p>
      <w:pPr>
        <w:pStyle w:val="FirstParagraph"/>
      </w:pPr>
      <w:r>
        <w:t xml:space="preserve">The WMO Information System 2.0 (WIS 2.0) is the framework for WMO data sharing in the 21st century for all WMO domains and disciplines. It supports the WMO Unified Data policy and the Global Basic Observing Network (GBON) and makes international, regional, and national data sharing simple, effective, and inexpensive. The idea that no Member should be left behind and the objective of lowering the barrier to adoption has been at the core of WIS 2.0 development. These objectives inspire the principles underpinning the WIS 2.0 technical framework, such as adopting open standards and Web technologies to facilitate sharing of increasing variety and volume of real-time data.</w:t>
      </w:r>
      <w:r>
        <w:rPr>
          <w:rStyle w:val="FootnoteReference"/>
        </w:rPr>
        <w:footnoteReference w:id="41"/>
      </w:r>
    </w:p>
    <w:p>
      <w:pPr>
        <w:pStyle w:val="BodyText"/>
      </w:pPr>
      <w:r>
        <w:t xml:space="preserve">The WMO Executive Council, through</w:t>
      </w:r>
      <w:r>
        <w:t xml:space="preserve"> </w:t>
      </w:r>
      <w:hyperlink r:id="rId43">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44"/>
      </w:r>
    </w:p>
    <w:p>
      <w:pPr>
        <w:pStyle w:val="BodyText"/>
      </w:pPr>
      <w:r>
        <w:t xml:space="preserve">WIS2 is comprised of a number of key standards, including (but are not limited to):</w:t>
      </w:r>
    </w:p>
    <w:p>
      <w:pPr>
        <w:numPr>
          <w:ilvl w:val="0"/>
          <w:numId w:val="1016"/>
        </w:numPr>
      </w:pPr>
      <w:r>
        <w:t xml:space="preserve">Internet and messaging protocols for data and metadata transmission (HTTP, MQTT)</w:t>
      </w:r>
    </w:p>
    <w:p>
      <w:pPr>
        <w:numPr>
          <w:ilvl w:val="0"/>
          <w:numId w:val="1016"/>
        </w:numPr>
      </w:pPr>
      <w:r>
        <w:t xml:space="preserve">metadata encodings for dataset descriptions (WMO Core Metadata Profile) and notifications (WIS2 Notification Message)</w:t>
      </w:r>
    </w:p>
    <w:p>
      <w:pPr>
        <w:numPr>
          <w:ilvl w:val="0"/>
          <w:numId w:val="1016"/>
        </w:numPr>
      </w:pPr>
      <w:r>
        <w:t xml:space="preserve">topic structures for real-time notifications (WIS2 Topic Hierarchy)</w:t>
      </w:r>
    </w:p>
    <w:p>
      <w:pPr>
        <w:numPr>
          <w:ilvl w:val="0"/>
          <w:numId w:val="1016"/>
        </w:numPr>
      </w:pPr>
      <w:r>
        <w:t xml:space="preserve">interfaces and APIs for Global Services (Global Discovery Catalogue)</w:t>
      </w:r>
    </w:p>
    <w:p>
      <w:pPr>
        <w:pStyle w:val="FirstParagraph"/>
      </w:pPr>
      <w:r>
        <w:t xml:space="preserve">Throughout the WIS2 Implementation timeline, the</w:t>
      </w:r>
      <w:r>
        <w:t xml:space="preserve"> </w:t>
      </w:r>
      <w:hyperlink r:id="rId46">
        <w:r>
          <w:rPr>
            <w:rStyle w:val="Hyperlink"/>
          </w:rPr>
          <w:t xml:space="preserve">architecture</w:t>
        </w:r>
      </w:hyperlink>
      <w:r>
        <w:t xml:space="preserve">, standards definitions as well as key software components were developed, deployed and tested in parallel, in an agile manner. These software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r>
              <w:t xml:space="preserve">wis2box</w:t>
            </w:r>
          </w:p>
        </w:tc>
        <w:tc>
          <w:tcPr/>
          <w:p>
            <w:pPr>
              <w:jc w:val="left"/>
            </w:pPr>
            <w:r>
              <w:t xml:space="preserve">WIS2 Node</w:t>
            </w:r>
          </w:p>
        </w:tc>
      </w:tr>
      <w:tr>
        <w:tc>
          <w:tcPr/>
          <w:p>
            <w:pPr>
              <w:jc w:val="left"/>
            </w:pPr>
            <w:r>
              <w:t xml:space="preserve">wis2-gdc</w:t>
            </w:r>
          </w:p>
        </w:tc>
        <w:tc>
          <w:tcPr/>
          <w:p>
            <w:pPr>
              <w:jc w:val="left"/>
            </w:pPr>
            <w:r>
              <w:t xml:space="preserve">Global Discovery Catalogue</w:t>
            </w:r>
          </w:p>
        </w:tc>
      </w:tr>
      <w:tr>
        <w:tc>
          <w:tcPr/>
          <w:p>
            <w:pPr>
              <w:jc w:val="left"/>
            </w:pPr>
            <w:r>
              <w:t xml:space="preserve">csv2bufr</w:t>
            </w:r>
          </w:p>
        </w:tc>
        <w:tc>
          <w:tcPr/>
          <w:p>
            <w:pPr>
              <w:jc w:val="left"/>
            </w:pPr>
            <w:r>
              <w:t xml:space="preserve">CSV to BUFR encoding tool for station data</w:t>
            </w:r>
          </w:p>
        </w:tc>
      </w:tr>
      <w:tr>
        <w:tc>
          <w:tcPr/>
          <w:p>
            <w:pPr>
              <w:jc w:val="left"/>
            </w:pPr>
            <w:r>
              <w:t xml:space="preserve">wis2downloader</w:t>
            </w:r>
          </w:p>
        </w:tc>
        <w:tc>
          <w:tcPr/>
          <w:p>
            <w:pPr>
              <w:jc w:val="left"/>
            </w:pPr>
            <w:r>
              <w:t xml:space="preserve">Python package for downloading real-time data from WIS2</w:t>
            </w:r>
          </w:p>
        </w:tc>
      </w:tr>
      <w:tr>
        <w:tc>
          <w:tcPr/>
          <w:p>
            <w:pPr>
              <w:jc w:val="left"/>
            </w:pPr>
            <w:r>
              <w:t xml:space="preserve">pywis-pubsub</w:t>
            </w:r>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 delivery with significantly reduced risk to Members. In addition, some tools have emerged as "Reference Implementations" as key resources for the precise implementation of various WIS2 standards which can either be deployed or studied by Members accordingly. WIS2 Technical Regulations were approved with confidence as a result of the agile development of Open Standards and Open Source.</w:t>
      </w:r>
    </w:p>
    <w:bookmarkEnd w:id="47"/>
    <w:bookmarkEnd w:id="48"/>
    <w:bookmarkEnd w:id="49"/>
    <w:bookmarkStart w:id="50" w:name="X7dc5ec89ace04afa0dfcc5c2c63a457bc733b57"/>
    <w:p>
      <w:pPr>
        <w:pStyle w:val="Heading1"/>
      </w:pPr>
      <w:r>
        <w:t xml:space="preserve">References</w:t>
      </w:r>
    </w:p>
    <w:bookmarkEnd w:id="50"/>
    <w:bookmarkStart w:id="51"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License Compatibility</w:t>
            </w:r>
          </w:p>
        </w:tc>
        <w:tc>
          <w:tcPr/>
          <w:p>
            <w:pPr>
              <w:jc w:val="left"/>
            </w:pPr>
            <w:r>
              <w:t xml:space="preserve">License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License is OSI-approved</w:t>
            </w:r>
          </w:p>
        </w:tc>
        <w:tc>
          <w:tcPr/>
          <w:p>
            <w:pPr>
              <w:pStyle w:val="Compact"/>
            </w:pPr>
          </w:p>
        </w:tc>
      </w:tr>
      <w:tr>
        <w:tc>
          <w:tcPr/>
          <w:p>
            <w:pPr>
              <w:jc w:val="left"/>
            </w:pPr>
            <w:r>
              <w:t xml:space="preserve">License is clearly stated (no license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(e.g., 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(e.g. 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51"/>
    <w:bookmarkStart w:id="53" w:name="annex-examples"/>
    <w:p>
      <w:pPr>
        <w:pStyle w:val="Heading1"/>
      </w:pPr>
      <w:r>
        <w:t xml:space="preserve">Examples of FOSS managed / offered by Member organizations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Organization</w:t>
            </w:r>
          </w:p>
        </w:tc>
        <w:tc>
          <w:tcPr/>
          <w:p>
            <w:pPr>
              <w:pStyle w:val="Compact"/>
              <w:jc w:val="left"/>
            </w:pPr>
            <w:r>
              <w:t xml:space="preserve">Platform</w:t>
            </w:r>
          </w:p>
        </w:tc>
        <w:tc>
          <w:tcPr/>
          <w:p>
            <w:pPr>
              <w:pStyle w:val="Compact"/>
              <w:jc w:val="left"/>
            </w:pPr>
            <w:r>
              <w:t xml:space="preserve">URL</w:t>
            </w:r>
          </w:p>
        </w:tc>
      </w:tr>
      <w:tr>
        <w:tc>
          <w:tcPr/>
          <w:p>
            <w:pPr>
              <w:jc w:val="left"/>
            </w:pPr>
            <w:r>
              <w:t xml:space="preserve">Environment and Climate Change Canada, Meteorological Service of Canada</w:t>
            </w:r>
          </w:p>
        </w:tc>
        <w:tc>
          <w:tcPr/>
          <w:p>
            <w:pPr>
              <w:jc w:val="left"/>
            </w:pPr>
            <w:r>
              <w:t xml:space="preserve">GitHub</w:t>
            </w:r>
          </w:p>
        </w:tc>
        <w:tc>
          <w:tcPr/>
          <w:p>
            <w:pPr>
              <w:jc w:val="left"/>
            </w:pPr>
            <w:hyperlink r:id="rId52">
              <w:r>
                <w:rPr>
                  <w:rStyle w:val="Hyperlink"/>
                </w:rPr>
                <w:t xml:space="preserve">https://github.com/ECCC-MSC</w:t>
              </w:r>
            </w:hyperlink>
          </w:p>
        </w:tc>
      </w:tr>
    </w:tbl>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41">
    <w:p>
      <w:pPr>
        <w:pStyle w:val="FootnoteText"/>
      </w:pPr>
      <w:r>
        <w:rPr>
          <w:rStyle w:val="FootnoteReference"/>
        </w:rPr>
        <w:footnoteRef/>
      </w:r>
      <w:r>
        <w:t xml:space="preserve"> </w:t>
      </w:r>
      <w:hyperlink r:id="rId42">
        <w:r>
          <w:rPr>
            <w:rStyle w:val="Hyperlink"/>
          </w:rPr>
          <w:t xml:space="preserve">https://wmo.int/wis-20</w:t>
        </w:r>
      </w:hyperlink>
    </w:p>
  </w:footnote>
  <w:footnote w:id="44">
    <w:p>
      <w:pPr>
        <w:pStyle w:val="FootnoteText"/>
      </w:pPr>
      <w:r>
        <w:rPr>
          <w:rStyle w:val="FootnoteReference"/>
        </w:rPr>
        <w:footnoteRef/>
      </w:r>
      <w:r>
        <w:t xml:space="preserve"> </w:t>
      </w:r>
      <w:hyperlink r:id="rId45">
        <w:r>
          <w:rPr>
            <w:rStyle w:val="Hyperlink"/>
          </w:rPr>
          <w:t xml:space="preserve">https://wmo-im.github.io/wis2-transition-guide/transition-guide/wis2-transition-guide-APPROVED.html#_1_introduction</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codeberg.org"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33" Target="https://github.com" TargetMode="External" /><Relationship Type="http://schemas.openxmlformats.org/officeDocument/2006/relationships/hyperlink" Id="rId52" Target="https://github.com/ECCC-MSC" TargetMode="External" /><Relationship Type="http://schemas.openxmlformats.org/officeDocument/2006/relationships/hyperlink" Id="rId34" Target="https://gitlab.com/gitlab-org" TargetMode="External" /><Relationship Type="http://schemas.openxmlformats.org/officeDocument/2006/relationships/hyperlink" Id="rId43" Target="https://library.wmo.int/idviewer/66258/1147" TargetMode="External" /><Relationship Type="http://schemas.openxmlformats.org/officeDocument/2006/relationships/hyperlink" Id="rId46" Target="https://raw.githubusercontent.com/wmo-im/wis2-guide/refs/heads/main/guide/images/architecture/c4.container.png" TargetMode="External" /><Relationship Type="http://schemas.openxmlformats.org/officeDocument/2006/relationships/hyperlink" Id="rId45"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42" Target="https://wmo.int/wis-20" TargetMode="External" /></Relationships>
</file>

<file path=word/_rels/footnotes.xml.rels><?xml version="1.0" encoding="UTF-8"?><Relationships xmlns="http://schemas.openxmlformats.org/package/2006/relationships"><Relationship Type="http://schemas.openxmlformats.org/officeDocument/2006/relationships/hyperlink" Id="rId35" Target="https://codeberg.org"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33" Target="https://github.com" TargetMode="External" /><Relationship Type="http://schemas.openxmlformats.org/officeDocument/2006/relationships/hyperlink" Id="rId52" Target="https://github.com/ECCC-MSC" TargetMode="External" /><Relationship Type="http://schemas.openxmlformats.org/officeDocument/2006/relationships/hyperlink" Id="rId34" Target="https://gitlab.com/gitlab-org" TargetMode="External" /><Relationship Type="http://schemas.openxmlformats.org/officeDocument/2006/relationships/hyperlink" Id="rId43" Target="https://library.wmo.int/idviewer/66258/1147" TargetMode="External" /><Relationship Type="http://schemas.openxmlformats.org/officeDocument/2006/relationships/hyperlink" Id="rId46" Target="https://raw.githubusercontent.com/wmo-im/wis2-guide/refs/heads/main/guide/images/architecture/c4.container.png" TargetMode="External" /><Relationship Type="http://schemas.openxmlformats.org/officeDocument/2006/relationships/hyperlink" Id="rId45"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42" Target="https://wmo.int/wis-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2026-01-23T14:45:36Z</dcterms:created>
  <dcterms:modified xsi:type="dcterms:W3CDTF">2026-01-23T14:45:36Z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2026-01-23</vt:lpwstr>
  </property>
</Properties>
</file>