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2026-06-04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2026-06-04</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8"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Start w:id="26" w:name="X3ca08283013d077c5bc069ff858e540c9a41620"/>
    <w:p>
      <w:pPr>
        <w:pStyle w:val="Heading2"/>
      </w:pPr>
      <w:r>
        <w:t xml:space="preserve">Establishing a WMO Open Source Program Office</w:t>
      </w:r>
    </w:p>
    <w:p>
      <w:pPr>
        <w:pStyle w:val="FirstParagraph"/>
      </w:pPr>
      <w:r>
        <w:rPr>
          <w:bCs/>
          <w:b/>
        </w:rPr>
        <w:t xml:space="preserve">Central to the guidance in this document is the proposal that the WMO Secretary-General establish an Open Source Program Office (OSPO).</w:t>
      </w:r>
    </w:p>
    <w:p>
      <w:pPr>
        <w:pStyle w:val="BodyText"/>
      </w:pPr>
      <w:r>
        <w:t xml:space="preserve">An OSPO would provide the dedicated governance function needed to coordinate FOSS activities systematically across WMO programmes and projects, replacing the current ad hoc approach with clear, expert, and institutionally embedded oversight. Key functions of a WMO OSPO would include:</w:t>
      </w:r>
    </w:p>
    <w:p>
      <w:pPr>
        <w:numPr>
          <w:ilvl w:val="0"/>
          <w:numId w:val="1001"/>
        </w:numPr>
      </w:pPr>
      <w:r>
        <w:rPr>
          <w:bCs/>
          <w:b/>
        </w:rPr>
        <w:t xml:space="preserve">Software evaluation and endorsement</w:t>
      </w:r>
      <w:r>
        <w:t xml:space="preserve">: Applying consistent, transparent criteria (such as the evaluation rubric in</w:t>
      </w:r>
      <w:r>
        <w:t xml:space="preserve"> </w:t>
      </w:r>
      <w:hyperlink w:anchor="annex-evaluation-rubric">
        <w:r>
          <w:rPr>
            <w:rStyle w:val="Hyperlink"/>
          </w:rPr>
          <w:t xml:space="preserve">Annex A</w:t>
        </w:r>
      </w:hyperlink>
      <w:r>
        <w:t xml:space="preserve">) to assess FOSS adopted or developed within WMO programmes, in coordination with relevant Expert Teams.</w:t>
      </w:r>
    </w:p>
    <w:p>
      <w:pPr>
        <w:numPr>
          <w:ilvl w:val="0"/>
          <w:numId w:val="1001"/>
        </w:numPr>
      </w:pPr>
      <w:r>
        <w:rPr>
          <w:bCs/>
          <w:b/>
        </w:rPr>
        <w:t xml:space="preserve">Lifecycle oversight</w:t>
      </w:r>
      <w:r>
        <w:t xml:space="preserve">: Tracking FOSS components from initial adoption through operational use to end-of-life, and ensuring timely migration planning.</w:t>
      </w:r>
    </w:p>
    <w:p>
      <w:pPr>
        <w:numPr>
          <w:ilvl w:val="0"/>
          <w:numId w:val="1001"/>
        </w:numPr>
      </w:pPr>
      <w:r>
        <w:rPr>
          <w:bCs/>
          <w:b/>
        </w:rPr>
        <w:t xml:space="preserve">Standards alignment</w:t>
      </w:r>
      <w:r>
        <w:t xml:space="preserve">: Coordinating standards alignment reviews, working with Expert Teams to ensure FOSS developed or endorsed within WMO correctly implements relevant Technical Regulations and open standards.</w:t>
      </w:r>
    </w:p>
    <w:p>
      <w:pPr>
        <w:numPr>
          <w:ilvl w:val="0"/>
          <w:numId w:val="1001"/>
        </w:numPr>
      </w:pPr>
      <w:r>
        <w:rPr>
          <w:bCs/>
          <w:b/>
        </w:rPr>
        <w:t xml:space="preserve">Guidance and advisory support</w:t>
      </w:r>
      <w:r>
        <w:t xml:space="preserve">: Providing practical guidance on FOSS best practices — including licensing, contribution workflows, governance models, and security — to Members, implementing authorities, and project teams, in support of the technical direction set by Expert Teams and Task Teams.</w:t>
      </w:r>
    </w:p>
    <w:p>
      <w:pPr>
        <w:numPr>
          <w:ilvl w:val="0"/>
          <w:numId w:val="1001"/>
        </w:numPr>
      </w:pPr>
      <w:r>
        <w:rPr>
          <w:bCs/>
          <w:b/>
        </w:rPr>
        <w:t xml:space="preserve">External partnerships</w:t>
      </w:r>
      <w:r>
        <w:t xml:space="preserve">: Managing WMO’s relationships with established FOSS organizations — including OSGeo, the Apache Software Foundation, the Digital Public Goods Alliance, and the UNDP/ITU Open Source Ecosystem Enabler (OSEE) initiative — to leverage existing frameworks and avoid duplication.</w:t>
      </w:r>
    </w:p>
    <w:p>
      <w:pPr>
        <w:numPr>
          <w:ilvl w:val="0"/>
          <w:numId w:val="1001"/>
        </w:numPr>
      </w:pPr>
      <w:r>
        <w:rPr>
          <w:bCs/>
          <w:b/>
        </w:rPr>
        <w:t xml:space="preserve">Member support</w:t>
      </w:r>
      <w:r>
        <w:t xml:space="preserve">: Helping Members — especially those with limited technical capacity — identify, evaluate, and sustainably adopt FOSS solutions relevant to their operational needs.</w:t>
      </w:r>
    </w:p>
    <w:p>
      <w:pPr>
        <w:pStyle w:val="FirstParagraph"/>
      </w:pPr>
      <w:r>
        <w:t xml:space="preserve">The establishment of an OSPO is supported by precedent in comparable international and operational organizations. The European Centre for Medium-Range Weather Forecasts (ECMWF) has embedded FOSS practice as a core institutional activity. The UNDP and ITU, through their OSEE initiative, actively support the establishment of OSPOs in developing countries. The World Bank maintains its own open source programme with documented institutional returns on investment. An OSPO does not require a large resource commitment: many effective OSPOs operate with a small, dedicated team. The critical requirement is institutional mandate and commitment, not scale.</w:t>
      </w:r>
    </w:p>
    <w:bookmarkEnd w:id="26"/>
    <w:bookmarkStart w:id="27" w:name="X6c39f9165a366aad03b681b6f8d782c19e7ae11"/>
    <w:p>
      <w:pPr>
        <w:pStyle w:val="Heading2"/>
      </w:pPr>
      <w:r>
        <w:t xml:space="preserve">Further guidance</w:t>
      </w:r>
    </w:p>
    <w:p>
      <w:pPr>
        <w:pStyle w:val="FirstParagraph"/>
      </w:pPr>
      <w:r>
        <w:t xml:space="preserve">In addition to establishing an OSPO, this guide encourages WMO and its Members to:</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w:t>
      </w:r>
      <w:r>
        <w:t xml:space="preserve"> </w:t>
      </w:r>
      <w:hyperlink w:anchor="annex-evaluation-rubric">
        <w:r>
          <w:rPr>
            <w:rStyle w:val="Hyperlink"/>
          </w:rPr>
          <w:t xml:space="preserve">Annex A</w:t>
        </w:r>
      </w:hyperlink>
      <w:r>
        <w:t xml:space="preserve">)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7"/>
    <w:bookmarkEnd w:id="28"/>
    <w:bookmarkStart w:id="51"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29"/>
      </w:r>
      <w:r>
        <w:t xml:space="preserve"> </w:t>
      </w:r>
      <w:r>
        <w:t xml:space="preserve">MIT,</w:t>
      </w:r>
      <w:r>
        <w:rPr>
          <w:rStyle w:val="FootnoteReference"/>
        </w:rPr>
        <w:footnoteReference w:id="31"/>
      </w:r>
      <w:r>
        <w:t xml:space="preserve"> </w:t>
      </w:r>
      <w:r>
        <w:t xml:space="preserve">Apache,</w:t>
      </w:r>
      <w:r>
        <w:rPr>
          <w:rStyle w:val="FootnoteReference"/>
        </w:rPr>
        <w:footnoteReference w:id="33"/>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5"/>
      </w:r>
      <w:r>
        <w:t xml:space="preserve"> </w:t>
      </w:r>
      <w:r>
        <w:t xml:space="preserve">Throughout this document, the terms "FOSS" and "open source" are used interchangeably for readability, though they carry distinct philosophical emphases.</w:t>
      </w:r>
      <w:r>
        <w:rPr>
          <w:rStyle w:val="FootnoteReference"/>
        </w:rPr>
        <w:footnoteReference w:id="37"/>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8"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8"/>
    <w:bookmarkStart w:id="39"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39"/>
    <w:bookmarkStart w:id="41"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0"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0"/>
    <w:bookmarkEnd w:id="41"/>
    <w:bookmarkStart w:id="49"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2"/>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4"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3"/>
        </w:numPr>
      </w:pPr>
      <w:r>
        <w:rPr>
          <w:bCs/>
          <w:b/>
        </w:rPr>
        <w:t xml:space="preserve">Findable</w:t>
      </w:r>
      <w:r>
        <w:t xml:space="preserve"> </w:t>
      </w:r>
      <w:r>
        <w:t xml:space="preserve">through clear metadata and catalogues</w:t>
      </w:r>
    </w:p>
    <w:p>
      <w:pPr>
        <w:numPr>
          <w:ilvl w:val="0"/>
          <w:numId w:val="1003"/>
        </w:numPr>
      </w:pPr>
      <w:r>
        <w:rPr>
          <w:bCs/>
          <w:b/>
        </w:rPr>
        <w:t xml:space="preserve">Accessible</w:t>
      </w:r>
      <w:r>
        <w:t xml:space="preserve"> </w:t>
      </w:r>
      <w:r>
        <w:t xml:space="preserve">through reliable services and standard interfaces</w:t>
      </w:r>
    </w:p>
    <w:p>
      <w:pPr>
        <w:numPr>
          <w:ilvl w:val="0"/>
          <w:numId w:val="1003"/>
        </w:numPr>
      </w:pPr>
      <w:r>
        <w:rPr>
          <w:bCs/>
          <w:b/>
        </w:rPr>
        <w:t xml:space="preserve">Interoperable</w:t>
      </w:r>
      <w:r>
        <w:t xml:space="preserve"> </w:t>
      </w:r>
      <w:r>
        <w:t xml:space="preserve">across institutions and systems</w:t>
      </w:r>
    </w:p>
    <w:p>
      <w:pPr>
        <w:numPr>
          <w:ilvl w:val="0"/>
          <w:numId w:val="1003"/>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4"/>
    <w:bookmarkStart w:id="46"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4"/>
        </w:numPr>
      </w:pPr>
      <w:r>
        <w:t xml:space="preserve">what data should be shared,</w:t>
      </w:r>
    </w:p>
    <w:p>
      <w:pPr>
        <w:numPr>
          <w:ilvl w:val="0"/>
          <w:numId w:val="1004"/>
        </w:numPr>
      </w:pPr>
      <w:r>
        <w:t xml:space="preserve">under what conditions,</w:t>
      </w:r>
    </w:p>
    <w:p>
      <w:pPr>
        <w:numPr>
          <w:ilvl w:val="0"/>
          <w:numId w:val="1004"/>
        </w:numPr>
      </w:pPr>
      <w:r>
        <w:t xml:space="preserve">who is responsible for stewardship,</w:t>
      </w:r>
    </w:p>
    <w:p>
      <w:pPr>
        <w:numPr>
          <w:ilvl w:val="0"/>
          <w:numId w:val="1004"/>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5">
        <w:r>
          <w:rPr>
            <w:rStyle w:val="Hyperlink"/>
          </w:rPr>
          <w:t xml:space="preserve">https://opendefinition.org/licenses/</w:t>
        </w:r>
      </w:hyperlink>
      <w:r>
        <w:t xml:space="preserve">.</w:t>
      </w:r>
    </w:p>
    <w:bookmarkEnd w:id="46"/>
    <w:bookmarkStart w:id="47"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5"/>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5"/>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5"/>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5"/>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7"/>
    <w:bookmarkStart w:id="48"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8"/>
    <w:bookmarkEnd w:id="49"/>
    <w:bookmarkStart w:id="50"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0"/>
    <w:bookmarkEnd w:id="51"/>
    <w:bookmarkStart w:id="139" w:name="X3148c62ae8380655b8c29f1e8f24835e28abe42"/>
    <w:p>
      <w:pPr>
        <w:pStyle w:val="Heading1"/>
      </w:pPr>
      <w:r>
        <w:t xml:space="preserve">Guidelines</w:t>
      </w:r>
    </w:p>
    <w:bookmarkStart w:id="95"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59"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6"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6"/>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6"/>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2"/>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4"/>
      </w:r>
    </w:p>
    <w:p>
      <w:pPr>
        <w:numPr>
          <w:ilvl w:val="0"/>
          <w:numId w:val="1006"/>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6"/>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6"/>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6"/>
    <w:bookmarkStart w:id="57" w:name="X9f39c0194175d17a1927980a996db60f4864ec7"/>
    <w:p>
      <w:pPr>
        <w:pStyle w:val="Heading4"/>
      </w:pPr>
      <w:r>
        <w:t xml:space="preserve">Risks</w:t>
      </w:r>
    </w:p>
    <w:p>
      <w:pPr>
        <w:pStyle w:val="FirstParagraph"/>
      </w:pPr>
      <w:r>
        <w:t xml:space="preserve">The use of FOSS may introduce a range of risks that should be carefully assessed and managed, particularly in operational environments where reliability, security, and compliance are critical. It is worth noting that many of these risks apply equally to commercially licensed software.</w:t>
      </w:r>
    </w:p>
    <w:p>
      <w:pPr>
        <w:numPr>
          <w:ilvl w:val="0"/>
          <w:numId w:val="1007"/>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7"/>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7"/>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7"/>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7"/>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7"/>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7"/>
    <w:bookmarkStart w:id="58" w:name="X734c78d6b517a15cf3b307c9d4a8b62e08e445c"/>
    <w:p>
      <w:pPr>
        <w:pStyle w:val="Heading4"/>
      </w:pPr>
      <w:r>
        <w:t xml:space="preserve">Cost Implications</w:t>
      </w:r>
    </w:p>
    <w:p>
      <w:pPr>
        <w:pStyle w:val="FirstParagraph"/>
      </w:pPr>
      <w:r>
        <w:t xml:space="preserve">The use of FOSS may entail cost implications that should be carefully assessed, particularly with regard to integration, maintenance, and long-term resource requirements. As with risks, many of these considerations apply equally to commercially licensed software.</w:t>
      </w:r>
    </w:p>
    <w:p>
      <w:pPr>
        <w:numPr>
          <w:ilvl w:val="0"/>
          <w:numId w:val="1008"/>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8"/>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8"/>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8"/>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8"/>
        </w:numPr>
      </w:pPr>
      <w:r>
        <w:rPr>
          <w:bCs/>
          <w:b/>
        </w:rPr>
        <w:t xml:space="preserve">Proprietary software pricing risks</w:t>
      </w:r>
      <w:r>
        <w:t xml:space="preserve">: When assessing the cost implications of FOSS, these should be considered alongside the risks of commercially licensed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8"/>
    <w:bookmarkEnd w:id="59"/>
    <w:bookmarkStart w:id="80" w:name="Xc3643c74377f85c9a4aa3b901502d228a87a410"/>
    <w:p>
      <w:pPr>
        <w:pStyle w:val="Heading3"/>
      </w:pPr>
      <w:r>
        <w:t xml:space="preserve">Contributing to FOSS</w:t>
      </w:r>
    </w:p>
    <w:bookmarkStart w:id="79"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0"/>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9"/>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3"/>
      </w:r>
      <w:r>
        <w:t xml:space="preserve"> </w:t>
      </w:r>
      <w:r>
        <w:t xml:space="preserve">the Government of Canada Open First approach,</w:t>
      </w:r>
      <w:r>
        <w:rPr>
          <w:rStyle w:val="FootnoteReference"/>
        </w:rPr>
        <w:footnoteReference w:id="65"/>
      </w:r>
      <w:r>
        <w:t xml:space="preserve"> </w:t>
      </w:r>
      <w:r>
        <w:t xml:space="preserve">New Zealand’s NZGOAL-SE framework,</w:t>
      </w:r>
      <w:r>
        <w:rPr>
          <w:rStyle w:val="FootnoteReference"/>
        </w:rPr>
        <w:footnoteReference w:id="67"/>
      </w:r>
      <w:r>
        <w:t xml:space="preserve"> </w:t>
      </w:r>
      <w:r>
        <w:t xml:space="preserve">India’s Policy on Adoption of Open Source Software,</w:t>
      </w:r>
      <w:r>
        <w:rPr>
          <w:rStyle w:val="FootnoteReference"/>
        </w:rPr>
        <w:footnoteReference w:id="69"/>
      </w:r>
      <w:r>
        <w:t xml:space="preserve"> </w:t>
      </w:r>
      <w:r>
        <w:t xml:space="preserve">and Japan’s Open Source Promotion Report.</w:t>
      </w:r>
      <w:r>
        <w:rPr>
          <w:rStyle w:val="FootnoteReference"/>
        </w:rPr>
        <w:footnoteReference w:id="71"/>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09"/>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3"/>
      </w:r>
    </w:p>
    <w:p>
      <w:pPr>
        <w:numPr>
          <w:ilvl w:val="0"/>
          <w:numId w:val="1009"/>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5"/>
      </w:r>
      <w:r>
        <w:t xml:space="preserve"> </w:t>
      </w:r>
      <w:r>
        <w:t xml:space="preserve">(in force from April 2024) requires public sector bodies to conduct interoperability assessments and share open source solutions for cross-border digital services.</w:t>
      </w:r>
    </w:p>
    <w:p>
      <w:pPr>
        <w:numPr>
          <w:ilvl w:val="0"/>
          <w:numId w:val="1009"/>
        </w:numPr>
      </w:pPr>
      <w:r>
        <w:t xml:space="preserve">Capacity-building programmes that enable staff to acquire skills for maintaining and developing open-source tools, reducing long-term operational dependency on external vendors.</w:t>
      </w:r>
    </w:p>
    <w:p>
      <w:pPr>
        <w:numPr>
          <w:ilvl w:val="0"/>
          <w:numId w:val="1009"/>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0"/>
        </w:numPr>
      </w:pPr>
      <w:r>
        <w:t xml:space="preserve">Establish internal rules for licensing, contribution approval and repository management.</w:t>
      </w:r>
    </w:p>
    <w:p>
      <w:pPr>
        <w:numPr>
          <w:ilvl w:val="0"/>
          <w:numId w:val="1010"/>
        </w:numPr>
      </w:pPr>
      <w:r>
        <w:t xml:space="preserve">Define procedures for evaluating FOSS components (governance, community health, maintenance model).</w:t>
      </w:r>
    </w:p>
    <w:p>
      <w:pPr>
        <w:numPr>
          <w:ilvl w:val="0"/>
          <w:numId w:val="1010"/>
        </w:numPr>
      </w:pPr>
      <w:r>
        <w:t xml:space="preserve">Incorporate sustainability planning (including contribution back to upstream projects when fixes or new features are developed internally).</w:t>
      </w:r>
    </w:p>
    <w:p>
      <w:pPr>
        <w:numPr>
          <w:ilvl w:val="0"/>
          <w:numId w:val="1010"/>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7"/>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bookmarkEnd w:id="79"/>
    <w:bookmarkEnd w:id="80"/>
    <w:bookmarkStart w:id="84"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1">
        <w:r>
          <w:rPr>
            <w:rStyle w:val="Hyperlink"/>
          </w:rPr>
          <w:t xml:space="preserve">GitHub</w:t>
        </w:r>
      </w:hyperlink>
      <w:r>
        <w:t xml:space="preserve">,</w:t>
      </w:r>
      <w:r>
        <w:t xml:space="preserve"> </w:t>
      </w:r>
      <w:hyperlink r:id="rId82">
        <w:r>
          <w:rPr>
            <w:rStyle w:val="Hyperlink"/>
          </w:rPr>
          <w:t xml:space="preserve">GitLab</w:t>
        </w:r>
      </w:hyperlink>
      <w:r>
        <w:t xml:space="preserve">,</w:t>
      </w:r>
      <w:r>
        <w:t xml:space="preserve"> </w:t>
      </w:r>
      <w:hyperlink r:id="rId83">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1"/>
        </w:numPr>
      </w:pPr>
      <w:r>
        <w:t xml:space="preserve">Establish an "architecture of participation":</w:t>
      </w:r>
    </w:p>
    <w:p>
      <w:pPr>
        <w:numPr>
          <w:ilvl w:val="1"/>
          <w:numId w:val="1012"/>
        </w:numPr>
      </w:pPr>
      <w:r>
        <w:t xml:space="preserve">Who will be responsible for development, release management, and accepting external contributions?</w:t>
      </w:r>
    </w:p>
    <w:p>
      <w:pPr>
        <w:numPr>
          <w:ilvl w:val="1"/>
          <w:numId w:val="1012"/>
        </w:numPr>
      </w:pPr>
      <w:r>
        <w:t xml:space="preserve">How will commit access be governed and managed? Does the project need a project steering committee or group of stakeholders to help drive the project?</w:t>
      </w:r>
    </w:p>
    <w:p>
      <w:pPr>
        <w:numPr>
          <w:ilvl w:val="1"/>
          <w:numId w:val="1012"/>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2"/>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2"/>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2"/>
        </w:numPr>
      </w:pPr>
      <w:r>
        <w:t xml:space="preserve">Make clear how security issues should be addressed (mitigation/release policies/timelines, contact points and so forth)</w:t>
      </w:r>
    </w:p>
    <w:p>
      <w:pPr>
        <w:numPr>
          <w:ilvl w:val="1"/>
          <w:numId w:val="1012"/>
        </w:numPr>
      </w:pPr>
      <w:r>
        <w:t xml:space="preserve">What is the release schedule for new versions?</w:t>
      </w:r>
    </w:p>
    <w:p>
      <w:pPr>
        <w:numPr>
          <w:ilvl w:val="0"/>
          <w:numId w:val="1011"/>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1"/>
        </w:numPr>
      </w:pPr>
      <w:r>
        <w:t xml:space="preserve">Choose the mechanism by which the software will be made available (GitHub, GitLab, Codeberg, organizational website, etc.)</w:t>
      </w:r>
    </w:p>
    <w:p>
      <w:pPr>
        <w:numPr>
          <w:ilvl w:val="0"/>
          <w:numId w:val="1011"/>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1"/>
        </w:numPr>
      </w:pPr>
      <w:r>
        <w:t xml:space="preserve">Identify any supported WMO technical standards and best practices</w:t>
      </w:r>
    </w:p>
    <w:p>
      <w:pPr>
        <w:numPr>
          <w:ilvl w:val="0"/>
          <w:numId w:val="1011"/>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1"/>
        </w:numPr>
      </w:pPr>
      <w:r>
        <w:t xml:space="preserve">Ensure the code is versioned (for example using Git as a version control system)</w:t>
      </w:r>
    </w:p>
    <w:bookmarkEnd w:id="84"/>
    <w:bookmarkStart w:id="85"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5"/>
    <w:bookmarkStart w:id="94"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89"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1">
        <w:r>
          <w:rPr>
            <w:rStyle w:val="Hyperlink"/>
          </w:rPr>
          <w:t xml:space="preserve">GitHub</w:t>
        </w:r>
      </w:hyperlink>
      <w:r>
        <w:t xml:space="preserve">,</w:t>
      </w:r>
      <w:r>
        <w:t xml:space="preserve"> </w:t>
      </w:r>
      <w:hyperlink r:id="rId86">
        <w:r>
          <w:rPr>
            <w:rStyle w:val="Hyperlink"/>
          </w:rPr>
          <w:t xml:space="preserve">GitLab</w:t>
        </w:r>
      </w:hyperlink>
      <w:r>
        <w:t xml:space="preserve">, and</w:t>
      </w:r>
      <w:r>
        <w:t xml:space="preserve"> </w:t>
      </w:r>
      <w:hyperlink r:id="rId83">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87">
        <w:r>
          <w:rPr>
            <w:rStyle w:val="Hyperlink"/>
          </w:rPr>
          <w:t xml:space="preserve">Gitea</w:t>
        </w:r>
      </w:hyperlink>
      <w:r>
        <w:t xml:space="preserve">, and</w:t>
      </w:r>
      <w:r>
        <w:t xml:space="preserve"> </w:t>
      </w:r>
      <w:hyperlink r:id="rId88">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89"/>
    <w:bookmarkStart w:id="90"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0"/>
    <w:bookmarkStart w:id="92"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1">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2"/>
    <w:bookmarkStart w:id="93"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example,Matrix, Slack, Discourse), and documentation sites. When evaluating or adopting a FOSS</w:t>
      </w:r>
      <w:r>
        <w:t xml:space="preserve"> </w:t>
      </w:r>
      <w:r>
        <w:t xml:space="preserve">project, the health and accessibility of these channels is a useful indicator of community activity and support.</w:t>
      </w:r>
    </w:p>
    <w:bookmarkEnd w:id="93"/>
    <w:bookmarkEnd w:id="94"/>
    <w:bookmarkEnd w:id="95"/>
    <w:bookmarkStart w:id="138"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19"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96"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3"/>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3"/>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3"/>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3"/>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96"/>
    <w:bookmarkStart w:id="97" w:name="Xadf874616f6f432abf844c3beceafb0a1aa0e1b"/>
    <w:p>
      <w:pPr>
        <w:pStyle w:val="Heading4"/>
      </w:pPr>
      <w:r>
        <w:t xml:space="preserve">Open Source Program Office</w:t>
      </w:r>
    </w:p>
    <w:p>
      <w:pPr>
        <w:pStyle w:val="FirstParagraph"/>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would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97"/>
    <w:bookmarkStart w:id="98"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4"/>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4"/>
        </w:numPr>
      </w:pPr>
      <w:r>
        <w:rPr>
          <w:bCs/>
          <w:b/>
        </w:rPr>
        <w:t xml:space="preserve">WMO Secretariat</w:t>
      </w:r>
      <w:r>
        <w:t xml:space="preserve">: Provides the institutional mandate and home for the OSPO, and ensures FOSS governance is embedded within WMO’s broader programme management and regulatory framework.</w:t>
      </w:r>
    </w:p>
    <w:p>
      <w:pPr>
        <w:numPr>
          <w:ilvl w:val="0"/>
          <w:numId w:val="1014"/>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4"/>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4"/>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98"/>
    <w:bookmarkStart w:id="101"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5"/>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5"/>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5"/>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5"/>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99"/>
      </w:r>
      <w:r>
        <w:t xml:space="preserve"> </w:t>
      </w:r>
      <w:r>
        <w:t xml:space="preserve">provide a useful model for structuring such a lifecycle within the WMO.</w:t>
      </w:r>
    </w:p>
    <w:bookmarkEnd w:id="101"/>
    <w:bookmarkStart w:id="102"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6"/>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6"/>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6"/>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6"/>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6"/>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2"/>
    <w:bookmarkStart w:id="104"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7"/>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03">
        <w:r>
          <w:rPr>
            <w:rStyle w:val="Hyperlink"/>
          </w:rPr>
          <w:t xml:space="preserve">Open Geospatial Consortium (OGC)</w:t>
        </w:r>
      </w:hyperlink>
      <w:r>
        <w:t xml:space="preserve">.</w:t>
      </w:r>
    </w:p>
    <w:p>
      <w:pPr>
        <w:numPr>
          <w:ilvl w:val="0"/>
          <w:numId w:val="1017"/>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04"/>
    <w:bookmarkStart w:id="105"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8"/>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8"/>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8"/>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05"/>
    <w:bookmarkStart w:id="118"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06">
        <w:r>
          <w:rPr>
            <w:rStyle w:val="Hyperlink"/>
          </w:rPr>
          <w:t xml:space="preserve">Open Source Geospatial Foundation (OSGeo)</w:t>
        </w:r>
      </w:hyperlink>
      <w:r>
        <w:t xml:space="preserve">, the</w:t>
      </w:r>
      <w:r>
        <w:t xml:space="preserve"> </w:t>
      </w:r>
      <w:hyperlink r:id="rId107">
        <w:r>
          <w:rPr>
            <w:rStyle w:val="Hyperlink"/>
          </w:rPr>
          <w:t xml:space="preserve">Digital Public Goods Alliance (DPGA)</w:t>
        </w:r>
      </w:hyperlink>
      <w:r>
        <w:t xml:space="preserve">, the</w:t>
      </w:r>
      <w:r>
        <w:t xml:space="preserve"> </w:t>
      </w:r>
      <w:hyperlink r:id="rId108">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9"/>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9"/>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09"/>
      </w:r>
      <w:r>
        <w:t xml:space="preserve"> </w:t>
      </w:r>
      <w:r>
        <w:t xml:space="preserve">provides a structured quality framework covering licence compliance, documentation, privacy, and standards adherence.</w:t>
      </w:r>
    </w:p>
    <w:p>
      <w:pPr>
        <w:numPr>
          <w:ilvl w:val="0"/>
          <w:numId w:val="1019"/>
        </w:numPr>
      </w:pPr>
      <w:r>
        <w:rPr>
          <w:bCs/>
          <w:b/>
        </w:rPr>
        <w:t xml:space="preserve">Multilateral development partners:</w:t>
      </w:r>
      <w:r>
        <w:t xml:space="preserve"> </w:t>
      </w:r>
      <w:r>
        <w:t xml:space="preserve">The</w:t>
      </w:r>
      <w:r>
        <w:t xml:space="preserve"> </w:t>
      </w:r>
      <w:hyperlink r:id="rId111">
        <w:r>
          <w:rPr>
            <w:rStyle w:val="Hyperlink"/>
          </w:rPr>
          <w:t xml:space="preserve">UNDP</w:t>
        </w:r>
      </w:hyperlink>
      <w:r>
        <w:t xml:space="preserve"> </w:t>
      </w:r>
      <w:r>
        <w:t xml:space="preserve">and</w:t>
      </w:r>
      <w:r>
        <w:t xml:space="preserve"> </w:t>
      </w:r>
      <w:hyperlink r:id="rId112">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13">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14"/>
      </w:r>
    </w:p>
    <w:p>
      <w:pPr>
        <w:numPr>
          <w:ilvl w:val="0"/>
          <w:numId w:val="1019"/>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15">
        <w:r>
          <w:rPr>
            <w:rStyle w:val="Hyperlink"/>
          </w:rPr>
          <w:t xml:space="preserve">FOSS4G conferences</w:t>
        </w:r>
      </w:hyperlink>
      <w:r>
        <w:t xml:space="preserve">) provide valuable opportunities for capacity building, community engagement and collaborative development.</w:t>
      </w:r>
    </w:p>
    <w:p>
      <w:pPr>
        <w:numPr>
          <w:ilvl w:val="0"/>
          <w:numId w:val="1019"/>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16"/>
      </w:r>
      <w:r>
        <w:t xml:space="preserve"> </w:t>
      </w:r>
      <w:r>
        <w:t xml:space="preserve">demonstrating how a major operational meteorological institution can embed FOSS practice as a core activity.</w:t>
      </w:r>
    </w:p>
    <w:p>
      <w:pPr>
        <w:numPr>
          <w:ilvl w:val="0"/>
          <w:numId w:val="1019"/>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18"/>
    <w:bookmarkEnd w:id="119"/>
    <w:bookmarkStart w:id="120"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0"/>
    <w:bookmarkStart w:id="122"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0"/>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0"/>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0"/>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0"/>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0"/>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0"/>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0"/>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1">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2"/>
    <w:bookmarkStart w:id="123"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1"/>
        </w:numPr>
      </w:pPr>
      <w:r>
        <w:t xml:space="preserve">validating the functionality and capability of a given standard (for example, for data encodings or interfaces)</w:t>
      </w:r>
    </w:p>
    <w:p>
      <w:pPr>
        <w:numPr>
          <w:ilvl w:val="0"/>
          <w:numId w:val="1021"/>
        </w:numPr>
      </w:pPr>
      <w:r>
        <w:t xml:space="preserve">providing a publicly available FOSS resource that is authoritative and can be studied to better understand and/or implement a standard</w:t>
      </w:r>
    </w:p>
    <w:p>
      <w:pPr>
        <w:numPr>
          <w:ilvl w:val="0"/>
          <w:numId w:val="1021"/>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3"/>
    <w:bookmarkStart w:id="137"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24"/>
      </w:r>
    </w:p>
    <w:p>
      <w:pPr>
        <w:pStyle w:val="BodyText"/>
      </w:pPr>
      <w:r>
        <w:t xml:space="preserve">The WMO Executive Council, through Resolution 34 (EC-76)</w:t>
      </w:r>
      <w:r>
        <w:rPr>
          <w:rStyle w:val="FootnoteReference"/>
        </w:rPr>
        <w:footnoteReference w:id="126"/>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28"/>
      </w:r>
    </w:p>
    <w:p>
      <w:pPr>
        <w:pStyle w:val="BodyText"/>
      </w:pPr>
      <w:r>
        <w:t xml:space="preserve">WIS2 is comprised of a number of key standards, including (but are not limited to):</w:t>
      </w:r>
    </w:p>
    <w:p>
      <w:pPr>
        <w:numPr>
          <w:ilvl w:val="0"/>
          <w:numId w:val="1022"/>
        </w:numPr>
      </w:pPr>
      <w:r>
        <w:t xml:space="preserve">Internet and messaging protocols for data and metadata transmission (HTTP, MQTT)</w:t>
      </w:r>
    </w:p>
    <w:p>
      <w:pPr>
        <w:numPr>
          <w:ilvl w:val="0"/>
          <w:numId w:val="1022"/>
        </w:numPr>
      </w:pPr>
      <w:r>
        <w:t xml:space="preserve">metadata encodings for dataset descriptions (WMO Core Metadata Profile) and notifications (WIS2 Notification Message)</w:t>
      </w:r>
    </w:p>
    <w:p>
      <w:pPr>
        <w:numPr>
          <w:ilvl w:val="0"/>
          <w:numId w:val="1022"/>
        </w:numPr>
      </w:pPr>
      <w:r>
        <w:t xml:space="preserve">topic structures for real-time notifications (WIS2 Topic Hierarchy)</w:t>
      </w:r>
    </w:p>
    <w:p>
      <w:pPr>
        <w:numPr>
          <w:ilvl w:val="0"/>
          <w:numId w:val="1022"/>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0"/>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2">
              <w:r>
                <w:rPr>
                  <w:rStyle w:val="Hyperlink"/>
                </w:rPr>
                <w:t xml:space="preserve">wis2box</w:t>
              </w:r>
            </w:hyperlink>
          </w:p>
        </w:tc>
        <w:tc>
          <w:tcPr/>
          <w:p>
            <w:pPr>
              <w:jc w:val="left"/>
            </w:pPr>
            <w:r>
              <w:t xml:space="preserve">WIS2 Node</w:t>
            </w:r>
          </w:p>
        </w:tc>
      </w:tr>
      <w:tr>
        <w:tc>
          <w:tcPr/>
          <w:p>
            <w:pPr>
              <w:jc w:val="left"/>
            </w:pPr>
            <w:hyperlink r:id="rId133">
              <w:r>
                <w:rPr>
                  <w:rStyle w:val="Hyperlink"/>
                </w:rPr>
                <w:t xml:space="preserve">wis2-gdc</w:t>
              </w:r>
            </w:hyperlink>
          </w:p>
        </w:tc>
        <w:tc>
          <w:tcPr/>
          <w:p>
            <w:pPr>
              <w:jc w:val="left"/>
            </w:pPr>
            <w:r>
              <w:t xml:space="preserve">Global Discovery Catalogue</w:t>
            </w:r>
          </w:p>
        </w:tc>
      </w:tr>
      <w:tr>
        <w:tc>
          <w:tcPr/>
          <w:p>
            <w:pPr>
              <w:jc w:val="left"/>
            </w:pPr>
            <w:hyperlink r:id="rId134">
              <w:r>
                <w:rPr>
                  <w:rStyle w:val="Hyperlink"/>
                </w:rPr>
                <w:t xml:space="preserve">csv2bufr</w:t>
              </w:r>
            </w:hyperlink>
          </w:p>
        </w:tc>
        <w:tc>
          <w:tcPr/>
          <w:p>
            <w:pPr>
              <w:jc w:val="left"/>
            </w:pPr>
            <w:r>
              <w:t xml:space="preserve">CSV to BUFR encoding tool for station data</w:t>
            </w:r>
          </w:p>
        </w:tc>
      </w:tr>
      <w:tr>
        <w:tc>
          <w:tcPr/>
          <w:p>
            <w:pPr>
              <w:jc w:val="left"/>
            </w:pPr>
            <w:hyperlink r:id="rId135">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36">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37"/>
    <w:bookmarkEnd w:id="138"/>
    <w:bookmarkEnd w:id="139"/>
    <w:bookmarkStart w:id="140"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0"/>
    <w:bookmarkStart w:id="210" w:name="X7dc5ec89ace04afa0dfcc5c2c63a457bc733b57"/>
    <w:p>
      <w:pPr>
        <w:pStyle w:val="Heading1"/>
      </w:pPr>
      <w:r>
        <w:t xml:space="preserve">References</w:t>
      </w:r>
    </w:p>
    <w:bookmarkStart w:id="153" w:name="X60dcd05f0a94584f5e7ae2f945ca5f575416e69"/>
    <w:p>
      <w:pPr>
        <w:pStyle w:val="Heading2"/>
      </w:pPr>
      <w:r>
        <w:t xml:space="preserve">FOSS practice and governance</w:t>
      </w:r>
    </w:p>
    <w:p>
      <w:pPr>
        <w:numPr>
          <w:ilvl w:val="0"/>
          <w:numId w:val="1023"/>
        </w:numPr>
      </w:pPr>
      <w:bookmarkStart w:id="141" w:name="raymond-cathedral-bazaar"/>
      <w:bookmarkEnd w:id="141"/>
      <w:r>
        <w:t xml:space="preserve"> </w:t>
      </w:r>
      <w:r>
        <w:t xml:space="preserve">Raymond, Eric S.: The Cathedral and the Bazaar (1999)</w:t>
      </w:r>
    </w:p>
    <w:p>
      <w:pPr>
        <w:numPr>
          <w:ilvl w:val="0"/>
          <w:numId w:val="1023"/>
        </w:numPr>
      </w:pPr>
      <w:bookmarkStart w:id="142" w:name="producing-oss"/>
      <w:bookmarkEnd w:id="142"/>
      <w:r>
        <w:t xml:space="preserve"> </w:t>
      </w:r>
      <w:r>
        <w:t xml:space="preserve">Fogel, Karl: Producing Open Source Software: How to Run a Successful Free Software Project (2024)</w:t>
      </w:r>
      <w:r>
        <w:t xml:space="preserve"> </w:t>
      </w:r>
      <w:r>
        <w:rPr>
          <w:rStyle w:val="FootnoteReference"/>
        </w:rPr>
        <w:footnoteReference w:id="143"/>
      </w:r>
    </w:p>
    <w:p>
      <w:pPr>
        <w:numPr>
          <w:ilvl w:val="0"/>
          <w:numId w:val="1023"/>
        </w:numPr>
      </w:pPr>
      <w:bookmarkStart w:id="145" w:name="osor-handbook"/>
      <w:bookmarkEnd w:id="145"/>
      <w:r>
        <w:t xml:space="preserve"> </w:t>
      </w:r>
      <w:r>
        <w:t xml:space="preserve">European Commission / Open Source Observatory: OSOR Handbook on Open Source Software in Public Administration (2026)</w:t>
      </w:r>
      <w:r>
        <w:t xml:space="preserve"> </w:t>
      </w:r>
      <w:r>
        <w:rPr>
          <w:rStyle w:val="FootnoteReference"/>
        </w:rPr>
        <w:footnoteReference w:id="146"/>
      </w:r>
    </w:p>
    <w:p>
      <w:pPr>
        <w:numPr>
          <w:ilvl w:val="0"/>
          <w:numId w:val="1023"/>
        </w:numPr>
      </w:pPr>
      <w:bookmarkStart w:id="148" w:name="public-digital"/>
      <w:bookmarkEnd w:id="148"/>
      <w:r>
        <w:t xml:space="preserve"> </w:t>
      </w:r>
      <w:r>
        <w:t xml:space="preserve">Public Digital: Open Source in Government (2021)</w:t>
      </w:r>
      <w:r>
        <w:t xml:space="preserve"> </w:t>
      </w:r>
      <w:r>
        <w:rPr>
          <w:rStyle w:val="FootnoteReference"/>
        </w:rPr>
        <w:footnoteReference w:id="149"/>
      </w:r>
    </w:p>
    <w:p>
      <w:pPr>
        <w:numPr>
          <w:ilvl w:val="0"/>
          <w:numId w:val="1023"/>
        </w:numPr>
      </w:pPr>
      <w:bookmarkStart w:id="151" w:name="public-money-public-code"/>
      <w:bookmarkEnd w:id="151"/>
      <w:r>
        <w:t xml:space="preserve"> </w:t>
      </w:r>
      <w:r>
        <w:t xml:space="preserve">Free Software Foundation Europe: Public Money? Public Code!</w:t>
      </w:r>
      <w:r>
        <w:t xml:space="preserve"> </w:t>
      </w:r>
      <w:r>
        <w:rPr>
          <w:rStyle w:val="FootnoteReference"/>
        </w:rPr>
        <w:footnoteReference w:id="152"/>
      </w:r>
    </w:p>
    <w:bookmarkEnd w:id="153"/>
    <w:bookmarkStart w:id="161" w:name="X8474ffd35f348d5ae6783f3fe284806fdb3105a"/>
    <w:p>
      <w:pPr>
        <w:pStyle w:val="Heading2"/>
      </w:pPr>
      <w:r>
        <w:t xml:space="preserve">Economic impact studies</w:t>
      </w:r>
    </w:p>
    <w:p>
      <w:pPr>
        <w:numPr>
          <w:ilvl w:val="0"/>
          <w:numId w:val="1024"/>
        </w:numPr>
      </w:pPr>
      <w:bookmarkStart w:id="154" w:name="ec-oss-impact"/>
      <w:bookmarkEnd w:id="154"/>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55"/>
      </w:r>
    </w:p>
    <w:p>
      <w:pPr>
        <w:numPr>
          <w:ilvl w:val="0"/>
          <w:numId w:val="1024"/>
        </w:numPr>
      </w:pPr>
      <w:bookmarkStart w:id="156" w:name="wb-geonode-roi"/>
      <w:bookmarkEnd w:id="156"/>
      <w:r>
        <w:t xml:space="preserve"> </w:t>
      </w:r>
      <w:r>
        <w:t xml:space="preserve">GFDRR/World Bank: OpenDRI and GeoNode — A Case Study for Institutional Investment in Open Source</w:t>
      </w:r>
      <w:r>
        <w:t xml:space="preserve"> </w:t>
      </w:r>
      <w:r>
        <w:rPr>
          <w:rStyle w:val="FootnoteReference"/>
        </w:rPr>
        <w:footnoteReference w:id="157"/>
      </w:r>
    </w:p>
    <w:p>
      <w:pPr>
        <w:numPr>
          <w:ilvl w:val="0"/>
          <w:numId w:val="1024"/>
        </w:numPr>
      </w:pPr>
      <w:bookmarkStart w:id="158" w:name="lf-roi"/>
      <w:bookmarkEnd w:id="158"/>
      <w:r>
        <w:t xml:space="preserve"> </w:t>
      </w:r>
      <w:r>
        <w:t xml:space="preserve">Linux Foundation: Active Open Source Contribution Delivers 2–5x ROI (2025)</w:t>
      </w:r>
      <w:r>
        <w:t xml:space="preserve"> </w:t>
      </w:r>
      <w:r>
        <w:rPr>
          <w:rStyle w:val="FootnoteReference"/>
        </w:rPr>
        <w:footnoteReference w:id="159"/>
      </w:r>
    </w:p>
    <w:bookmarkEnd w:id="161"/>
    <w:bookmarkStart w:id="188" w:name="Xc896f75200517b843631aaf28651998d53f808f"/>
    <w:p>
      <w:pPr>
        <w:pStyle w:val="Heading2"/>
      </w:pPr>
      <w:r>
        <w:t xml:space="preserve">National and regional policies</w:t>
      </w:r>
    </w:p>
    <w:p>
      <w:pPr>
        <w:numPr>
          <w:ilvl w:val="0"/>
          <w:numId w:val="1025"/>
        </w:numPr>
      </w:pPr>
      <w:bookmarkStart w:id="162" w:name="ec-oss-strategy"/>
      <w:bookmarkEnd w:id="162"/>
      <w:r>
        <w:t xml:space="preserve"> </w:t>
      </w:r>
      <w:r>
        <w:t xml:space="preserve">European Commission: Open Source Software Strategy 2020–2023 — Think Open (2020)</w:t>
      </w:r>
      <w:r>
        <w:t xml:space="preserve"> </w:t>
      </w:r>
      <w:r>
        <w:rPr>
          <w:rStyle w:val="FootnoteReference"/>
        </w:rPr>
        <w:footnoteReference w:id="163"/>
      </w:r>
    </w:p>
    <w:p>
      <w:pPr>
        <w:numPr>
          <w:ilvl w:val="0"/>
          <w:numId w:val="1025"/>
        </w:numPr>
      </w:pPr>
      <w:bookmarkStart w:id="165" w:name="interoperable-europe-act"/>
      <w:bookmarkEnd w:id="165"/>
      <w:r>
        <w:t xml:space="preserve"> </w:t>
      </w:r>
      <w:r>
        <w:t xml:space="preserve">Regulation (EU) 2024/903: Interoperable Europe Act</w:t>
      </w:r>
      <w:r>
        <w:t xml:space="preserve"> </w:t>
      </w:r>
      <w:r>
        <w:rPr>
          <w:rStyle w:val="FootnoteReference"/>
        </w:rPr>
        <w:footnoteReference w:id="166"/>
      </w:r>
    </w:p>
    <w:p>
      <w:pPr>
        <w:numPr>
          <w:ilvl w:val="0"/>
          <w:numId w:val="1025"/>
        </w:numPr>
      </w:pPr>
      <w:bookmarkStart w:id="167" w:name="eu-cra"/>
      <w:bookmarkEnd w:id="167"/>
      <w:r>
        <w:t xml:space="preserve"> </w:t>
      </w:r>
      <w:r>
        <w:t xml:space="preserve">Regulation (EU) 2024/2847: Cyber Resilience Act — open source implications</w:t>
      </w:r>
      <w:r>
        <w:t xml:space="preserve"> </w:t>
      </w:r>
      <w:r>
        <w:rPr>
          <w:rStyle w:val="FootnoteReference"/>
        </w:rPr>
        <w:footnoteReference w:id="168"/>
      </w:r>
    </w:p>
    <w:p>
      <w:pPr>
        <w:numPr>
          <w:ilvl w:val="0"/>
          <w:numId w:val="1025"/>
        </w:numPr>
      </w:pPr>
      <w:bookmarkStart w:id="170" w:name="us-fsc-policy"/>
      <w:bookmarkEnd w:id="170"/>
      <w:r>
        <w:t xml:space="preserve"> </w:t>
      </w:r>
      <w:r>
        <w:t xml:space="preserve">United States Office of Management and Budget: Federal Source Code Policy (OMB M-16-21, 2016)</w:t>
      </w:r>
      <w:r>
        <w:t xml:space="preserve"> </w:t>
      </w:r>
      <w:r>
        <w:rPr>
          <w:rStyle w:val="FootnoteReference"/>
        </w:rPr>
        <w:footnoteReference w:id="171"/>
      </w:r>
    </w:p>
    <w:p>
      <w:pPr>
        <w:numPr>
          <w:ilvl w:val="0"/>
          <w:numId w:val="1025"/>
        </w:numPr>
      </w:pPr>
      <w:bookmarkStart w:id="172" w:name="ca-open-first"/>
      <w:bookmarkEnd w:id="172"/>
      <w:r>
        <w:t xml:space="preserve"> </w:t>
      </w:r>
      <w:r>
        <w:t xml:space="preserve">Government of Canada: Open First Whitepaper (2020)</w:t>
      </w:r>
      <w:r>
        <w:t xml:space="preserve"> </w:t>
      </w:r>
      <w:r>
        <w:rPr>
          <w:rStyle w:val="FootnoteReference"/>
        </w:rPr>
        <w:footnoteReference w:id="173"/>
      </w:r>
    </w:p>
    <w:p>
      <w:pPr>
        <w:numPr>
          <w:ilvl w:val="0"/>
          <w:numId w:val="1025"/>
        </w:numPr>
      </w:pPr>
      <w:bookmarkStart w:id="174" w:name="nz-nzgoal-se"/>
      <w:bookmarkEnd w:id="174"/>
      <w:r>
        <w:t xml:space="preserve"> </w:t>
      </w:r>
      <w:r>
        <w:t xml:space="preserve">New Zealand Government: NZGOAL Software Extension (NZGOAL-SE)</w:t>
      </w:r>
      <w:r>
        <w:t xml:space="preserve"> </w:t>
      </w:r>
      <w:r>
        <w:rPr>
          <w:rStyle w:val="FootnoteReference"/>
        </w:rPr>
        <w:footnoteReference w:id="175"/>
      </w:r>
    </w:p>
    <w:p>
      <w:pPr>
        <w:numPr>
          <w:ilvl w:val="0"/>
          <w:numId w:val="1025"/>
        </w:numPr>
      </w:pPr>
      <w:bookmarkStart w:id="176" w:name="india-oss-policy"/>
      <w:bookmarkEnd w:id="176"/>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77"/>
      </w:r>
    </w:p>
    <w:p>
      <w:pPr>
        <w:numPr>
          <w:ilvl w:val="0"/>
          <w:numId w:val="1025"/>
        </w:numPr>
      </w:pPr>
      <w:bookmarkStart w:id="178" w:name="japan-ipa-2024"/>
      <w:bookmarkEnd w:id="178"/>
      <w:r>
        <w:t xml:space="preserve"> </w:t>
      </w:r>
      <w:r>
        <w:t xml:space="preserve">Information-technology Promotion Agency (IPA), Japan: 2024 Open Source Promotion Report</w:t>
      </w:r>
      <w:r>
        <w:t xml:space="preserve"> </w:t>
      </w:r>
      <w:r>
        <w:rPr>
          <w:rStyle w:val="FootnoteReference"/>
        </w:rPr>
        <w:footnoteReference w:id="179"/>
      </w:r>
    </w:p>
    <w:p>
      <w:pPr>
        <w:numPr>
          <w:ilvl w:val="0"/>
          <w:numId w:val="1025"/>
        </w:numPr>
      </w:pPr>
      <w:bookmarkStart w:id="180" w:name="brazil-spb"/>
      <w:bookmarkEnd w:id="180"/>
      <w:r>
        <w:t xml:space="preserve"> </w:t>
      </w:r>
      <w:r>
        <w:t xml:space="preserve">Government of Brazil: Portal do Software Público Brasileiro</w:t>
      </w:r>
      <w:r>
        <w:t xml:space="preserve"> </w:t>
      </w:r>
      <w:r>
        <w:rPr>
          <w:rStyle w:val="FootnoteReference"/>
        </w:rPr>
        <w:footnoteReference w:id="181"/>
      </w:r>
    </w:p>
    <w:p>
      <w:pPr>
        <w:numPr>
          <w:ilvl w:val="0"/>
          <w:numId w:val="1025"/>
        </w:numPr>
      </w:pPr>
      <w:bookmarkStart w:id="183" w:name="au-digital-transformation"/>
      <w:bookmarkEnd w:id="183"/>
      <w:r>
        <w:t xml:space="preserve"> </w:t>
      </w:r>
      <w:r>
        <w:t xml:space="preserve">African Union Commission: Digital Transformation Strategy for Africa 2020–2030</w:t>
      </w:r>
      <w:r>
        <w:t xml:space="preserve"> </w:t>
      </w:r>
      <w:r>
        <w:rPr>
          <w:rStyle w:val="FootnoteReference"/>
        </w:rPr>
        <w:footnoteReference w:id="184"/>
      </w:r>
    </w:p>
    <w:p>
      <w:pPr>
        <w:numPr>
          <w:ilvl w:val="0"/>
          <w:numId w:val="1025"/>
        </w:numPr>
      </w:pPr>
      <w:bookmarkStart w:id="186" w:name="csis-oss-policies"/>
      <w:bookmarkEnd w:id="186"/>
      <w:r>
        <w:t xml:space="preserve"> </w:t>
      </w:r>
      <w:r>
        <w:t xml:space="preserve">Center for Strategic and International Studies (CSIS): Government Open Source Software Policies database</w:t>
      </w:r>
      <w:r>
        <w:t xml:space="preserve"> </w:t>
      </w:r>
      <w:r>
        <w:rPr>
          <w:rStyle w:val="FootnoteReference"/>
        </w:rPr>
        <w:footnoteReference w:id="187"/>
      </w:r>
    </w:p>
    <w:bookmarkEnd w:id="188"/>
    <w:bookmarkStart w:id="201" w:name="X18ff0ed8f6a1232271ed94da238c01a3f2eef14"/>
    <w:p>
      <w:pPr>
        <w:pStyle w:val="Heading2"/>
      </w:pPr>
      <w:r>
        <w:t xml:space="preserve">Multilateral and international resources</w:t>
      </w:r>
    </w:p>
    <w:p>
      <w:pPr>
        <w:numPr>
          <w:ilvl w:val="0"/>
          <w:numId w:val="1026"/>
        </w:numPr>
      </w:pPr>
      <w:bookmarkStart w:id="189" w:name="dpga-standard"/>
      <w:bookmarkEnd w:id="189"/>
      <w:r>
        <w:t xml:space="preserve"> </w:t>
      </w:r>
      <w:r>
        <w:t xml:space="preserve">Digital Public Goods Alliance: Digital Public Goods Standard</w:t>
      </w:r>
      <w:r>
        <w:t xml:space="preserve"> </w:t>
      </w:r>
      <w:r>
        <w:rPr>
          <w:rStyle w:val="FootnoteReference"/>
        </w:rPr>
        <w:footnoteReference w:id="190"/>
      </w:r>
    </w:p>
    <w:p>
      <w:pPr>
        <w:numPr>
          <w:ilvl w:val="0"/>
          <w:numId w:val="1026"/>
        </w:numPr>
      </w:pPr>
      <w:bookmarkStart w:id="191" w:name="undp-osee"/>
      <w:bookmarkEnd w:id="191"/>
      <w:r>
        <w:t xml:space="preserve"> </w:t>
      </w:r>
      <w:r>
        <w:t xml:space="preserve">UNDP / ITU: Open Source Ecosystem Enabler (OSEE)</w:t>
      </w:r>
      <w:r>
        <w:t xml:space="preserve"> </w:t>
      </w:r>
      <w:r>
        <w:rPr>
          <w:rStyle w:val="FootnoteReference"/>
        </w:rPr>
        <w:footnoteReference w:id="192"/>
      </w:r>
    </w:p>
    <w:p>
      <w:pPr>
        <w:numPr>
          <w:ilvl w:val="0"/>
          <w:numId w:val="1026"/>
        </w:numPr>
      </w:pPr>
      <w:bookmarkStart w:id="193" w:name="undp-default-open"/>
      <w:bookmarkEnd w:id="193"/>
      <w:r>
        <w:t xml:space="preserve"> </w:t>
      </w:r>
      <w:r>
        <w:t xml:space="preserve">UNDP Digital Standards — Standard 9: Default to Open</w:t>
      </w:r>
      <w:r>
        <w:t xml:space="preserve"> </w:t>
      </w:r>
      <w:r>
        <w:rPr>
          <w:rStyle w:val="FootnoteReference"/>
        </w:rPr>
        <w:footnoteReference w:id="194"/>
      </w:r>
    </w:p>
    <w:p>
      <w:pPr>
        <w:numPr>
          <w:ilvl w:val="0"/>
          <w:numId w:val="1026"/>
        </w:numPr>
      </w:pPr>
      <w:bookmarkStart w:id="196" w:name="wb-oss-global"/>
      <w:bookmarkEnd w:id="196"/>
      <w:r>
        <w:t xml:space="preserve"> </w:t>
      </w:r>
      <w:r>
        <w:t xml:space="preserve">World Bank: Open Source for Global Public Goods (2020)</w:t>
      </w:r>
      <w:r>
        <w:t xml:space="preserve"> </w:t>
      </w:r>
      <w:r>
        <w:rPr>
          <w:rStyle w:val="FootnoteReference"/>
        </w:rPr>
        <w:footnoteReference w:id="197"/>
      </w:r>
    </w:p>
    <w:p>
      <w:pPr>
        <w:numPr>
          <w:ilvl w:val="0"/>
          <w:numId w:val="1026"/>
        </w:numPr>
      </w:pPr>
      <w:bookmarkStart w:id="199" w:name="osor-country-intel"/>
      <w:bookmarkEnd w:id="199"/>
      <w:r>
        <w:t xml:space="preserve"> </w:t>
      </w:r>
      <w:r>
        <w:t xml:space="preserve">EU Open Source Observatory: Open Source Software Country Intelligence (60+ countries)</w:t>
      </w:r>
      <w:r>
        <w:t xml:space="preserve"> </w:t>
      </w:r>
      <w:r>
        <w:rPr>
          <w:rStyle w:val="FootnoteReference"/>
        </w:rPr>
        <w:footnoteReference w:id="200"/>
      </w:r>
    </w:p>
    <w:bookmarkEnd w:id="201"/>
    <w:bookmarkStart w:id="209" w:name="X1bc7e6b4fc0225a0d72d26b79f533628acb17c9"/>
    <w:p>
      <w:pPr>
        <w:pStyle w:val="Heading2"/>
      </w:pPr>
      <w:r>
        <w:t xml:space="preserve">Meteorological sector</w:t>
      </w:r>
    </w:p>
    <w:p>
      <w:pPr>
        <w:numPr>
          <w:ilvl w:val="0"/>
          <w:numId w:val="1027"/>
        </w:numPr>
      </w:pPr>
      <w:bookmarkStart w:id="202" w:name="ecmwf-openifs"/>
      <w:bookmarkEnd w:id="202"/>
      <w:r>
        <w:t xml:space="preserve"> </w:t>
      </w:r>
      <w:r>
        <w:t xml:space="preserve">ECMWF: OpenIFS</w:t>
      </w:r>
      <w:r>
        <w:t xml:space="preserve"> </w:t>
      </w:r>
      <w:r>
        <w:rPr>
          <w:rStyle w:val="FootnoteReference"/>
        </w:rPr>
        <w:footnoteReference w:id="203"/>
      </w:r>
    </w:p>
    <w:p>
      <w:pPr>
        <w:numPr>
          <w:ilvl w:val="0"/>
          <w:numId w:val="1027"/>
        </w:numPr>
      </w:pPr>
      <w:bookmarkStart w:id="205" w:name="ecmwf-code-for-earth"/>
      <w:bookmarkEnd w:id="205"/>
      <w:r>
        <w:t xml:space="preserve"> </w:t>
      </w:r>
      <w:r>
        <w:t xml:space="preserve">ECMWF / Copernicus Climate Change Service: Code for Earth</w:t>
      </w:r>
      <w:r>
        <w:t xml:space="preserve"> </w:t>
      </w:r>
      <w:r>
        <w:rPr>
          <w:rStyle w:val="FootnoteReference"/>
        </w:rPr>
        <w:footnoteReference w:id="206"/>
      </w:r>
    </w:p>
    <w:p>
      <w:pPr>
        <w:numPr>
          <w:ilvl w:val="0"/>
          <w:numId w:val="1027"/>
        </w:numPr>
      </w:pPr>
      <w:bookmarkStart w:id="207" w:name="wis2-transition"/>
      <w:bookmarkEnd w:id="207"/>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08"/>
      </w:r>
    </w:p>
    <w:bookmarkEnd w:id="209"/>
    <w:bookmarkEnd w:id="210"/>
    <w:bookmarkStart w:id="211"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1"/>
    <w:bookmarkStart w:id="222" w:name="annex-data-policies"/>
    <w:p>
      <w:pPr>
        <w:pStyle w:val="Heading1"/>
      </w:pPr>
      <w:r>
        <w:t xml:space="preserve">Data policies</w:t>
      </w:r>
    </w:p>
    <w:bookmarkStart w:id="212" w:name="Xf8e6d9ee3bd441760d5e204de320a5d72770405"/>
    <w:p>
      <w:pPr>
        <w:pStyle w:val="Heading2"/>
      </w:pPr>
      <w:r>
        <w:t xml:space="preserve">Global</w:t>
      </w:r>
    </w:p>
    <w:p>
      <w:pPr>
        <w:numPr>
          <w:ilvl w:val="0"/>
          <w:numId w:val="1028"/>
        </w:numPr>
      </w:pPr>
      <w:r>
        <w:t xml:space="preserve">World Meteorological Organisation (WMO)</w:t>
      </w:r>
    </w:p>
    <w:p>
      <w:pPr>
        <w:numPr>
          <w:ilvl w:val="1"/>
          <w:numId w:val="1029"/>
        </w:numPr>
      </w:pPr>
      <w:hyperlink r:id="rId43">
        <w:r>
          <w:rPr>
            <w:rStyle w:val="Hyperlink"/>
          </w:rPr>
          <w:t xml:space="preserve">https://wmo.int/wmo-unified-data-policy-resolution-res1</w:t>
        </w:r>
      </w:hyperlink>
    </w:p>
    <w:bookmarkEnd w:id="212"/>
    <w:bookmarkStart w:id="217" w:name="X9541bc49e02a401f01921082827d3ca0aae0ff4"/>
    <w:p>
      <w:pPr>
        <w:pStyle w:val="Heading2"/>
      </w:pPr>
      <w:r>
        <w:t xml:space="preserve">Regional</w:t>
      </w:r>
    </w:p>
    <w:p>
      <w:pPr>
        <w:numPr>
          <w:ilvl w:val="0"/>
          <w:numId w:val="1030"/>
        </w:numPr>
      </w:pPr>
      <w:r>
        <w:t xml:space="preserve">European Union (EU)</w:t>
      </w:r>
    </w:p>
    <w:p>
      <w:pPr>
        <w:numPr>
          <w:ilvl w:val="1"/>
          <w:numId w:val="1031"/>
        </w:numPr>
      </w:pPr>
      <w:hyperlink r:id="rId213">
        <w:r>
          <w:rPr>
            <w:rStyle w:val="Hyperlink"/>
          </w:rPr>
          <w:t xml:space="preserve">https://digital-strategy.ec.europa.eu/en/policies/legislation-open-data</w:t>
        </w:r>
      </w:hyperlink>
    </w:p>
    <w:p>
      <w:pPr>
        <w:numPr>
          <w:ilvl w:val="0"/>
          <w:numId w:val="1030"/>
        </w:numPr>
      </w:pPr>
      <w:r>
        <w:t xml:space="preserve">European Centre for Medium-Range Weather Forecasts (ECMWF)</w:t>
      </w:r>
    </w:p>
    <w:p>
      <w:pPr>
        <w:numPr>
          <w:ilvl w:val="1"/>
          <w:numId w:val="1032"/>
        </w:numPr>
      </w:pPr>
      <w:hyperlink r:id="rId214">
        <w:r>
          <w:rPr>
            <w:rStyle w:val="Hyperlink"/>
          </w:rPr>
          <w:t xml:space="preserve">https://www.ecmwf.int/en/forecasts/datasets/open-data</w:t>
        </w:r>
      </w:hyperlink>
    </w:p>
    <w:p>
      <w:pPr>
        <w:numPr>
          <w:ilvl w:val="1"/>
          <w:numId w:val="1032"/>
        </w:numPr>
      </w:pPr>
      <w:hyperlink r:id="rId215">
        <w:r>
          <w:rPr>
            <w:rStyle w:val="Hyperlink"/>
          </w:rPr>
          <w:t xml:space="preserve">https://www.ecmwf.int/en/forecasts/access-forecasts/access-real-time-open-data</w:t>
        </w:r>
      </w:hyperlink>
    </w:p>
    <w:p>
      <w:pPr>
        <w:numPr>
          <w:ilvl w:val="1"/>
          <w:numId w:val="1032"/>
        </w:numPr>
      </w:pPr>
      <w:hyperlink r:id="rId216">
        <w:r>
          <w:rPr>
            <w:rStyle w:val="Hyperlink"/>
          </w:rPr>
          <w:t xml:space="preserve">https://data.ecmwf.int/</w:t>
        </w:r>
      </w:hyperlink>
    </w:p>
    <w:bookmarkEnd w:id="217"/>
    <w:bookmarkStart w:id="221" w:name="X2ed8ed9cb1cd47f820628ba1e070fc45247027d"/>
    <w:p>
      <w:pPr>
        <w:pStyle w:val="Heading2"/>
      </w:pPr>
      <w:r>
        <w:t xml:space="preserve">National</w:t>
      </w:r>
    </w:p>
    <w:p>
      <w:pPr>
        <w:numPr>
          <w:ilvl w:val="0"/>
          <w:numId w:val="1033"/>
        </w:numPr>
      </w:pPr>
      <w:r>
        <w:t xml:space="preserve">Brazil</w:t>
      </w:r>
    </w:p>
    <w:p>
      <w:pPr>
        <w:numPr>
          <w:ilvl w:val="1"/>
          <w:numId w:val="1034"/>
        </w:numPr>
      </w:pPr>
      <w:hyperlink r:id="rId218">
        <w:r>
          <w:rPr>
            <w:rStyle w:val="Hyperlink"/>
          </w:rPr>
          <w:t xml:space="preserve">https://www.planalto.gov.br/ccivil_03/_Ato2015-2018/2016/Decreto/D8777.htm</w:t>
        </w:r>
      </w:hyperlink>
    </w:p>
    <w:p>
      <w:pPr>
        <w:numPr>
          <w:ilvl w:val="0"/>
          <w:numId w:val="1033"/>
        </w:numPr>
      </w:pPr>
      <w:r>
        <w:t xml:space="preserve">Canada</w:t>
      </w:r>
    </w:p>
    <w:p>
      <w:pPr>
        <w:numPr>
          <w:ilvl w:val="1"/>
          <w:numId w:val="1035"/>
        </w:numPr>
      </w:pPr>
      <w:hyperlink r:id="rId219">
        <w:r>
          <w:rPr>
            <w:rStyle w:val="Hyperlink"/>
          </w:rPr>
          <w:t xml:space="preserve">https://www.canada.ca/en/government/system/digital-government/digital-government-innovations/information-management.html</w:t>
        </w:r>
      </w:hyperlink>
    </w:p>
    <w:p>
      <w:pPr>
        <w:numPr>
          <w:ilvl w:val="0"/>
          <w:numId w:val="1033"/>
        </w:numPr>
      </w:pPr>
      <w:r>
        <w:t xml:space="preserve">United Kingdom</w:t>
      </w:r>
    </w:p>
    <w:p>
      <w:pPr>
        <w:numPr>
          <w:ilvl w:val="1"/>
          <w:numId w:val="1036"/>
        </w:numPr>
      </w:pPr>
      <w:hyperlink r:id="rId220">
        <w:r>
          <w:rPr>
            <w:rStyle w:val="Hyperlink"/>
          </w:rPr>
          <w:t xml:space="preserve">https://www.gov.uk/guidance/national-data-strategy</w:t>
        </w:r>
      </w:hyperlink>
    </w:p>
    <w:bookmarkEnd w:id="221"/>
    <w:bookmarkEnd w:id="222"/>
    <w:bookmarkStart w:id="236" w:name="annex-ai-tool-use"/>
    <w:p>
      <w:pPr>
        <w:pStyle w:val="Heading1"/>
      </w:pPr>
      <w:r>
        <w:t xml:space="preserve">AI Tool Use in FOSS</w:t>
      </w:r>
    </w:p>
    <w:bookmarkStart w:id="224" w:name="X6d7eca8cda99880e54958dab5674f746ac10e71"/>
    <w:p>
      <w:pPr>
        <w:pStyle w:val="Heading2"/>
      </w:pPr>
      <w:r>
        <w:t xml:space="preserve">Overview of Issues</w:t>
      </w:r>
    </w:p>
    <w:p>
      <w:pPr>
        <w:pStyle w:val="FirstParagraph"/>
      </w:pPr>
      <w:r>
        <w:t xml:space="preserve">A Scientific Python blog post,</w:t>
      </w:r>
      <w:r>
        <w:t xml:space="preserve"> </w:t>
      </w:r>
      <w:hyperlink r:id="rId223">
        <w:r>
          <w:rPr>
            <w:rStyle w:val="Hyperlink"/>
          </w:rPr>
          <w:t xml:space="preserve">Community Considerations Around AI Contributions</w:t>
        </w:r>
      </w:hyperlink>
      <w:r>
        <w:t xml:space="preserve">, provides a good introduction to concerns and possible benefits of AI tool use.</w:t>
      </w:r>
    </w:p>
    <w:bookmarkEnd w:id="224"/>
    <w:bookmarkStart w:id="232" w:name="X0fd9f6a334a994816a6b65d265b82b3aa5e1c29"/>
    <w:p>
      <w:pPr>
        <w:pStyle w:val="Heading2"/>
      </w:pPr>
      <w:r>
        <w:t xml:space="preserve">Examples of FOSS project AI tool usage policies</w:t>
      </w:r>
    </w:p>
    <w:p>
      <w:pPr>
        <w:numPr>
          <w:ilvl w:val="0"/>
          <w:numId w:val="1037"/>
        </w:numPr>
      </w:pPr>
      <w:r>
        <w:t xml:space="preserve">GDAL:</w:t>
      </w:r>
      <w:r>
        <w:t xml:space="preserve"> </w:t>
      </w:r>
      <w:hyperlink r:id="rId225">
        <w:r>
          <w:rPr>
            <w:rStyle w:val="Hyperlink"/>
          </w:rPr>
          <w:t xml:space="preserve">LLM tool policy</w:t>
        </w:r>
      </w:hyperlink>
    </w:p>
    <w:p>
      <w:pPr>
        <w:numPr>
          <w:ilvl w:val="0"/>
          <w:numId w:val="1037"/>
        </w:numPr>
      </w:pPr>
      <w:r>
        <w:t xml:space="preserve">matplotlib:</w:t>
      </w:r>
      <w:r>
        <w:t xml:space="preserve"> </w:t>
      </w:r>
      <w:hyperlink r:id="rId226">
        <w:r>
          <w:rPr>
            <w:rStyle w:val="Hyperlink"/>
          </w:rPr>
          <w:t xml:space="preserve">Use of Generative AI guidelines</w:t>
        </w:r>
      </w:hyperlink>
    </w:p>
    <w:p>
      <w:pPr>
        <w:numPr>
          <w:ilvl w:val="0"/>
          <w:numId w:val="1037"/>
        </w:numPr>
      </w:pPr>
      <w:r>
        <w:t xml:space="preserve">NumPy:</w:t>
      </w:r>
      <w:r>
        <w:t xml:space="preserve"> </w:t>
      </w:r>
      <w:hyperlink r:id="rId227">
        <w:r>
          <w:rPr>
            <w:rStyle w:val="Hyperlink"/>
          </w:rPr>
          <w:t xml:space="preserve">AI Policy</w:t>
        </w:r>
      </w:hyperlink>
    </w:p>
    <w:p>
      <w:pPr>
        <w:numPr>
          <w:ilvl w:val="0"/>
          <w:numId w:val="1037"/>
        </w:numPr>
      </w:pPr>
      <w:r>
        <w:t xml:space="preserve">OpenJDK:</w:t>
      </w:r>
      <w:r>
        <w:t xml:space="preserve"> </w:t>
      </w:r>
      <w:hyperlink r:id="rId228">
        <w:r>
          <w:rPr>
            <w:rStyle w:val="Hyperlink"/>
          </w:rPr>
          <w:t xml:space="preserve">Interim Policy on Generative AI</w:t>
        </w:r>
      </w:hyperlink>
    </w:p>
    <w:p>
      <w:pPr>
        <w:numPr>
          <w:ilvl w:val="0"/>
          <w:numId w:val="1037"/>
        </w:numPr>
      </w:pPr>
      <w:r>
        <w:t xml:space="preserve">Python:</w:t>
      </w:r>
      <w:r>
        <w:t xml:space="preserve"> </w:t>
      </w:r>
      <w:hyperlink r:id="rId229">
        <w:r>
          <w:rPr>
            <w:rStyle w:val="Hyperlink"/>
          </w:rPr>
          <w:t xml:space="preserve">Generative AI guidelines</w:t>
        </w:r>
      </w:hyperlink>
    </w:p>
    <w:p>
      <w:pPr>
        <w:numPr>
          <w:ilvl w:val="0"/>
          <w:numId w:val="1037"/>
        </w:numPr>
      </w:pPr>
      <w:r>
        <w:t xml:space="preserve">QGIS:</w:t>
      </w:r>
      <w:r>
        <w:t xml:space="preserve"> </w:t>
      </w:r>
      <w:hyperlink r:id="rId230">
        <w:r>
          <w:rPr>
            <w:rStyle w:val="Hyperlink"/>
          </w:rPr>
          <w:t xml:space="preserve">AI tool use policy</w:t>
        </w:r>
      </w:hyperlink>
    </w:p>
    <w:p>
      <w:pPr>
        <w:numPr>
          <w:ilvl w:val="0"/>
          <w:numId w:val="1037"/>
        </w:numPr>
      </w:pPr>
      <w:r>
        <w:t xml:space="preserve">Zarr-Python:</w:t>
      </w:r>
      <w:r>
        <w:t xml:space="preserve"> </w:t>
      </w:r>
      <w:hyperlink r:id="rId231">
        <w:r>
          <w:rPr>
            <w:rStyle w:val="Hyperlink"/>
          </w:rPr>
          <w:t xml:space="preserve">AI-assisted contributions guidelines</w:t>
        </w:r>
      </w:hyperlink>
    </w:p>
    <w:bookmarkEnd w:id="232"/>
    <w:bookmarkStart w:id="235" w:name="X7bda34b8e3c93f3de9fb080bb91dfa6750ce2d4"/>
    <w:p>
      <w:pPr>
        <w:pStyle w:val="Heading2"/>
      </w:pPr>
      <w:r>
        <w:t xml:space="preserve">Overall landscape of FOSS AI tool usage policies</w:t>
      </w:r>
    </w:p>
    <w:p>
      <w:pPr>
        <w:numPr>
          <w:ilvl w:val="0"/>
          <w:numId w:val="1038"/>
        </w:numPr>
      </w:pPr>
      <w:r>
        <w:t xml:space="preserve">Kate Holterhoff, "The Generative AI Policy Landscape in Open Source". RedMonk article, 26 Feb 2026.</w:t>
      </w:r>
      <w:r>
        <w:t xml:space="preserve"> </w:t>
      </w:r>
      <w:hyperlink r:id="rId233">
        <w:r>
          <w:rPr>
            <w:rStyle w:val="Hyperlink"/>
          </w:rPr>
          <w:t xml:space="preserve">https://redmonk.com/kholterhoff/2026/02/26/generative-ai-policy-landscape-in-open-source</w:t>
        </w:r>
      </w:hyperlink>
    </w:p>
    <w:p>
      <w:pPr>
        <w:numPr>
          <w:ilvl w:val="0"/>
          <w:numId w:val="1038"/>
        </w:numPr>
      </w:pPr>
      <w:r>
        <w:t xml:space="preserve">Melissa Weber Mendonça, list of open source AI contribution policies.</w:t>
      </w:r>
      <w:r>
        <w:t xml:space="preserve"> </w:t>
      </w:r>
      <w:hyperlink r:id="rId234">
        <w:r>
          <w:rPr>
            <w:rStyle w:val="Hyperlink"/>
          </w:rPr>
          <w:t xml:space="preserve">https://github.com/melissawm/open-source-ai-contribution-policies</w:t>
        </w:r>
      </w:hyperlink>
      <w:r>
        <w:t xml:space="preserve">]</w:t>
      </w:r>
    </w:p>
    <w:bookmarkEnd w:id="235"/>
    <w:bookmarkEnd w:id="2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https://www.gnu.org/licenses/gpl-3.0.html</w:t>
        </w:r>
      </w:hyperlink>
    </w:p>
  </w:footnote>
  <w:footnote w:id="31">
    <w:p>
      <w:pPr>
        <w:pStyle w:val="FootnoteText"/>
      </w:pPr>
      <w:r>
        <w:rPr>
          <w:rStyle w:val="FootnoteReference"/>
        </w:rPr>
        <w:footnoteRef/>
      </w:r>
      <w:r>
        <w:t xml:space="preserve"> </w:t>
      </w:r>
      <w:hyperlink r:id="rId32">
        <w:r>
          <w:rPr>
            <w:rStyle w:val="Hyperlink"/>
          </w:rPr>
          <w:t xml:space="preserve">https://opensource.org/license/mit</w:t>
        </w:r>
      </w:hyperlink>
    </w:p>
  </w:footnote>
  <w:footnote w:id="33">
    <w:p>
      <w:pPr>
        <w:pStyle w:val="FootnoteText"/>
      </w:pPr>
      <w:r>
        <w:rPr>
          <w:rStyle w:val="FootnoteReference"/>
        </w:rPr>
        <w:footnoteRef/>
      </w:r>
      <w:r>
        <w:t xml:space="preserve"> </w:t>
      </w:r>
      <w:hyperlink r:id="rId34">
        <w:r>
          <w:rPr>
            <w:rStyle w:val="Hyperlink"/>
          </w:rPr>
          <w:t xml:space="preserve">https://www.apache.org/licenses/LICENSE-2.0</w:t>
        </w:r>
      </w:hyperlink>
    </w:p>
  </w:footnote>
  <w:footnote w:id="35">
    <w:p>
      <w:pPr>
        <w:pStyle w:val="FootnoteText"/>
      </w:pPr>
      <w:r>
        <w:rPr>
          <w:rStyle w:val="FootnoteReference"/>
        </w:rPr>
        <w:footnoteRef/>
      </w:r>
      <w:r>
        <w:t xml:space="preserve"> </w:t>
      </w:r>
      <w:hyperlink r:id="rId36">
        <w:r>
          <w:rPr>
            <w:rStyle w:val="Hyperlink"/>
          </w:rPr>
          <w:t xml:space="preserve">https://opensource.org/licenses</w:t>
        </w:r>
      </w:hyperlink>
    </w:p>
  </w:footnote>
  <w:footnote w:id="37">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2">
    <w:p>
      <w:pPr>
        <w:pStyle w:val="FootnoteText"/>
      </w:pPr>
      <w:r>
        <w:rPr>
          <w:rStyle w:val="FootnoteReference"/>
        </w:rPr>
        <w:footnoteRef/>
      </w:r>
      <w:r>
        <w:t xml:space="preserve"> </w:t>
      </w:r>
      <w:hyperlink r:id="rId43">
        <w:r>
          <w:rPr>
            <w:rStyle w:val="Hyperlink"/>
          </w:rPr>
          <w:t xml:space="preserve">https://wmo.int/wmo-unified-data-policy-resolution-res1</w:t>
        </w:r>
      </w:hyperlink>
    </w:p>
  </w:footnote>
  <w:footnote w:id="52">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3">
        <w:r>
          <w:rPr>
            <w:rStyle w:val="Hyperlink"/>
          </w:rPr>
          <w:t xml:space="preserve">https://digital-strategy.ec.europa.eu/en/library/study-about-impact-open-source-software-and-hardware-technological-independence-competitiveness-and</w:t>
        </w:r>
      </w:hyperlink>
    </w:p>
  </w:footnote>
  <w:footnote w:id="54">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5">
        <w:r>
          <w:rPr>
            <w:rStyle w:val="Hyperlink"/>
          </w:rPr>
          <w:t xml:space="preserve">https://blogs.worldbank.org/en/opendata/leveraging-open-source-public-institution-new-analysis-reveals-significant-returns-investment-open</w:t>
        </w:r>
      </w:hyperlink>
    </w:p>
  </w:footnote>
  <w:footnote w:id="60">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1">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2">
        <w:r>
          <w:rPr>
            <w:rStyle w:val="Hyperlink"/>
          </w:rPr>
          <w:t xml:space="preserve">https://interoperable-europe.ec.europa.eu/collection/open-source-observatory-osor/open-source-software-country-intelligence</w:t>
        </w:r>
      </w:hyperlink>
    </w:p>
  </w:footnote>
  <w:footnote w:id="63">
    <w:p>
      <w:pPr>
        <w:pStyle w:val="FootnoteText"/>
      </w:pPr>
      <w:r>
        <w:rPr>
          <w:rStyle w:val="FootnoteReference"/>
        </w:rPr>
        <w:footnoteRef/>
      </w:r>
      <w:r>
        <w:t xml:space="preserve"> </w:t>
      </w:r>
      <w:r>
        <w:t xml:space="preserve">OMB Memorandum M-16-21, August 2016:</w:t>
      </w:r>
      <w:r>
        <w:t xml:space="preserve"> </w:t>
      </w:r>
      <w:hyperlink r:id="rId64">
        <w:r>
          <w:rPr>
            <w:rStyle w:val="Hyperlink"/>
          </w:rPr>
          <w:t xml:space="preserve">https://digital.gov/resources/requirements-for-achieving-efficiency-transparency-and-innovation-through-reusable-and-open-source-software</w:t>
        </w:r>
      </w:hyperlink>
    </w:p>
  </w:footnote>
  <w:footnote w:id="65">
    <w:p>
      <w:pPr>
        <w:pStyle w:val="FootnoteText"/>
      </w:pPr>
      <w:r>
        <w:rPr>
          <w:rStyle w:val="FootnoteReference"/>
        </w:rPr>
        <w:footnoteRef/>
      </w:r>
      <w:r>
        <w:t xml:space="preserve"> </w:t>
      </w:r>
      <w:hyperlink r:id="rId66">
        <w:r>
          <w:rPr>
            <w:rStyle w:val="Hyperlink"/>
          </w:rPr>
          <w:t xml:space="preserve">https://www.canada.ca/en/government/system/digital-government/digital-government-innovations/open-source-software/open-first-whitepaper.html</w:t>
        </w:r>
      </w:hyperlink>
    </w:p>
  </w:footnote>
  <w:footnote w:id="67">
    <w:p>
      <w:pPr>
        <w:pStyle w:val="FootnoteText"/>
      </w:pPr>
      <w:r>
        <w:rPr>
          <w:rStyle w:val="FootnoteReference"/>
        </w:rPr>
        <w:footnoteRef/>
      </w:r>
      <w:r>
        <w:t xml:space="preserve"> </w:t>
      </w:r>
      <w:hyperlink r:id="rId68">
        <w:r>
          <w:rPr>
            <w:rStyle w:val="Hyperlink"/>
          </w:rPr>
          <w:t xml:space="preserve">https://www.data.govt.nz/manage-data/policies/nzgoal/nzgoal-se-guidance-note-1/</w:t>
        </w:r>
      </w:hyperlink>
    </w:p>
  </w:footnote>
  <w:footnote w:id="69">
    <w:p>
      <w:pPr>
        <w:pStyle w:val="FootnoteText"/>
      </w:pPr>
      <w:r>
        <w:rPr>
          <w:rStyle w:val="FootnoteReference"/>
        </w:rPr>
        <w:footnoteRef/>
      </w:r>
      <w:r>
        <w:t xml:space="preserve"> </w:t>
      </w:r>
      <w:r>
        <w:t xml:space="preserve">Ministry of Electronics and Information Technology (MeitY), 2015:</w:t>
      </w:r>
      <w:r>
        <w:t xml:space="preserve"> </w:t>
      </w:r>
      <w:hyperlink r:id="rId70">
        <w:r>
          <w:rPr>
            <w:rStyle w:val="Hyperlink"/>
          </w:rPr>
          <w:t xml:space="preserve">https://www.meity.gov.in/static/uploads/2024/02/policy_on_adoption_of_oss.pdf</w:t>
        </w:r>
      </w:hyperlink>
    </w:p>
  </w:footnote>
  <w:footnote w:id="71">
    <w:p>
      <w:pPr>
        <w:pStyle w:val="FootnoteText"/>
      </w:pPr>
      <w:r>
        <w:rPr>
          <w:rStyle w:val="FootnoteReference"/>
        </w:rPr>
        <w:footnoteRef/>
      </w:r>
      <w:r>
        <w:t xml:space="preserve"> </w:t>
      </w:r>
      <w:r>
        <w:t xml:space="preserve">Information-technology Promotion Agency (IPA), 2024:</w:t>
      </w:r>
      <w:r>
        <w:t xml:space="preserve"> </w:t>
      </w:r>
      <w:hyperlink r:id="rId72">
        <w:r>
          <w:rPr>
            <w:rStyle w:val="Hyperlink"/>
          </w:rPr>
          <w:t xml:space="preserve">https://interoperable-europe.ec.europa.eu/collection/open-source-observatory-osor/news/japans-2024-open-source-promotion-report</w:t>
        </w:r>
      </w:hyperlink>
    </w:p>
  </w:footnote>
  <w:footnote w:id="73">
    <w:p>
      <w:pPr>
        <w:pStyle w:val="FootnoteText"/>
      </w:pPr>
      <w:r>
        <w:rPr>
          <w:rStyle w:val="FootnoteReference"/>
        </w:rPr>
        <w:footnoteRef/>
      </w:r>
      <w:r>
        <w:t xml:space="preserve"> </w:t>
      </w:r>
      <w:hyperlink r:id="rId74">
        <w:r>
          <w:rPr>
            <w:rStyle w:val="Hyperlink"/>
          </w:rPr>
          <w:t xml:space="preserve">https://fsfe.org/activities/publiccode/index.en.html</w:t>
        </w:r>
      </w:hyperlink>
    </w:p>
  </w:footnote>
  <w:footnote w:id="75">
    <w:p>
      <w:pPr>
        <w:pStyle w:val="FootnoteText"/>
      </w:pPr>
      <w:r>
        <w:rPr>
          <w:rStyle w:val="FootnoteReference"/>
        </w:rPr>
        <w:footnoteRef/>
      </w:r>
      <w:r>
        <w:t xml:space="preserve"> </w:t>
      </w:r>
      <w:r>
        <w:t xml:space="preserve">Regulation (EU) 2024/903:</w:t>
      </w:r>
      <w:r>
        <w:t xml:space="preserve"> </w:t>
      </w:r>
      <w:hyperlink r:id="rId76">
        <w:r>
          <w:rPr>
            <w:rStyle w:val="Hyperlink"/>
          </w:rPr>
          <w:t xml:space="preserve">https://interoperable-europe.ec.europa.eu/interoperable-europe/interoperable-europe-act</w:t>
        </w:r>
      </w:hyperlink>
    </w:p>
  </w:footnote>
  <w:footnote w:id="77">
    <w:p>
      <w:pPr>
        <w:pStyle w:val="FootnoteText"/>
      </w:pPr>
      <w:r>
        <w:rPr>
          <w:rStyle w:val="FootnoteReference"/>
        </w:rPr>
        <w:footnoteRef/>
      </w:r>
      <w:r>
        <w:t xml:space="preserve"> </w:t>
      </w:r>
      <w:hyperlink r:id="rId78">
        <w:r>
          <w:rPr>
            <w:rStyle w:val="Hyperlink"/>
          </w:rPr>
          <w:t xml:space="preserve">https://wiki.osgeo.org/wiki/Local_Chapters</w:t>
        </w:r>
      </w:hyperlink>
    </w:p>
  </w:footnote>
  <w:footnote w:id="99">
    <w:p>
      <w:pPr>
        <w:pStyle w:val="FootnoteText"/>
      </w:pPr>
      <w:r>
        <w:rPr>
          <w:rStyle w:val="FootnoteReference"/>
        </w:rPr>
        <w:footnoteRef/>
      </w:r>
      <w:r>
        <w:t xml:space="preserve"> </w:t>
      </w:r>
      <w:hyperlink r:id="rId100">
        <w:r>
          <w:rPr>
            <w:rStyle w:val="Hyperlink"/>
          </w:rPr>
          <w:t xml:space="preserve">https://www.osgeo.org/resources/project-graduation-checklist/</w:t>
        </w:r>
      </w:hyperlink>
    </w:p>
  </w:footnote>
  <w:footnote w:id="109">
    <w:p>
      <w:pPr>
        <w:pStyle w:val="FootnoteText"/>
      </w:pPr>
      <w:r>
        <w:rPr>
          <w:rStyle w:val="FootnoteReference"/>
        </w:rPr>
        <w:footnoteRef/>
      </w:r>
      <w:r>
        <w:t xml:space="preserve"> </w:t>
      </w:r>
      <w:hyperlink r:id="rId110">
        <w:r>
          <w:rPr>
            <w:rStyle w:val="Hyperlink"/>
          </w:rPr>
          <w:t xml:space="preserve">https://digitalpublicgoods.net/standard</w:t>
        </w:r>
      </w:hyperlink>
    </w:p>
  </w:footnote>
  <w:footnote w:id="114">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5">
        <w:r>
          <w:rPr>
            <w:rStyle w:val="Hyperlink"/>
          </w:rPr>
          <w:t xml:space="preserve">https://blogs.worldbank.org/en/opendata/leveraging-open-source-public-institution-new-analysis-reveals-significant-returns-investment-open</w:t>
        </w:r>
      </w:hyperlink>
    </w:p>
  </w:footnote>
  <w:footnote w:id="116">
    <w:p>
      <w:pPr>
        <w:pStyle w:val="FootnoteText"/>
      </w:pPr>
      <w:r>
        <w:rPr>
          <w:rStyle w:val="FootnoteReference"/>
        </w:rPr>
        <w:footnoteRef/>
      </w:r>
      <w:r>
        <w:t xml:space="preserve"> </w:t>
      </w:r>
      <w:hyperlink r:id="rId117">
        <w:r>
          <w:rPr>
            <w:rStyle w:val="Hyperlink"/>
          </w:rPr>
          <w:t xml:space="preserve">https://climate.copernicus.eu/code-earth-2025-advancing-energy-system-resilience-climate-data</w:t>
        </w:r>
      </w:hyperlink>
    </w:p>
  </w:footnote>
  <w:footnote w:id="124">
    <w:p>
      <w:pPr>
        <w:pStyle w:val="FootnoteText"/>
      </w:pPr>
      <w:r>
        <w:rPr>
          <w:rStyle w:val="FootnoteReference"/>
        </w:rPr>
        <w:footnoteRef/>
      </w:r>
      <w:r>
        <w:t xml:space="preserve"> </w:t>
      </w:r>
      <w:hyperlink r:id="rId125">
        <w:r>
          <w:rPr>
            <w:rStyle w:val="Hyperlink"/>
          </w:rPr>
          <w:t xml:space="preserve">https://wmo.int/wis-20</w:t>
        </w:r>
      </w:hyperlink>
    </w:p>
  </w:footnote>
  <w:footnote w:id="126">
    <w:p>
      <w:pPr>
        <w:pStyle w:val="FootnoteText"/>
      </w:pPr>
      <w:r>
        <w:rPr>
          <w:rStyle w:val="FootnoteReference"/>
        </w:rPr>
        <w:footnoteRef/>
      </w:r>
      <w:r>
        <w:t xml:space="preserve"> </w:t>
      </w:r>
      <w:hyperlink r:id="rId127">
        <w:r>
          <w:rPr>
            <w:rStyle w:val="Hyperlink"/>
          </w:rPr>
          <w:t xml:space="preserve">https://library.wmo.int/idviewer/66258/1147</w:t>
        </w:r>
      </w:hyperlink>
    </w:p>
  </w:footnote>
  <w:footnote w:id="128">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29">
        <w:r>
          <w:rPr>
            <w:rStyle w:val="Hyperlink"/>
          </w:rPr>
          <w:t xml:space="preserve">https://library.wmo.int/idurl/4/69050</w:t>
        </w:r>
      </w:hyperlink>
    </w:p>
  </w:footnote>
  <w:footnote w:id="130">
    <w:p>
      <w:pPr>
        <w:pStyle w:val="FootnoteText"/>
      </w:pPr>
      <w:r>
        <w:rPr>
          <w:rStyle w:val="FootnoteReference"/>
        </w:rPr>
        <w:footnoteRef/>
      </w:r>
      <w:r>
        <w:t xml:space="preserve"> </w:t>
      </w:r>
      <w:hyperlink r:id="rId131">
        <w:r>
          <w:rPr>
            <w:rStyle w:val="Hyperlink"/>
          </w:rPr>
          <w:t xml:space="preserve">https://raw.githubusercontent.com/wmo-im/wis2-guide/refs/heads/main/guide/images/architecture/c4.container.png</w:t>
        </w:r>
      </w:hyperlink>
    </w:p>
  </w:footnote>
  <w:footnote w:id="143">
    <w:p>
      <w:pPr>
        <w:pStyle w:val="FootnoteText"/>
      </w:pPr>
      <w:r>
        <w:rPr>
          <w:rStyle w:val="FootnoteReference"/>
        </w:rPr>
        <w:footnoteRef/>
      </w:r>
      <w:r>
        <w:t xml:space="preserve"> </w:t>
      </w:r>
      <w:hyperlink r:id="rId144">
        <w:r>
          <w:rPr>
            <w:rStyle w:val="Hyperlink"/>
          </w:rPr>
          <w:t xml:space="preserve">https://producingoss.com</w:t>
        </w:r>
      </w:hyperlink>
    </w:p>
  </w:footnote>
  <w:footnote w:id="146">
    <w:p>
      <w:pPr>
        <w:pStyle w:val="FootnoteText"/>
      </w:pPr>
      <w:r>
        <w:rPr>
          <w:rStyle w:val="FootnoteReference"/>
        </w:rPr>
        <w:footnoteRef/>
      </w:r>
      <w:r>
        <w:t xml:space="preserve"> </w:t>
      </w:r>
      <w:hyperlink r:id="rId147">
        <w:r>
          <w:rPr>
            <w:rStyle w:val="Hyperlink"/>
          </w:rPr>
          <w:t xml:space="preserve">https://interoperable-europe.ec.europa.eu/sites/default/files/custom-page/attachment/2026-01/osor-handbook.pdf</w:t>
        </w:r>
      </w:hyperlink>
    </w:p>
  </w:footnote>
  <w:footnote w:id="149">
    <w:p>
      <w:pPr>
        <w:pStyle w:val="FootnoteText"/>
      </w:pPr>
      <w:r>
        <w:rPr>
          <w:rStyle w:val="FootnoteReference"/>
        </w:rPr>
        <w:footnoteRef/>
      </w:r>
      <w:r>
        <w:t xml:space="preserve"> </w:t>
      </w:r>
      <w:hyperlink r:id="rId150">
        <w:r>
          <w:rPr>
            <w:rStyle w:val="Hyperlink"/>
          </w:rPr>
          <w:t xml:space="preserve">https://assets.public.digital/Open_Source_Report.pdf</w:t>
        </w:r>
      </w:hyperlink>
    </w:p>
  </w:footnote>
  <w:footnote w:id="152">
    <w:p>
      <w:pPr>
        <w:pStyle w:val="FootnoteText"/>
      </w:pPr>
      <w:r>
        <w:rPr>
          <w:rStyle w:val="FootnoteReference"/>
        </w:rPr>
        <w:footnoteRef/>
      </w:r>
      <w:r>
        <w:t xml:space="preserve"> </w:t>
      </w:r>
      <w:hyperlink r:id="rId74">
        <w:r>
          <w:rPr>
            <w:rStyle w:val="Hyperlink"/>
          </w:rPr>
          <w:t xml:space="preserve">https://fsfe.org/activities/publiccode/index.en.html</w:t>
        </w:r>
      </w:hyperlink>
    </w:p>
  </w:footnote>
  <w:footnote w:id="155">
    <w:p>
      <w:pPr>
        <w:pStyle w:val="FootnoteText"/>
      </w:pPr>
      <w:r>
        <w:rPr>
          <w:rStyle w:val="FootnoteReference"/>
        </w:rPr>
        <w:footnoteRef/>
      </w:r>
      <w:r>
        <w:t xml:space="preserve"> </w:t>
      </w:r>
      <w:hyperlink r:id="rId53">
        <w:r>
          <w:rPr>
            <w:rStyle w:val="Hyperlink"/>
          </w:rPr>
          <w:t xml:space="preserve">https://digital-strategy.ec.europa.eu/en/library/study-about-impact-open-source-software-and-hardware-technological-independence-competitiveness-and</w:t>
        </w:r>
      </w:hyperlink>
    </w:p>
  </w:footnote>
  <w:footnote w:id="157">
    <w:p>
      <w:pPr>
        <w:pStyle w:val="FootnoteText"/>
      </w:pPr>
      <w:r>
        <w:rPr>
          <w:rStyle w:val="FootnoteReference"/>
        </w:rPr>
        <w:footnoteRef/>
      </w:r>
      <w:r>
        <w:t xml:space="preserve"> </w:t>
      </w:r>
      <w:hyperlink r:id="rId55">
        <w:r>
          <w:rPr>
            <w:rStyle w:val="Hyperlink"/>
          </w:rPr>
          <w:t xml:space="preserve">https://blogs.worldbank.org/en/opendata/leveraging-open-source-public-institution-new-analysis-reveals-significant-returns-investment-open</w:t>
        </w:r>
      </w:hyperlink>
    </w:p>
  </w:footnote>
  <w:footnote w:id="159">
    <w:p>
      <w:pPr>
        <w:pStyle w:val="FootnoteText"/>
      </w:pPr>
      <w:r>
        <w:rPr>
          <w:rStyle w:val="FootnoteReference"/>
        </w:rPr>
        <w:footnoteRef/>
      </w:r>
      <w:r>
        <w:t xml:space="preserve"> </w:t>
      </w:r>
      <w:hyperlink r:id="rId160">
        <w:r>
          <w:rPr>
            <w:rStyle w:val="Hyperlink"/>
          </w:rPr>
          <w:t xml:space="preserve">https://www.linuxfoundation.org/research/contribution-roi</w:t>
        </w:r>
      </w:hyperlink>
    </w:p>
  </w:footnote>
  <w:footnote w:id="163">
    <w:p>
      <w:pPr>
        <w:pStyle w:val="FootnoteText"/>
      </w:pPr>
      <w:r>
        <w:rPr>
          <w:rStyle w:val="FootnoteReference"/>
        </w:rPr>
        <w:footnoteRef/>
      </w:r>
      <w:r>
        <w:t xml:space="preserve"> </w:t>
      </w:r>
      <w:hyperlink r:id="rId164">
        <w:r>
          <w:rPr>
            <w:rStyle w:val="Hyperlink"/>
          </w:rPr>
          <w:t xml:space="preserve">https://commission.europa.eu/about/departments-and-executive-agencies/digital-services/open-source-software-strategy_en</w:t>
        </w:r>
      </w:hyperlink>
    </w:p>
  </w:footnote>
  <w:footnote w:id="166">
    <w:p>
      <w:pPr>
        <w:pStyle w:val="FootnoteText"/>
      </w:pPr>
      <w:r>
        <w:rPr>
          <w:rStyle w:val="FootnoteReference"/>
        </w:rPr>
        <w:footnoteRef/>
      </w:r>
      <w:r>
        <w:t xml:space="preserve"> </w:t>
      </w:r>
      <w:hyperlink r:id="rId76">
        <w:r>
          <w:rPr>
            <w:rStyle w:val="Hyperlink"/>
          </w:rPr>
          <w:t xml:space="preserve">https://interoperable-europe.ec.europa.eu/interoperable-europe/interoperable-europe-act</w:t>
        </w:r>
      </w:hyperlink>
    </w:p>
  </w:footnote>
  <w:footnote w:id="168">
    <w:p>
      <w:pPr>
        <w:pStyle w:val="FootnoteText"/>
      </w:pPr>
      <w:r>
        <w:rPr>
          <w:rStyle w:val="FootnoteReference"/>
        </w:rPr>
        <w:footnoteRef/>
      </w:r>
      <w:r>
        <w:t xml:space="preserve"> </w:t>
      </w:r>
      <w:hyperlink r:id="rId169">
        <w:r>
          <w:rPr>
            <w:rStyle w:val="Hyperlink"/>
          </w:rPr>
          <w:t xml:space="preserve">https://digital-strategy.ec.europa.eu/en/policies/cra-open-source</w:t>
        </w:r>
      </w:hyperlink>
    </w:p>
  </w:footnote>
  <w:footnote w:id="171">
    <w:p>
      <w:pPr>
        <w:pStyle w:val="FootnoteText"/>
      </w:pPr>
      <w:r>
        <w:rPr>
          <w:rStyle w:val="FootnoteReference"/>
        </w:rPr>
        <w:footnoteRef/>
      </w:r>
      <w:r>
        <w:t xml:space="preserve"> </w:t>
      </w:r>
      <w:hyperlink r:id="rId64">
        <w:r>
          <w:rPr>
            <w:rStyle w:val="Hyperlink"/>
          </w:rPr>
          <w:t xml:space="preserve">https://digital.gov/resources/requirements-for-achieving-efficiency-transparency-and-innovation-through-reusable-and-open-source-software</w:t>
        </w:r>
      </w:hyperlink>
    </w:p>
  </w:footnote>
  <w:footnote w:id="173">
    <w:p>
      <w:pPr>
        <w:pStyle w:val="FootnoteText"/>
      </w:pPr>
      <w:r>
        <w:rPr>
          <w:rStyle w:val="FootnoteReference"/>
        </w:rPr>
        <w:footnoteRef/>
      </w:r>
      <w:r>
        <w:t xml:space="preserve"> </w:t>
      </w:r>
      <w:hyperlink r:id="rId66">
        <w:r>
          <w:rPr>
            <w:rStyle w:val="Hyperlink"/>
          </w:rPr>
          <w:t xml:space="preserve">https://www.canada.ca/en/government/system/digital-government/digital-government-innovations/open-source-software/open-first-whitepaper.html</w:t>
        </w:r>
      </w:hyperlink>
    </w:p>
  </w:footnote>
  <w:footnote w:id="175">
    <w:p>
      <w:pPr>
        <w:pStyle w:val="FootnoteText"/>
      </w:pPr>
      <w:r>
        <w:rPr>
          <w:rStyle w:val="FootnoteReference"/>
        </w:rPr>
        <w:footnoteRef/>
      </w:r>
      <w:r>
        <w:t xml:space="preserve"> </w:t>
      </w:r>
      <w:hyperlink r:id="rId68">
        <w:r>
          <w:rPr>
            <w:rStyle w:val="Hyperlink"/>
          </w:rPr>
          <w:t xml:space="preserve">https://www.data.govt.nz/manage-data/policies/nzgoal/nzgoal-se-guidance-note-1/</w:t>
        </w:r>
      </w:hyperlink>
    </w:p>
  </w:footnote>
  <w:footnote w:id="177">
    <w:p>
      <w:pPr>
        <w:pStyle w:val="FootnoteText"/>
      </w:pPr>
      <w:r>
        <w:rPr>
          <w:rStyle w:val="FootnoteReference"/>
        </w:rPr>
        <w:footnoteRef/>
      </w:r>
      <w:r>
        <w:t xml:space="preserve"> </w:t>
      </w:r>
      <w:hyperlink r:id="rId70">
        <w:r>
          <w:rPr>
            <w:rStyle w:val="Hyperlink"/>
          </w:rPr>
          <w:t xml:space="preserve">https://www.meity.gov.in/static/uploads/2024/02/policy_on_adoption_of_oss.pdf</w:t>
        </w:r>
      </w:hyperlink>
    </w:p>
  </w:footnote>
  <w:footnote w:id="179">
    <w:p>
      <w:pPr>
        <w:pStyle w:val="FootnoteText"/>
      </w:pPr>
      <w:r>
        <w:rPr>
          <w:rStyle w:val="FootnoteReference"/>
        </w:rPr>
        <w:footnoteRef/>
      </w:r>
      <w:r>
        <w:t xml:space="preserve"> </w:t>
      </w:r>
      <w:hyperlink r:id="rId72">
        <w:r>
          <w:rPr>
            <w:rStyle w:val="Hyperlink"/>
          </w:rPr>
          <w:t xml:space="preserve">https://interoperable-europe.ec.europa.eu/collection/open-source-observatory-osor/news/japans-2024-open-source-promotion-report</w:t>
        </w:r>
      </w:hyperlink>
    </w:p>
  </w:footnote>
  <w:footnote w:id="181">
    <w:p>
      <w:pPr>
        <w:pStyle w:val="FootnoteText"/>
      </w:pPr>
      <w:r>
        <w:rPr>
          <w:rStyle w:val="FootnoteReference"/>
        </w:rPr>
        <w:footnoteRef/>
      </w:r>
      <w:r>
        <w:t xml:space="preserve"> </w:t>
      </w:r>
      <w:hyperlink r:id="rId182">
        <w:r>
          <w:rPr>
            <w:rStyle w:val="Hyperlink"/>
          </w:rPr>
          <w:t xml:space="preserve">https://github.com/spbgovbr</w:t>
        </w:r>
      </w:hyperlink>
    </w:p>
  </w:footnote>
  <w:footnote w:id="184">
    <w:p>
      <w:pPr>
        <w:pStyle w:val="FootnoteText"/>
      </w:pPr>
      <w:r>
        <w:rPr>
          <w:rStyle w:val="FootnoteReference"/>
        </w:rPr>
        <w:footnoteRef/>
      </w:r>
      <w:r>
        <w:t xml:space="preserve"> </w:t>
      </w:r>
      <w:hyperlink r:id="rId185">
        <w:r>
          <w:rPr>
            <w:rStyle w:val="Hyperlink"/>
          </w:rPr>
          <w:t xml:space="preserve">https://au.int/sites/default/files/documents/38507-doc-dts-english.pdf</w:t>
        </w:r>
      </w:hyperlink>
    </w:p>
  </w:footnote>
  <w:footnote w:id="187">
    <w:p>
      <w:pPr>
        <w:pStyle w:val="FootnoteText"/>
      </w:pPr>
      <w:r>
        <w:rPr>
          <w:rStyle w:val="FootnoteReference"/>
        </w:rPr>
        <w:footnoteRef/>
      </w:r>
      <w:r>
        <w:t xml:space="preserve"> </w:t>
      </w:r>
      <w:hyperlink r:id="rId61">
        <w:r>
          <w:rPr>
            <w:rStyle w:val="Hyperlink"/>
          </w:rPr>
          <w:t xml:space="preserve">https://www.csis.org/programs/strategic-technologies-program/resources/government-open-source-software-policies</w:t>
        </w:r>
      </w:hyperlink>
    </w:p>
  </w:footnote>
  <w:footnote w:id="190">
    <w:p>
      <w:pPr>
        <w:pStyle w:val="FootnoteText"/>
      </w:pPr>
      <w:r>
        <w:rPr>
          <w:rStyle w:val="FootnoteReference"/>
        </w:rPr>
        <w:footnoteRef/>
      </w:r>
      <w:r>
        <w:t xml:space="preserve"> </w:t>
      </w:r>
      <w:hyperlink r:id="rId110">
        <w:r>
          <w:rPr>
            <w:rStyle w:val="Hyperlink"/>
          </w:rPr>
          <w:t xml:space="preserve">https://digitalpublicgoods.net/standard</w:t>
        </w:r>
      </w:hyperlink>
    </w:p>
  </w:footnote>
  <w:footnote w:id="192">
    <w:p>
      <w:pPr>
        <w:pStyle w:val="FootnoteText"/>
      </w:pPr>
      <w:r>
        <w:rPr>
          <w:rStyle w:val="FootnoteReference"/>
        </w:rPr>
        <w:footnoteRef/>
      </w:r>
      <w:r>
        <w:t xml:space="preserve"> </w:t>
      </w:r>
      <w:hyperlink r:id="rId111">
        <w:r>
          <w:rPr>
            <w:rStyle w:val="Hyperlink"/>
          </w:rPr>
          <w:t xml:space="preserve">https://www.undp.org/digital/osee</w:t>
        </w:r>
      </w:hyperlink>
    </w:p>
  </w:footnote>
  <w:footnote w:id="194">
    <w:p>
      <w:pPr>
        <w:pStyle w:val="FootnoteText"/>
      </w:pPr>
      <w:r>
        <w:rPr>
          <w:rStyle w:val="FootnoteReference"/>
        </w:rPr>
        <w:footnoteRef/>
      </w:r>
      <w:r>
        <w:t xml:space="preserve"> </w:t>
      </w:r>
      <w:hyperlink r:id="rId195">
        <w:r>
          <w:rPr>
            <w:rStyle w:val="Hyperlink"/>
          </w:rPr>
          <w:t xml:space="preserve">https://www.undp.org/digital/standards/9-default-to-Open</w:t>
        </w:r>
      </w:hyperlink>
    </w:p>
  </w:footnote>
  <w:footnote w:id="197">
    <w:p>
      <w:pPr>
        <w:pStyle w:val="FootnoteText"/>
      </w:pPr>
      <w:r>
        <w:rPr>
          <w:rStyle w:val="FootnoteReference"/>
        </w:rPr>
        <w:footnoteRef/>
      </w:r>
      <w:r>
        <w:t xml:space="preserve"> </w:t>
      </w:r>
      <w:hyperlink r:id="rId198">
        <w:r>
          <w:rPr>
            <w:rStyle w:val="Hyperlink"/>
          </w:rPr>
          <w:t xml:space="preserve">https://documents.worldbank.org/en/publication/documents-reports/documentdetail/672901582561140400/open-source-for-global-public-goods</w:t>
        </w:r>
      </w:hyperlink>
    </w:p>
  </w:footnote>
  <w:footnote w:id="200">
    <w:p>
      <w:pPr>
        <w:pStyle w:val="FootnoteText"/>
      </w:pPr>
      <w:r>
        <w:rPr>
          <w:rStyle w:val="FootnoteReference"/>
        </w:rPr>
        <w:footnoteRef/>
      </w:r>
      <w:r>
        <w:t xml:space="preserve"> </w:t>
      </w:r>
      <w:hyperlink r:id="rId62">
        <w:r>
          <w:rPr>
            <w:rStyle w:val="Hyperlink"/>
          </w:rPr>
          <w:t xml:space="preserve">https://interoperable-europe.ec.europa.eu/collection/open-source-observatory-osor/open-source-software-country-intelligence</w:t>
        </w:r>
      </w:hyperlink>
    </w:p>
  </w:footnote>
  <w:footnote w:id="203">
    <w:p>
      <w:pPr>
        <w:pStyle w:val="FootnoteText"/>
      </w:pPr>
      <w:r>
        <w:rPr>
          <w:rStyle w:val="FootnoteReference"/>
        </w:rPr>
        <w:footnoteRef/>
      </w:r>
      <w:r>
        <w:t xml:space="preserve"> </w:t>
      </w:r>
      <w:hyperlink r:id="rId204">
        <w:r>
          <w:rPr>
            <w:rStyle w:val="Hyperlink"/>
          </w:rPr>
          <w:t xml:space="preserve">https://www.ecmwf.int/en/research/projects/openifs</w:t>
        </w:r>
      </w:hyperlink>
    </w:p>
  </w:footnote>
  <w:footnote w:id="206">
    <w:p>
      <w:pPr>
        <w:pStyle w:val="FootnoteText"/>
      </w:pPr>
      <w:r>
        <w:rPr>
          <w:rStyle w:val="FootnoteReference"/>
        </w:rPr>
        <w:footnoteRef/>
      </w:r>
      <w:r>
        <w:t xml:space="preserve"> </w:t>
      </w:r>
      <w:hyperlink r:id="rId117">
        <w:r>
          <w:rPr>
            <w:rStyle w:val="Hyperlink"/>
          </w:rPr>
          <w:t xml:space="preserve">https://climate.copernicus.eu/code-earth-2025-advancing-energy-system-resilience-climate-data</w:t>
        </w:r>
      </w:hyperlink>
    </w:p>
  </w:footnote>
  <w:footnote w:id="208">
    <w:p>
      <w:pPr>
        <w:pStyle w:val="FootnoteText"/>
      </w:pPr>
      <w:r>
        <w:rPr>
          <w:rStyle w:val="FootnoteReference"/>
        </w:rPr>
        <w:footnoteRef/>
      </w:r>
      <w:r>
        <w:t xml:space="preserve"> </w:t>
      </w:r>
      <w:hyperlink r:id="rId129">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0" Target="https://assets.public.digital/Open_Source_Report.pdf" TargetMode="External" /><Relationship Type="http://schemas.openxmlformats.org/officeDocument/2006/relationships/hyperlink" Id="rId185" Target="https://au.int/sites/default/files/documents/38507-doc-dts-english.pdf" TargetMode="External" /><Relationship Type="http://schemas.openxmlformats.org/officeDocument/2006/relationships/hyperlink" Id="rId55" Target="https://blogs.worldbank.org/en/opendata/leveraging-open-source-public-institution-new-analysis-reveals-significant-returns-investment-open" TargetMode="External" /><Relationship Type="http://schemas.openxmlformats.org/officeDocument/2006/relationships/hyperlink" Id="rId117" Target="https://climate.copernicus.eu/code-earth-2025-advancing-energy-system-resilience-climate-data" TargetMode="External" /><Relationship Type="http://schemas.openxmlformats.org/officeDocument/2006/relationships/hyperlink" Id="rId83" Target="https://codeberg.org" TargetMode="External" /><Relationship Type="http://schemas.openxmlformats.org/officeDocument/2006/relationships/hyperlink" Id="rId164"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1" Target="https://conda-forge.org" TargetMode="External" /><Relationship Type="http://schemas.openxmlformats.org/officeDocument/2006/relationships/hyperlink" Id="rId216" Target="https://data.ecmwf.int/" TargetMode="External" /><Relationship Type="http://schemas.openxmlformats.org/officeDocument/2006/relationships/hyperlink" Id="rId229" Target="https://devguide.python.org/getting-started/generative-ai/" TargetMode="External" /><Relationship Type="http://schemas.openxmlformats.org/officeDocument/2006/relationships/hyperlink" Id="rId53" Target="https://digital-strategy.ec.europa.eu/en/library/study-about-impact-open-source-software-and-hardware-technological-independence-competitiveness-and" TargetMode="External" /><Relationship Type="http://schemas.openxmlformats.org/officeDocument/2006/relationships/hyperlink" Id="rId169" Target="https://digital-strategy.ec.europa.eu/en/policies/cra-open-source" TargetMode="External" /><Relationship Type="http://schemas.openxmlformats.org/officeDocument/2006/relationships/hyperlink" Id="rId213" Target="https://digital-strategy.ec.europa.eu/en/policies/legislation-open-data" TargetMode="External" /><Relationship Type="http://schemas.openxmlformats.org/officeDocument/2006/relationships/hyperlink" Id="rId64" Target="https://digital.gov/resources/requirements-for-achieving-efficiency-transparency-and-innovation-through-reusable-and-open-source-software" TargetMode="External" /><Relationship Type="http://schemas.openxmlformats.org/officeDocument/2006/relationships/hyperlink" Id="rId110" Target="https://digitalpublicgoods.net/standard" TargetMode="External" /><Relationship Type="http://schemas.openxmlformats.org/officeDocument/2006/relationships/hyperlink" Id="rId223" Target="https://discuss.scientific-python.org/t/blog-community-considerations-around-ai-contributions/2234" TargetMode="External" /><Relationship Type="http://schemas.openxmlformats.org/officeDocument/2006/relationships/hyperlink" Id="rId132" Target="https://docs.wis2box.wis.wmo.int" TargetMode="External" /><Relationship Type="http://schemas.openxmlformats.org/officeDocument/2006/relationships/hyperlink" Id="rId198" Target="https://documents.worldbank.org/en/publication/documents-reports/documentdetail/672901582561140400/open-source-for-global-public-goods" TargetMode="External" /><Relationship Type="http://schemas.openxmlformats.org/officeDocument/2006/relationships/hyperlink" Id="rId88" Target="https://forgejo.org" TargetMode="External" /><Relationship Type="http://schemas.openxmlformats.org/officeDocument/2006/relationships/hyperlink" Id="rId115" Target="https://foss4g.org" TargetMode="External" /><Relationship Type="http://schemas.openxmlformats.org/officeDocument/2006/relationships/hyperlink" Id="rId74" Target="https://fsfe.org/activities/publiccode/index.en.html" TargetMode="External" /><Relationship Type="http://schemas.openxmlformats.org/officeDocument/2006/relationships/hyperlink" Id="rId225" Target="https://gdal.org/en/stable/community/ai_tool_policy.html" TargetMode="External" /><Relationship Type="http://schemas.openxmlformats.org/officeDocument/2006/relationships/hyperlink" Id="rId87" Target="https://gitea.io" TargetMode="External" /><Relationship Type="http://schemas.openxmlformats.org/officeDocument/2006/relationships/hyperlink" Id="rId81" Target="https://github.com" TargetMode="External" /><Relationship Type="http://schemas.openxmlformats.org/officeDocument/2006/relationships/hyperlink" Id="rId134" Target="https://github.com/World-Meteorological-Organization/csv2bufr" TargetMode="External" /><Relationship Type="http://schemas.openxmlformats.org/officeDocument/2006/relationships/hyperlink" Id="rId136" Target="https://github.com/World-Meteorological-Organization/pywis-pubsub" TargetMode="External" /><Relationship Type="http://schemas.openxmlformats.org/officeDocument/2006/relationships/hyperlink" Id="rId135" Target="https://github.com/World-Meteorological-Organization/wis2downloader" TargetMode="External" /><Relationship Type="http://schemas.openxmlformats.org/officeDocument/2006/relationships/hyperlink" Id="rId234" Target="https://github.com/melissawm/open-source-ai-contribution-policies" TargetMode="External" /><Relationship Type="http://schemas.openxmlformats.org/officeDocument/2006/relationships/hyperlink" Id="rId230" Target="https://github.com/qgis/QGIS-Enhancement-Proposals/blob/master/qep-408-ai-tool-policy.md" TargetMode="External" /><Relationship Type="http://schemas.openxmlformats.org/officeDocument/2006/relationships/hyperlink" Id="rId182" Target="https://github.com/spbgovbr" TargetMode="External" /><Relationship Type="http://schemas.openxmlformats.org/officeDocument/2006/relationships/hyperlink" Id="rId133" Target="https://github.com/wmo-im/wis2-gdc" TargetMode="External" /><Relationship Type="http://schemas.openxmlformats.org/officeDocument/2006/relationships/hyperlink" Id="rId86" Target="https://gitlab.com" TargetMode="External" /><Relationship Type="http://schemas.openxmlformats.org/officeDocument/2006/relationships/hyperlink" Id="rId82" Target="https://gitlab.com/gitlab-org" TargetMode="External" /><Relationship Type="http://schemas.openxmlformats.org/officeDocument/2006/relationships/hyperlink" Id="rId72" Target="https://interoperable-europe.ec.europa.eu/collection/open-source-observatory-osor/news/japans-2024-open-source-promotion-report" TargetMode="External" /><Relationship Type="http://schemas.openxmlformats.org/officeDocument/2006/relationships/hyperlink" Id="rId62" Target="https://interoperable-europe.ec.europa.eu/collection/open-source-observatory-osor/open-source-software-country-intelligence" TargetMode="External" /><Relationship Type="http://schemas.openxmlformats.org/officeDocument/2006/relationships/hyperlink" Id="rId76" Target="https://interoperable-europe.ec.europa.eu/interoperable-europe/interoperable-europe-act" TargetMode="External" /><Relationship Type="http://schemas.openxmlformats.org/officeDocument/2006/relationships/hyperlink" Id="rId147" Target="https://interoperable-europe.ec.europa.eu/sites/default/files/custom-page/attachment/2026-01/osor-handbook.pdf" TargetMode="External" /><Relationship Type="http://schemas.openxmlformats.org/officeDocument/2006/relationships/hyperlink" Id="rId129" Target="https://library.wmo.int/idurl/4/69050" TargetMode="External" /><Relationship Type="http://schemas.openxmlformats.org/officeDocument/2006/relationships/hyperlink" Id="rId127" Target="https://library.wmo.int/idviewer/66258/1147" TargetMode="External" /><Relationship Type="http://schemas.openxmlformats.org/officeDocument/2006/relationships/hyperlink" Id="rId226" Target="https://matplotlib.org/devdocs/devel/contribute.html#generative-ai" TargetMode="External" /><Relationship Type="http://schemas.openxmlformats.org/officeDocument/2006/relationships/hyperlink" Id="rId227" Target="https://numpy.org/devdocs/dev/ai_policy.html" TargetMode="External" /><Relationship Type="http://schemas.openxmlformats.org/officeDocument/2006/relationships/hyperlink" Id="rId45" Target="https://opendefinition.org/licenses/" TargetMode="External" /><Relationship Type="http://schemas.openxmlformats.org/officeDocument/2006/relationships/hyperlink" Id="rId228" Target="https://openjdk.org/legal/ai" TargetMode="External" /><Relationship Type="http://schemas.openxmlformats.org/officeDocument/2006/relationships/hyperlink" Id="rId32" Target="https://opensource.org/license/mit" TargetMode="External" /><Relationship Type="http://schemas.openxmlformats.org/officeDocument/2006/relationships/hyperlink" Id="rId36" Target="https://opensource.org/licenses" TargetMode="External" /><Relationship Type="http://schemas.openxmlformats.org/officeDocument/2006/relationships/hyperlink" Id="rId113" Target="https://opensource.worldbank.org" TargetMode="External" /><Relationship Type="http://schemas.openxmlformats.org/officeDocument/2006/relationships/hyperlink" Id="rId106" Target="https://osgeo.org" TargetMode="External" /><Relationship Type="http://schemas.openxmlformats.org/officeDocument/2006/relationships/hyperlink" Id="rId144" Target="https://producingoss.com" TargetMode="External" /><Relationship Type="http://schemas.openxmlformats.org/officeDocument/2006/relationships/hyperlink" Id="rId121" Target="https://project.oss4geo.org/" TargetMode="External" /><Relationship Type="http://schemas.openxmlformats.org/officeDocument/2006/relationships/hyperlink" Id="rId131" Target="https://raw.githubusercontent.com/wmo-im/wis2-guide/refs/heads/main/guide/images/architecture/c4.container.png" TargetMode="External" /><Relationship Type="http://schemas.openxmlformats.org/officeDocument/2006/relationships/hyperlink" Id="rId233" Target="https://redmonk.com/kholterhoff/2026/02/26/generative-ai-policy-landscape-in-open-source" TargetMode="External" /><Relationship Type="http://schemas.openxmlformats.org/officeDocument/2006/relationships/hyperlink" Id="rId78"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5" Target="https://wmo.int/wis-20" TargetMode="External" /><Relationship Type="http://schemas.openxmlformats.org/officeDocument/2006/relationships/hyperlink" Id="rId43" Target="https://wmo.int/wmo-unified-data-policy-resolution-res1" TargetMode="External" /><Relationship Type="http://schemas.openxmlformats.org/officeDocument/2006/relationships/hyperlink" Id="rId108" Target="https://www.apache.org" TargetMode="External" /><Relationship Type="http://schemas.openxmlformats.org/officeDocument/2006/relationships/hyperlink" Id="rId34" Target="https://www.apache.org/licenses/LICENSE-2.0" TargetMode="External" /><Relationship Type="http://schemas.openxmlformats.org/officeDocument/2006/relationships/hyperlink" Id="rId219" Target="https://www.canada.ca/en/government/system/digital-government/digital-government-innovations/information-management.html" TargetMode="External" /><Relationship Type="http://schemas.openxmlformats.org/officeDocument/2006/relationships/hyperlink" Id="rId66" Target="https://www.canada.ca/en/government/system/digital-government/digital-government-innovations/open-source-software/open-first-whitepaper.html" TargetMode="External" /><Relationship Type="http://schemas.openxmlformats.org/officeDocument/2006/relationships/hyperlink" Id="rId61" Target="https://www.csis.org/programs/strategic-technologies-program/resources/government-open-source-software-policies" TargetMode="External" /><Relationship Type="http://schemas.openxmlformats.org/officeDocument/2006/relationships/hyperlink" Id="rId68" Target="https://www.data.govt.nz/manage-data/policies/nzgoal/nzgoal-se-guidance-note-1/" TargetMode="External" /><Relationship Type="http://schemas.openxmlformats.org/officeDocument/2006/relationships/hyperlink" Id="rId107" Target="https://www.digitalpublicgoods.net" TargetMode="External" /><Relationship Type="http://schemas.openxmlformats.org/officeDocument/2006/relationships/hyperlink" Id="rId215" Target="https://www.ecmwf.int/en/forecasts/access-forecasts/access-real-time-open-data" TargetMode="External" /><Relationship Type="http://schemas.openxmlformats.org/officeDocument/2006/relationships/hyperlink" Id="rId214" Target="https://www.ecmwf.int/en/forecasts/datasets/open-data" TargetMode="External" /><Relationship Type="http://schemas.openxmlformats.org/officeDocument/2006/relationships/hyperlink" Id="rId204" Target="https://www.ecmwf.int/en/research/projects/openifs" TargetMode="External" /><Relationship Type="http://schemas.openxmlformats.org/officeDocument/2006/relationships/hyperlink" Id="rId30" Target="https://www.gnu.org/licenses/gpl-3.0.html" TargetMode="External" /><Relationship Type="http://schemas.openxmlformats.org/officeDocument/2006/relationships/hyperlink" Id="rId220" Target="https://www.gov.uk/guidance/national-data-strategy" TargetMode="External" /><Relationship Type="http://schemas.openxmlformats.org/officeDocument/2006/relationships/hyperlink" Id="rId112" Target="https://www.itu.int" TargetMode="External" /><Relationship Type="http://schemas.openxmlformats.org/officeDocument/2006/relationships/hyperlink" Id="rId160" Target="https://www.linuxfoundation.org/research/contribution-roi" TargetMode="External" /><Relationship Type="http://schemas.openxmlformats.org/officeDocument/2006/relationships/hyperlink" Id="rId70" Target="https://www.meity.gov.in/static/uploads/2024/02/policy_on_adoption_of_oss.pdf" TargetMode="External" /><Relationship Type="http://schemas.openxmlformats.org/officeDocument/2006/relationships/hyperlink" Id="rId103" Target="https://www.ogc.org" TargetMode="External" /><Relationship Type="http://schemas.openxmlformats.org/officeDocument/2006/relationships/hyperlink" Id="rId100" Target="https://www.osgeo.org/resources/project-graduation-checklist/" TargetMode="External" /><Relationship Type="http://schemas.openxmlformats.org/officeDocument/2006/relationships/hyperlink" Id="rId218" Target="https://www.planalto.gov.br/ccivil_03/_Ato2015-2018/2016/Decreto/D8777.htm" TargetMode="External" /><Relationship Type="http://schemas.openxmlformats.org/officeDocument/2006/relationships/hyperlink" Id="rId111" Target="https://www.undp.org/digital/osee" TargetMode="External" /><Relationship Type="http://schemas.openxmlformats.org/officeDocument/2006/relationships/hyperlink" Id="rId195" Target="https://www.undp.org/digital/standards/9-default-to-Open" TargetMode="External" /><Relationship Type="http://schemas.openxmlformats.org/officeDocument/2006/relationships/hyperlink" Id="rId231"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0" Target="https://assets.public.digital/Open_Source_Report.pdf" TargetMode="External" /><Relationship Type="http://schemas.openxmlformats.org/officeDocument/2006/relationships/hyperlink" Id="rId185" Target="https://au.int/sites/default/files/documents/38507-doc-dts-english.pdf" TargetMode="External" /><Relationship Type="http://schemas.openxmlformats.org/officeDocument/2006/relationships/hyperlink" Id="rId55" Target="https://blogs.worldbank.org/en/opendata/leveraging-open-source-public-institution-new-analysis-reveals-significant-returns-investment-open" TargetMode="External" /><Relationship Type="http://schemas.openxmlformats.org/officeDocument/2006/relationships/hyperlink" Id="rId117" Target="https://climate.copernicus.eu/code-earth-2025-advancing-energy-system-resilience-climate-data" TargetMode="External" /><Relationship Type="http://schemas.openxmlformats.org/officeDocument/2006/relationships/hyperlink" Id="rId83" Target="https://codeberg.org" TargetMode="External" /><Relationship Type="http://schemas.openxmlformats.org/officeDocument/2006/relationships/hyperlink" Id="rId164"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1" Target="https://conda-forge.org" TargetMode="External" /><Relationship Type="http://schemas.openxmlformats.org/officeDocument/2006/relationships/hyperlink" Id="rId216" Target="https://data.ecmwf.int/" TargetMode="External" /><Relationship Type="http://schemas.openxmlformats.org/officeDocument/2006/relationships/hyperlink" Id="rId229" Target="https://devguide.python.org/getting-started/generative-ai/" TargetMode="External" /><Relationship Type="http://schemas.openxmlformats.org/officeDocument/2006/relationships/hyperlink" Id="rId53" Target="https://digital-strategy.ec.europa.eu/en/library/study-about-impact-open-source-software-and-hardware-technological-independence-competitiveness-and" TargetMode="External" /><Relationship Type="http://schemas.openxmlformats.org/officeDocument/2006/relationships/hyperlink" Id="rId169" Target="https://digital-strategy.ec.europa.eu/en/policies/cra-open-source" TargetMode="External" /><Relationship Type="http://schemas.openxmlformats.org/officeDocument/2006/relationships/hyperlink" Id="rId213" Target="https://digital-strategy.ec.europa.eu/en/policies/legislation-open-data" TargetMode="External" /><Relationship Type="http://schemas.openxmlformats.org/officeDocument/2006/relationships/hyperlink" Id="rId64" Target="https://digital.gov/resources/requirements-for-achieving-efficiency-transparency-and-innovation-through-reusable-and-open-source-software" TargetMode="External" /><Relationship Type="http://schemas.openxmlformats.org/officeDocument/2006/relationships/hyperlink" Id="rId110" Target="https://digitalpublicgoods.net/standard" TargetMode="External" /><Relationship Type="http://schemas.openxmlformats.org/officeDocument/2006/relationships/hyperlink" Id="rId223" Target="https://discuss.scientific-python.org/t/blog-community-considerations-around-ai-contributions/2234" TargetMode="External" /><Relationship Type="http://schemas.openxmlformats.org/officeDocument/2006/relationships/hyperlink" Id="rId132" Target="https://docs.wis2box.wis.wmo.int" TargetMode="External" /><Relationship Type="http://schemas.openxmlformats.org/officeDocument/2006/relationships/hyperlink" Id="rId198" Target="https://documents.worldbank.org/en/publication/documents-reports/documentdetail/672901582561140400/open-source-for-global-public-goods" TargetMode="External" /><Relationship Type="http://schemas.openxmlformats.org/officeDocument/2006/relationships/hyperlink" Id="rId88" Target="https://forgejo.org" TargetMode="External" /><Relationship Type="http://schemas.openxmlformats.org/officeDocument/2006/relationships/hyperlink" Id="rId115" Target="https://foss4g.org" TargetMode="External" /><Relationship Type="http://schemas.openxmlformats.org/officeDocument/2006/relationships/hyperlink" Id="rId74" Target="https://fsfe.org/activities/publiccode/index.en.html" TargetMode="External" /><Relationship Type="http://schemas.openxmlformats.org/officeDocument/2006/relationships/hyperlink" Id="rId225" Target="https://gdal.org/en/stable/community/ai_tool_policy.html" TargetMode="External" /><Relationship Type="http://schemas.openxmlformats.org/officeDocument/2006/relationships/hyperlink" Id="rId87" Target="https://gitea.io" TargetMode="External" /><Relationship Type="http://schemas.openxmlformats.org/officeDocument/2006/relationships/hyperlink" Id="rId81" Target="https://github.com" TargetMode="External" /><Relationship Type="http://schemas.openxmlformats.org/officeDocument/2006/relationships/hyperlink" Id="rId134" Target="https://github.com/World-Meteorological-Organization/csv2bufr" TargetMode="External" /><Relationship Type="http://schemas.openxmlformats.org/officeDocument/2006/relationships/hyperlink" Id="rId136" Target="https://github.com/World-Meteorological-Organization/pywis-pubsub" TargetMode="External" /><Relationship Type="http://schemas.openxmlformats.org/officeDocument/2006/relationships/hyperlink" Id="rId135" Target="https://github.com/World-Meteorological-Organization/wis2downloader" TargetMode="External" /><Relationship Type="http://schemas.openxmlformats.org/officeDocument/2006/relationships/hyperlink" Id="rId234" Target="https://github.com/melissawm/open-source-ai-contribution-policies" TargetMode="External" /><Relationship Type="http://schemas.openxmlformats.org/officeDocument/2006/relationships/hyperlink" Id="rId230" Target="https://github.com/qgis/QGIS-Enhancement-Proposals/blob/master/qep-408-ai-tool-policy.md" TargetMode="External" /><Relationship Type="http://schemas.openxmlformats.org/officeDocument/2006/relationships/hyperlink" Id="rId182" Target="https://github.com/spbgovbr" TargetMode="External" /><Relationship Type="http://schemas.openxmlformats.org/officeDocument/2006/relationships/hyperlink" Id="rId133" Target="https://github.com/wmo-im/wis2-gdc" TargetMode="External" /><Relationship Type="http://schemas.openxmlformats.org/officeDocument/2006/relationships/hyperlink" Id="rId86" Target="https://gitlab.com" TargetMode="External" /><Relationship Type="http://schemas.openxmlformats.org/officeDocument/2006/relationships/hyperlink" Id="rId82" Target="https://gitlab.com/gitlab-org" TargetMode="External" /><Relationship Type="http://schemas.openxmlformats.org/officeDocument/2006/relationships/hyperlink" Id="rId72" Target="https://interoperable-europe.ec.europa.eu/collection/open-source-observatory-osor/news/japans-2024-open-source-promotion-report" TargetMode="External" /><Relationship Type="http://schemas.openxmlformats.org/officeDocument/2006/relationships/hyperlink" Id="rId62" Target="https://interoperable-europe.ec.europa.eu/collection/open-source-observatory-osor/open-source-software-country-intelligence" TargetMode="External" /><Relationship Type="http://schemas.openxmlformats.org/officeDocument/2006/relationships/hyperlink" Id="rId76" Target="https://interoperable-europe.ec.europa.eu/interoperable-europe/interoperable-europe-act" TargetMode="External" /><Relationship Type="http://schemas.openxmlformats.org/officeDocument/2006/relationships/hyperlink" Id="rId147" Target="https://interoperable-europe.ec.europa.eu/sites/default/files/custom-page/attachment/2026-01/osor-handbook.pdf" TargetMode="External" /><Relationship Type="http://schemas.openxmlformats.org/officeDocument/2006/relationships/hyperlink" Id="rId129" Target="https://library.wmo.int/idurl/4/69050" TargetMode="External" /><Relationship Type="http://schemas.openxmlformats.org/officeDocument/2006/relationships/hyperlink" Id="rId127" Target="https://library.wmo.int/idviewer/66258/1147" TargetMode="External" /><Relationship Type="http://schemas.openxmlformats.org/officeDocument/2006/relationships/hyperlink" Id="rId226" Target="https://matplotlib.org/devdocs/devel/contribute.html#generative-ai" TargetMode="External" /><Relationship Type="http://schemas.openxmlformats.org/officeDocument/2006/relationships/hyperlink" Id="rId227" Target="https://numpy.org/devdocs/dev/ai_policy.html" TargetMode="External" /><Relationship Type="http://schemas.openxmlformats.org/officeDocument/2006/relationships/hyperlink" Id="rId45" Target="https://opendefinition.org/licenses/" TargetMode="External" /><Relationship Type="http://schemas.openxmlformats.org/officeDocument/2006/relationships/hyperlink" Id="rId228" Target="https://openjdk.org/legal/ai" TargetMode="External" /><Relationship Type="http://schemas.openxmlformats.org/officeDocument/2006/relationships/hyperlink" Id="rId32" Target="https://opensource.org/license/mit" TargetMode="External" /><Relationship Type="http://schemas.openxmlformats.org/officeDocument/2006/relationships/hyperlink" Id="rId36" Target="https://opensource.org/licenses" TargetMode="External" /><Relationship Type="http://schemas.openxmlformats.org/officeDocument/2006/relationships/hyperlink" Id="rId113" Target="https://opensource.worldbank.org" TargetMode="External" /><Relationship Type="http://schemas.openxmlformats.org/officeDocument/2006/relationships/hyperlink" Id="rId106" Target="https://osgeo.org" TargetMode="External" /><Relationship Type="http://schemas.openxmlformats.org/officeDocument/2006/relationships/hyperlink" Id="rId144" Target="https://producingoss.com" TargetMode="External" /><Relationship Type="http://schemas.openxmlformats.org/officeDocument/2006/relationships/hyperlink" Id="rId121" Target="https://project.oss4geo.org/" TargetMode="External" /><Relationship Type="http://schemas.openxmlformats.org/officeDocument/2006/relationships/hyperlink" Id="rId131" Target="https://raw.githubusercontent.com/wmo-im/wis2-guide/refs/heads/main/guide/images/architecture/c4.container.png" TargetMode="External" /><Relationship Type="http://schemas.openxmlformats.org/officeDocument/2006/relationships/hyperlink" Id="rId233" Target="https://redmonk.com/kholterhoff/2026/02/26/generative-ai-policy-landscape-in-open-source" TargetMode="External" /><Relationship Type="http://schemas.openxmlformats.org/officeDocument/2006/relationships/hyperlink" Id="rId78"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5" Target="https://wmo.int/wis-20" TargetMode="External" /><Relationship Type="http://schemas.openxmlformats.org/officeDocument/2006/relationships/hyperlink" Id="rId43" Target="https://wmo.int/wmo-unified-data-policy-resolution-res1" TargetMode="External" /><Relationship Type="http://schemas.openxmlformats.org/officeDocument/2006/relationships/hyperlink" Id="rId108" Target="https://www.apache.org" TargetMode="External" /><Relationship Type="http://schemas.openxmlformats.org/officeDocument/2006/relationships/hyperlink" Id="rId34" Target="https://www.apache.org/licenses/LICENSE-2.0" TargetMode="External" /><Relationship Type="http://schemas.openxmlformats.org/officeDocument/2006/relationships/hyperlink" Id="rId219" Target="https://www.canada.ca/en/government/system/digital-government/digital-government-innovations/information-management.html" TargetMode="External" /><Relationship Type="http://schemas.openxmlformats.org/officeDocument/2006/relationships/hyperlink" Id="rId66" Target="https://www.canada.ca/en/government/system/digital-government/digital-government-innovations/open-source-software/open-first-whitepaper.html" TargetMode="External" /><Relationship Type="http://schemas.openxmlformats.org/officeDocument/2006/relationships/hyperlink" Id="rId61" Target="https://www.csis.org/programs/strategic-technologies-program/resources/government-open-source-software-policies" TargetMode="External" /><Relationship Type="http://schemas.openxmlformats.org/officeDocument/2006/relationships/hyperlink" Id="rId68" Target="https://www.data.govt.nz/manage-data/policies/nzgoal/nzgoal-se-guidance-note-1/" TargetMode="External" /><Relationship Type="http://schemas.openxmlformats.org/officeDocument/2006/relationships/hyperlink" Id="rId107" Target="https://www.digitalpublicgoods.net" TargetMode="External" /><Relationship Type="http://schemas.openxmlformats.org/officeDocument/2006/relationships/hyperlink" Id="rId215" Target="https://www.ecmwf.int/en/forecasts/access-forecasts/access-real-time-open-data" TargetMode="External" /><Relationship Type="http://schemas.openxmlformats.org/officeDocument/2006/relationships/hyperlink" Id="rId214" Target="https://www.ecmwf.int/en/forecasts/datasets/open-data" TargetMode="External" /><Relationship Type="http://schemas.openxmlformats.org/officeDocument/2006/relationships/hyperlink" Id="rId204" Target="https://www.ecmwf.int/en/research/projects/openifs" TargetMode="External" /><Relationship Type="http://schemas.openxmlformats.org/officeDocument/2006/relationships/hyperlink" Id="rId30" Target="https://www.gnu.org/licenses/gpl-3.0.html" TargetMode="External" /><Relationship Type="http://schemas.openxmlformats.org/officeDocument/2006/relationships/hyperlink" Id="rId220" Target="https://www.gov.uk/guidance/national-data-strategy" TargetMode="External" /><Relationship Type="http://schemas.openxmlformats.org/officeDocument/2006/relationships/hyperlink" Id="rId112" Target="https://www.itu.int" TargetMode="External" /><Relationship Type="http://schemas.openxmlformats.org/officeDocument/2006/relationships/hyperlink" Id="rId160" Target="https://www.linuxfoundation.org/research/contribution-roi" TargetMode="External" /><Relationship Type="http://schemas.openxmlformats.org/officeDocument/2006/relationships/hyperlink" Id="rId70" Target="https://www.meity.gov.in/static/uploads/2024/02/policy_on_adoption_of_oss.pdf" TargetMode="External" /><Relationship Type="http://schemas.openxmlformats.org/officeDocument/2006/relationships/hyperlink" Id="rId103" Target="https://www.ogc.org" TargetMode="External" /><Relationship Type="http://schemas.openxmlformats.org/officeDocument/2006/relationships/hyperlink" Id="rId100" Target="https://www.osgeo.org/resources/project-graduation-checklist/" TargetMode="External" /><Relationship Type="http://schemas.openxmlformats.org/officeDocument/2006/relationships/hyperlink" Id="rId218" Target="https://www.planalto.gov.br/ccivil_03/_Ato2015-2018/2016/Decreto/D8777.htm" TargetMode="External" /><Relationship Type="http://schemas.openxmlformats.org/officeDocument/2006/relationships/hyperlink" Id="rId111" Target="https://www.undp.org/digital/osee" TargetMode="External" /><Relationship Type="http://schemas.openxmlformats.org/officeDocument/2006/relationships/hyperlink" Id="rId195" Target="https://www.undp.org/digital/standards/9-default-to-Open" TargetMode="External" /><Relationship Type="http://schemas.openxmlformats.org/officeDocument/2006/relationships/hyperlink" Id="rId231"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2026-06-04T11:25:02Z</dcterms:created>
  <dcterms:modified xsi:type="dcterms:W3CDTF">2026-06-04T11:25:02Z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2026-06-04</vt:lpwstr>
  </property>
</Properties>
</file>