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2026-06-27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2026-06-27</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6"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End w:id="26"/>
    <w:bookmarkStart w:id="27" w:name="X84dd1a49f351b659f43a3b0e402cb4fc6fc86e4"/>
    <w:p>
      <w:pPr>
        <w:pStyle w:val="Heading1"/>
      </w:pPr>
      <w:r>
        <w:t xml:space="preserve">How the guidance helps Members</w:t>
      </w:r>
    </w:p>
    <w:p>
      <w:pPr>
        <w:pStyle w:val="FirstParagraph"/>
      </w:pPr>
      <w:r>
        <w:t xml:space="preserve">The guide equips Members to make informed, risk-aware decisions about FOSS, applied in proportion to their technical capacity and the operational criticality of the software concerned. It:</w:t>
      </w:r>
    </w:p>
    <w:p>
      <w:pPr>
        <w:numPr>
          <w:ilvl w:val="0"/>
          <w:numId w:val="1001"/>
        </w:numPr>
      </w:pPr>
      <w:r>
        <w:t xml:space="preserve">sets out the benefits, risks, and total cost of ownership of FOSS, and shows that the same assessment discipline applies equally to proprietary alternatives;</w:t>
      </w:r>
    </w:p>
    <w:p>
      <w:pPr>
        <w:numPr>
          <w:ilvl w:val="0"/>
          <w:numId w:val="1001"/>
        </w:numPr>
      </w:pPr>
      <w:r>
        <w:t xml:space="preserve">guides Members on contributing to, managing, and publishing FOSS — including licensing choices, governance models, and establishing an "architecture of participation" for community projects;</w:t>
      </w:r>
    </w:p>
    <w:p>
      <w:pPr>
        <w:numPr>
          <w:ilvl w:val="0"/>
          <w:numId w:val="1001"/>
        </w:numPr>
      </w:pPr>
      <w:r>
        <w:t xml:space="preserve">addresses the competencies staff require and the infrastructure choices involved, from code hosting and CI/CD to package registries and community channels;</w:t>
      </w:r>
    </w:p>
    <w:p>
      <w:pPr>
        <w:numPr>
          <w:ilvl w:val="0"/>
          <w:numId w:val="1001"/>
        </w:numPr>
      </w:pPr>
      <w:r>
        <w:t xml:space="preserve">provides a common evaluation rubric (Annex A) that Members can apply directly when selecting or adopting software;</w:t>
      </w:r>
    </w:p>
    <w:p>
      <w:pPr>
        <w:numPr>
          <w:ilvl w:val="0"/>
          <w:numId w:val="1001"/>
        </w:numPr>
      </w:pPr>
      <w:r>
        <w:t xml:space="preserve">helps Members plan for sustainability from the outset — key-person dependency, long-term maintenance, security, and funding; and</w:t>
      </w:r>
    </w:p>
    <w:p>
      <w:pPr>
        <w:numPr>
          <w:ilvl w:val="0"/>
          <w:numId w:val="1001"/>
        </w:numPr>
      </w:pPr>
      <w:r>
        <w:t xml:space="preserve">relates FOSS to the WMO Unified Data Policy and to the growing impact of AI tools on FOSS projects.</w:t>
      </w:r>
    </w:p>
    <w:p>
      <w:pPr>
        <w:pStyle w:val="FirstParagraph"/>
      </w:pPr>
      <w:r>
        <w:t xml:space="preserve">It also frames a WMO-level coordination and support function — drawing on existing bodies and external partnerships — designed to ensure that no Member is left behind.</w:t>
      </w:r>
    </w:p>
    <w:bookmarkEnd w:id="27"/>
    <w:bookmarkStart w:id="28" w:name="X6c39f9165a366aad03b681b6f8d782c19e7ae11"/>
    <w:p>
      <w:pPr>
        <w:pStyle w:val="Heading1"/>
      </w:pPr>
      <w:r>
        <w:t xml:space="preserve">Further guidance</w:t>
      </w:r>
    </w:p>
    <w:p>
      <w:pPr>
        <w:pStyle w:val="FirstParagraph"/>
      </w:pPr>
      <w:r>
        <w:t xml:space="preserve">The guide encourages WMO and its Members to:</w:t>
      </w:r>
    </w:p>
    <w:p>
      <w:pPr>
        <w:numPr>
          <w:ilvl w:val="0"/>
          <w:numId w:val="1002"/>
        </w:numPr>
      </w:pPr>
      <w:r>
        <w:rPr>
          <w:bCs/>
          <w:b/>
        </w:rPr>
        <w:t xml:space="preserve">Strengthen the coordination of FOSS across WMO</w:t>
      </w:r>
      <w:r>
        <w:t xml:space="preserve">, moving from an ad hoc approach to systematic software governance — covering evaluation and endorsement (using the Annex A rubric), lifecycle oversight, standards alignment, advisory guidance, external partnerships, and Member support. These functions can build on existing WMO bodies (Standing Committees, Expert Teams, and Task Teams); the guide also describes a dedicated Open Source Program Office (OSPO) as a model for delivering them with continuity across sessions, noting that such an office need not require a significant resource commitment — the critical requirement being institutional mandate and continuity rather than scale, as demonstrated by comparable arrangements at ECMWF, the World Bank, and the UNDP/ITU Open Source Ecosystem Enabler (OSEE) initiative.</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 Annex A)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8"/>
    <w:bookmarkStart w:id="29" w:name="X372fae19c4d9344a7821606148e35cc00b08351"/>
    <w:p>
      <w:pPr>
        <w:pStyle w:val="Heading1"/>
      </w:pPr>
      <w:r>
        <w:t xml:space="preserve">How the guidance is organised</w:t>
      </w:r>
    </w:p>
    <w:p>
      <w:pPr>
        <w:numPr>
          <w:ilvl w:val="0"/>
          <w:numId w:val="1003"/>
        </w:numPr>
      </w:pPr>
      <w:r>
        <w:rPr>
          <w:bCs/>
          <w:b/>
        </w:rPr>
        <w:t xml:space="preserve">Introduction</w:t>
      </w:r>
      <w:r>
        <w:t xml:space="preserve"> </w:t>
      </w:r>
      <w:r>
        <w:t xml:space="preserve">— defines FOSS, sets out the intended audience and scope, and frames two cross-cutting themes: the mutually reinforcing relationship between open data and FOSS, and the impact of AI tools on FOSS projects.</w:t>
      </w:r>
    </w:p>
    <w:p>
      <w:pPr>
        <w:numPr>
          <w:ilvl w:val="0"/>
          <w:numId w:val="1003"/>
        </w:numPr>
      </w:pPr>
      <w:r>
        <w:rPr>
          <w:bCs/>
          <w:b/>
        </w:rPr>
        <w:t xml:space="preserve">Guidelines for WMO Members</w:t>
      </w:r>
      <w:r>
        <w:t xml:space="preserve"> </w:t>
      </w:r>
      <w:r>
        <w:t xml:space="preserve">— using FOSS (benefits, risks, and cost implications); contributing to FOSS and the role of national policies; managing and publishing FOSS; profiling the competencies required; and infrastructure considerations.</w:t>
      </w:r>
    </w:p>
    <w:p>
      <w:pPr>
        <w:numPr>
          <w:ilvl w:val="0"/>
          <w:numId w:val="1003"/>
        </w:numPr>
      </w:pPr>
      <w:r>
        <w:rPr>
          <w:bCs/>
          <w:b/>
        </w:rPr>
        <w:t xml:space="preserve">Guidelines for WMO activities</w:t>
      </w:r>
      <w:r>
        <w:t xml:space="preserve"> </w:t>
      </w:r>
      <w:r>
        <w:t xml:space="preserve">— the coordination, alignment, and support role of the Secretariat, including options for systematic coordination and governance (such as a dedicated OSPO), roles and responsibilities, the FOSS project lifecycle, and sustainability and risk management; standards compliance; software review and evaluation; reference implementations; and a WIS2 case study illustrating the agile, parallel development of standards and FOSS.</w:t>
      </w:r>
    </w:p>
    <w:p>
      <w:pPr>
        <w:numPr>
          <w:ilvl w:val="0"/>
          <w:numId w:val="1003"/>
        </w:numPr>
      </w:pPr>
      <w:r>
        <w:rPr>
          <w:bCs/>
          <w:b/>
        </w:rPr>
        <w:t xml:space="preserve">Annexes and reference material</w:t>
      </w:r>
      <w:r>
        <w:t xml:space="preserve"> </w:t>
      </w:r>
      <w:r>
        <w:t xml:space="preserve">— a glossary and references, together with Annex A (FOSS evaluation rubric), Annex B (examples of open data policies), and Annex C (AI tool-use references and example project policies).</w:t>
      </w:r>
    </w:p>
    <w:bookmarkEnd w:id="29"/>
    <w:bookmarkStart w:id="52"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30"/>
      </w:r>
      <w:r>
        <w:t xml:space="preserve"> </w:t>
      </w:r>
      <w:r>
        <w:t xml:space="preserve">MIT,</w:t>
      </w:r>
      <w:r>
        <w:rPr>
          <w:rStyle w:val="FootnoteReference"/>
        </w:rPr>
        <w:footnoteReference w:id="32"/>
      </w:r>
      <w:r>
        <w:t xml:space="preserve"> </w:t>
      </w:r>
      <w:r>
        <w:t xml:space="preserve">Apache,</w:t>
      </w:r>
      <w:r>
        <w:rPr>
          <w:rStyle w:val="FootnoteReference"/>
        </w:rPr>
        <w:footnoteReference w:id="34"/>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6"/>
      </w:r>
      <w:r>
        <w:t xml:space="preserve"> </w:t>
      </w:r>
      <w:r>
        <w:t xml:space="preserve">Throughout this document, the terms "FOSS" and "open source" are used interchangeably for readability, though they carry distinct philosophical emphases.</w:t>
      </w:r>
      <w:r>
        <w:rPr>
          <w:rStyle w:val="FootnoteReference"/>
        </w:rPr>
        <w:footnoteReference w:id="38"/>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9"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9"/>
    <w:bookmarkStart w:id="40"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 in the development and contribution to FOSS projects. The guidance is equally applicable to any software (FOSS, proprietary, etc.).</w:t>
      </w:r>
    </w:p>
    <w:bookmarkEnd w:id="40"/>
    <w:bookmarkStart w:id="42"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1"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1"/>
    <w:bookmarkEnd w:id="42"/>
    <w:bookmarkStart w:id="50"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3"/>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5"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4"/>
        </w:numPr>
      </w:pPr>
      <w:r>
        <w:rPr>
          <w:bCs/>
          <w:b/>
        </w:rPr>
        <w:t xml:space="preserve">Findable</w:t>
      </w:r>
      <w:r>
        <w:t xml:space="preserve"> </w:t>
      </w:r>
      <w:r>
        <w:t xml:space="preserve">through clear metadata and catalogues</w:t>
      </w:r>
    </w:p>
    <w:p>
      <w:pPr>
        <w:numPr>
          <w:ilvl w:val="0"/>
          <w:numId w:val="1004"/>
        </w:numPr>
      </w:pPr>
      <w:r>
        <w:rPr>
          <w:bCs/>
          <w:b/>
        </w:rPr>
        <w:t xml:space="preserve">Accessible</w:t>
      </w:r>
      <w:r>
        <w:t xml:space="preserve"> </w:t>
      </w:r>
      <w:r>
        <w:t xml:space="preserve">through reliable services and standard interfaces</w:t>
      </w:r>
    </w:p>
    <w:p>
      <w:pPr>
        <w:numPr>
          <w:ilvl w:val="0"/>
          <w:numId w:val="1004"/>
        </w:numPr>
      </w:pPr>
      <w:r>
        <w:rPr>
          <w:bCs/>
          <w:b/>
        </w:rPr>
        <w:t xml:space="preserve">Interoperable</w:t>
      </w:r>
      <w:r>
        <w:t xml:space="preserve"> </w:t>
      </w:r>
      <w:r>
        <w:t xml:space="preserve">across institutions and systems</w:t>
      </w:r>
    </w:p>
    <w:p>
      <w:pPr>
        <w:numPr>
          <w:ilvl w:val="0"/>
          <w:numId w:val="1004"/>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5"/>
    <w:bookmarkStart w:id="47"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5"/>
        </w:numPr>
      </w:pPr>
      <w:r>
        <w:t xml:space="preserve">what data should be shared,</w:t>
      </w:r>
    </w:p>
    <w:p>
      <w:pPr>
        <w:numPr>
          <w:ilvl w:val="0"/>
          <w:numId w:val="1005"/>
        </w:numPr>
      </w:pPr>
      <w:r>
        <w:t xml:space="preserve">under what conditions,</w:t>
      </w:r>
    </w:p>
    <w:p>
      <w:pPr>
        <w:numPr>
          <w:ilvl w:val="0"/>
          <w:numId w:val="1005"/>
        </w:numPr>
      </w:pPr>
      <w:r>
        <w:t xml:space="preserve">who is responsible for stewardship,</w:t>
      </w:r>
    </w:p>
    <w:p>
      <w:pPr>
        <w:numPr>
          <w:ilvl w:val="0"/>
          <w:numId w:val="1005"/>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6">
        <w:r>
          <w:rPr>
            <w:rStyle w:val="Hyperlink"/>
          </w:rPr>
          <w:t xml:space="preserve">https://opendefinition.org/licenses/</w:t>
        </w:r>
      </w:hyperlink>
      <w:r>
        <w:t xml:space="preserve">.</w:t>
      </w:r>
    </w:p>
    <w:bookmarkEnd w:id="47"/>
    <w:bookmarkStart w:id="48"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6"/>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6"/>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6"/>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6"/>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8"/>
    <w:bookmarkStart w:id="49"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9"/>
    <w:bookmarkEnd w:id="50"/>
    <w:bookmarkStart w:id="51"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1"/>
    <w:bookmarkEnd w:id="52"/>
    <w:bookmarkStart w:id="142" w:name="X3148c62ae8380655b8c29f1e8f24835e28abe42"/>
    <w:p>
      <w:pPr>
        <w:pStyle w:val="Heading1"/>
      </w:pPr>
      <w:r>
        <w:t xml:space="preserve">Guidelines</w:t>
      </w:r>
    </w:p>
    <w:bookmarkStart w:id="99"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60"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7"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3"/>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5"/>
      </w:r>
    </w:p>
    <w:p>
      <w:pPr>
        <w:numPr>
          <w:ilvl w:val="0"/>
          <w:numId w:val="1007"/>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7"/>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7"/>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7"/>
    <w:bookmarkStart w:id="58" w:name="X9f39c0194175d17a1927980a996db60f4864ec7"/>
    <w:p>
      <w:pPr>
        <w:pStyle w:val="Heading4"/>
      </w:pPr>
      <w:r>
        <w:t xml:space="preserve">Risks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requires a risk analysis and mitigation as part of planning an implementation or project/activity.</w:t>
      </w:r>
    </w:p>
    <w:p>
      <w:pPr>
        <w:pStyle w:val="BodyText"/>
      </w:pPr>
      <w:r>
        <w:t xml:space="preserve">The use of FOSS may introduce a range of risks that should be carefully assessed and managed, particularly in operational environments where reliability, security, and compliance are critical.</w:t>
      </w:r>
    </w:p>
    <w:p>
      <w:pPr>
        <w:numPr>
          <w:ilvl w:val="0"/>
          <w:numId w:val="1008"/>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8"/>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8"/>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8"/>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8"/>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8"/>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8"/>
    <w:bookmarkStart w:id="59" w:name="X734c78d6b517a15cf3b307c9d4a8b62e08e445c"/>
    <w:p>
      <w:pPr>
        <w:pStyle w:val="Heading4"/>
      </w:pPr>
      <w:r>
        <w:t xml:space="preserve">Cost implications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entails cost.</w:t>
      </w:r>
    </w:p>
    <w:p>
      <w:pPr>
        <w:pStyle w:val="BodyText"/>
      </w:pPr>
      <w:r>
        <w:t xml:space="preserve">The cost of using FOSS should be carefully assessed, particularly with regard to integration, maintenance, and long-term resource requirements.</w:t>
      </w:r>
    </w:p>
    <w:p>
      <w:pPr>
        <w:numPr>
          <w:ilvl w:val="0"/>
          <w:numId w:val="1009"/>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9"/>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9"/>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9"/>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9"/>
        </w:numPr>
      </w:pPr>
      <w:r>
        <w:rPr>
          <w:bCs/>
          <w:b/>
        </w:rPr>
        <w:t xml:space="preserve">Proprietary software pricing risks</w:t>
      </w:r>
      <w:r>
        <w:t xml:space="preserve">: When assessing the cost implications of FOSS, these should be considered alongside the risks of proprietary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9"/>
    <w:bookmarkEnd w:id="60"/>
    <w:bookmarkStart w:id="83" w:name="Xc3643c74377f85c9a4aa3b901502d228a87a410"/>
    <w:p>
      <w:pPr>
        <w:pStyle w:val="Heading3"/>
      </w:pPr>
      <w:r>
        <w:t xml:space="preserve">Contributing to FOSS</w:t>
      </w:r>
    </w:p>
    <w:bookmarkStart w:id="82"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1"/>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0"/>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4"/>
      </w:r>
      <w:r>
        <w:t xml:space="preserve"> </w:t>
      </w:r>
      <w:r>
        <w:t xml:space="preserve">the Government of Canada Open First approach,</w:t>
      </w:r>
      <w:r>
        <w:rPr>
          <w:rStyle w:val="FootnoteReference"/>
        </w:rPr>
        <w:footnoteReference w:id="66"/>
      </w:r>
      <w:r>
        <w:t xml:space="preserve"> </w:t>
      </w:r>
      <w:r>
        <w:t xml:space="preserve">New Zealand’s NZGOAL-SE framework,</w:t>
      </w:r>
      <w:r>
        <w:rPr>
          <w:rStyle w:val="FootnoteReference"/>
        </w:rPr>
        <w:footnoteReference w:id="68"/>
      </w:r>
      <w:r>
        <w:t xml:space="preserve"> </w:t>
      </w:r>
      <w:r>
        <w:t xml:space="preserve">India’s Policy on Adoption of Open Source Software,</w:t>
      </w:r>
      <w:r>
        <w:rPr>
          <w:rStyle w:val="FootnoteReference"/>
        </w:rPr>
        <w:footnoteReference w:id="70"/>
      </w:r>
      <w:r>
        <w:t xml:space="preserve"> </w:t>
      </w:r>
      <w:r>
        <w:t xml:space="preserve">and Japan’s Open Source Promotion Report.</w:t>
      </w:r>
      <w:r>
        <w:rPr>
          <w:rStyle w:val="FootnoteReference"/>
        </w:rPr>
        <w:footnoteReference w:id="7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0"/>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4"/>
      </w:r>
    </w:p>
    <w:p>
      <w:pPr>
        <w:numPr>
          <w:ilvl w:val="0"/>
          <w:numId w:val="1010"/>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6"/>
      </w:r>
      <w:r>
        <w:t xml:space="preserve"> </w:t>
      </w:r>
      <w:r>
        <w:t xml:space="preserve">(in force from April 2024) requires public sector bodies to conduct interoperability assessments and share open source solutions for cross-border digital services.</w:t>
      </w:r>
    </w:p>
    <w:p>
      <w:pPr>
        <w:numPr>
          <w:ilvl w:val="0"/>
          <w:numId w:val="1010"/>
        </w:numPr>
      </w:pPr>
      <w:r>
        <w:t xml:space="preserve">Capacity-building programmes that enable staff to acquire skills for maintaining and developing open-source tools, reducing long-term operational dependency on external vendors.</w:t>
      </w:r>
    </w:p>
    <w:p>
      <w:pPr>
        <w:numPr>
          <w:ilvl w:val="0"/>
          <w:numId w:val="1010"/>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1"/>
        </w:numPr>
      </w:pPr>
      <w:r>
        <w:t xml:space="preserve">Establish internal rules for licensing, contribution approval and repository management.</w:t>
      </w:r>
    </w:p>
    <w:p>
      <w:pPr>
        <w:numPr>
          <w:ilvl w:val="0"/>
          <w:numId w:val="1011"/>
        </w:numPr>
      </w:pPr>
      <w:r>
        <w:t xml:space="preserve">Define procedures for evaluating FOSS components (governance, community health, maintenance model).</w:t>
      </w:r>
    </w:p>
    <w:p>
      <w:pPr>
        <w:numPr>
          <w:ilvl w:val="0"/>
          <w:numId w:val="1011"/>
        </w:numPr>
      </w:pPr>
      <w:r>
        <w:t xml:space="preserve">Incorporate sustainability planning (including contribution back to upstream projects when fixes or new features are developed internally).</w:t>
      </w:r>
    </w:p>
    <w:p>
      <w:pPr>
        <w:numPr>
          <w:ilvl w:val="0"/>
          <w:numId w:val="1011"/>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8"/>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p>
      <w:pPr>
        <w:pStyle w:val="BodyText"/>
      </w:pPr>
      <w:r>
        <w:t xml:space="preserve">Different formats serve different purposes:</w:t>
      </w:r>
    </w:p>
    <w:p>
      <w:pPr>
        <w:numPr>
          <w:ilvl w:val="0"/>
          <w:numId w:val="1012"/>
        </w:numPr>
      </w:pPr>
      <w:r>
        <w:rPr>
          <w:bCs/>
          <w:b/>
        </w:rPr>
        <w:t xml:space="preserve">*Conferences</w:t>
      </w:r>
      <w:r>
        <w:t xml:space="preserve"> </w:t>
      </w:r>
      <w:r>
        <w:t xml:space="preserve">(for example, the</w:t>
      </w:r>
      <w:r>
        <w:t xml:space="preserve"> </w:t>
      </w:r>
      <w:hyperlink r:id="rId80">
        <w:r>
          <w:rPr>
            <w:rStyle w:val="Hyperlink"/>
          </w:rPr>
          <w:t xml:space="preserve">FOSS4G</w:t>
        </w:r>
      </w:hyperlink>
      <w:r>
        <w:t xml:space="preserve"> </w:t>
      </w:r>
      <w:r>
        <w:t xml:space="preserve">series and its regional editions) combine presentations, workshops and networking, and are a good entry point for staff new to a community</w:t>
      </w:r>
    </w:p>
    <w:p>
      <w:pPr>
        <w:numPr>
          <w:ilvl w:val="0"/>
          <w:numId w:val="1012"/>
        </w:numPr>
      </w:pPr>
      <w:r>
        <w:rPr>
          <w:bCs/>
          <w:b/>
        </w:rPr>
        <w:t xml:space="preserve">*Code sprints</w:t>
      </w:r>
      <w:r>
        <w:t xml:space="preserve"> </w:t>
      </w:r>
      <w:r>
        <w:t xml:space="preserve">bring contributors together, in person or remotely, to work intensively on a shared codebase. The joint OGC/OSGeo/ASF code sprints are a long-running example that pairs standards development with FOSS implementation, allowing specification editors and developers to work side by side</w:t>
      </w:r>
    </w:p>
    <w:p>
      <w:pPr>
        <w:numPr>
          <w:ilvl w:val="0"/>
          <w:numId w:val="1012"/>
        </w:numPr>
      </w:pPr>
      <w:r>
        <w:rPr>
          <w:bCs/>
          <w:b/>
        </w:rPr>
        <w:t xml:space="preserve">*Hackathons</w:t>
      </w:r>
      <w:r>
        <w:t xml:space="preserve"> </w:t>
      </w:r>
      <w:r>
        <w:t xml:space="preserve">focus on rapid prototyping around a defined challenge, and are well suited to exploring new ideas and onboarding newcomers, while documentation and bug-squashing sprints offer an accessible route to a first contribution</w:t>
      </w:r>
    </w:p>
    <w:p>
      <w:pPr>
        <w:pStyle w:val="FirstParagraph"/>
      </w:pPr>
      <w:r>
        <w:t xml:space="preserve">Members can engage beyond simply attending by sending staff as contributors rather than observers, hosting or sponsoring regional editions co-located with WMO meetings and proposing challenges or datasets that reflect operational needs. OSGeo supports a network of local chapters</w:t>
      </w:r>
      <w:r>
        <w:t xml:space="preserve"> </w:t>
      </w:r>
      <w:r>
        <w:rPr>
          <w:rStyle w:val="FootnoteReference"/>
        </w:rPr>
        <w:footnoteReference w:id="81"/>
      </w:r>
      <w:r>
        <w:t xml:space="preserve"> </w:t>
      </w:r>
      <w:r>
        <w:t xml:space="preserve">that can serve as regional points of contact for organizing or joining such events.</w:t>
      </w:r>
    </w:p>
    <w:bookmarkEnd w:id="82"/>
    <w:bookmarkEnd w:id="83"/>
    <w:bookmarkStart w:id="87"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4">
        <w:r>
          <w:rPr>
            <w:rStyle w:val="Hyperlink"/>
          </w:rPr>
          <w:t xml:space="preserve">GitHub</w:t>
        </w:r>
      </w:hyperlink>
      <w:r>
        <w:t xml:space="preserve">,</w:t>
      </w:r>
      <w:r>
        <w:t xml:space="preserve"> </w:t>
      </w:r>
      <w:hyperlink r:id="rId85">
        <w:r>
          <w:rPr>
            <w:rStyle w:val="Hyperlink"/>
          </w:rPr>
          <w:t xml:space="preserve">GitLab</w:t>
        </w:r>
      </w:hyperlink>
      <w:r>
        <w:t xml:space="preserve">,</w:t>
      </w:r>
      <w:r>
        <w:t xml:space="preserve"> </w:t>
      </w:r>
      <w:hyperlink r:id="rId86">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3"/>
        </w:numPr>
      </w:pPr>
      <w:r>
        <w:t xml:space="preserve">Establish an "architecture of participation":</w:t>
      </w:r>
    </w:p>
    <w:p>
      <w:pPr>
        <w:numPr>
          <w:ilvl w:val="1"/>
          <w:numId w:val="1014"/>
        </w:numPr>
      </w:pPr>
      <w:r>
        <w:t xml:space="preserve">Who will be responsible for development, release management, and accepting external contributions?</w:t>
      </w:r>
    </w:p>
    <w:p>
      <w:pPr>
        <w:numPr>
          <w:ilvl w:val="1"/>
          <w:numId w:val="1014"/>
        </w:numPr>
      </w:pPr>
      <w:r>
        <w:t xml:space="preserve">How will commit access be governed and managed? Does the project need a project steering committee or group of stakeholders to help drive the project?</w:t>
      </w:r>
    </w:p>
    <w:p>
      <w:pPr>
        <w:numPr>
          <w:ilvl w:val="1"/>
          <w:numId w:val="1014"/>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4"/>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4"/>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4"/>
        </w:numPr>
      </w:pPr>
      <w:r>
        <w:t xml:space="preserve">Make clear how security issues should be addressed (mitigation/release policies/timelines, contact points and so forth)</w:t>
      </w:r>
    </w:p>
    <w:p>
      <w:pPr>
        <w:numPr>
          <w:ilvl w:val="1"/>
          <w:numId w:val="1014"/>
        </w:numPr>
      </w:pPr>
      <w:r>
        <w:t xml:space="preserve">What is the release schedule for new versions?</w:t>
      </w:r>
    </w:p>
    <w:p>
      <w:pPr>
        <w:numPr>
          <w:ilvl w:val="0"/>
          <w:numId w:val="1013"/>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3"/>
        </w:numPr>
      </w:pPr>
      <w:r>
        <w:t xml:space="preserve">Choose the mechanism by which the software will be made available (GitHub, GitLab, Codeberg, organizational website, etc.)</w:t>
      </w:r>
    </w:p>
    <w:p>
      <w:pPr>
        <w:numPr>
          <w:ilvl w:val="0"/>
          <w:numId w:val="1013"/>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3"/>
        </w:numPr>
      </w:pPr>
      <w:r>
        <w:t xml:space="preserve">Identify any supported WMO technical standards and best practices</w:t>
      </w:r>
    </w:p>
    <w:p>
      <w:pPr>
        <w:numPr>
          <w:ilvl w:val="0"/>
          <w:numId w:val="1013"/>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3"/>
        </w:numPr>
      </w:pPr>
      <w:r>
        <w:t xml:space="preserve">Ensure the code is versioned (for example using Git as a version control system)</w:t>
      </w:r>
    </w:p>
    <w:bookmarkEnd w:id="87"/>
    <w:bookmarkStart w:id="88"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8"/>
    <w:bookmarkStart w:id="97"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92"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4">
        <w:r>
          <w:rPr>
            <w:rStyle w:val="Hyperlink"/>
          </w:rPr>
          <w:t xml:space="preserve">GitHub</w:t>
        </w:r>
      </w:hyperlink>
      <w:r>
        <w:t xml:space="preserve">,</w:t>
      </w:r>
      <w:r>
        <w:t xml:space="preserve"> </w:t>
      </w:r>
      <w:hyperlink r:id="rId89">
        <w:r>
          <w:rPr>
            <w:rStyle w:val="Hyperlink"/>
          </w:rPr>
          <w:t xml:space="preserve">GitLab</w:t>
        </w:r>
      </w:hyperlink>
      <w:r>
        <w:t xml:space="preserve">, and</w:t>
      </w:r>
      <w:r>
        <w:t xml:space="preserve"> </w:t>
      </w:r>
      <w:hyperlink r:id="rId86">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90">
        <w:r>
          <w:rPr>
            <w:rStyle w:val="Hyperlink"/>
          </w:rPr>
          <w:t xml:space="preserve">Gitea</w:t>
        </w:r>
      </w:hyperlink>
      <w:r>
        <w:t xml:space="preserve">, and</w:t>
      </w:r>
      <w:r>
        <w:t xml:space="preserve"> </w:t>
      </w:r>
      <w:hyperlink r:id="rId91">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92"/>
    <w:bookmarkStart w:id="93"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3"/>
    <w:bookmarkStart w:id="95"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4">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5"/>
    <w:bookmarkStart w:id="96"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 Matrix, Slack, Discourse, etc.), and documentation sites. When evaluating or adopting a FOSS</w:t>
      </w:r>
      <w:r>
        <w:t xml:space="preserve"> </w:t>
      </w:r>
      <w:r>
        <w:t xml:space="preserve">project, the health and accessibility of these channels is a useful indicator of community activity and support.</w:t>
      </w:r>
    </w:p>
    <w:bookmarkEnd w:id="96"/>
    <w:bookmarkEnd w:id="97"/>
    <w:bookmarkStart w:id="98" w:name="Xfd1a50082c7af56a67906f7c069e6146313fbad"/>
    <w:p>
      <w:pPr>
        <w:pStyle w:val="Heading3"/>
      </w:pPr>
      <w:r>
        <w:t xml:space="preserve">Economic aspects of FOSS development and support</w:t>
      </w:r>
    </w:p>
    <w:p>
      <w:pPr>
        <w:pStyle w:val="FirstParagraph"/>
      </w:pPr>
      <w:r>
        <w:t xml:space="preserve">While the origins of FOSS have been volunteer driven, numerous FOSS projects and activities now provide viable business models for industry. This includes, but is not limited to:</w:t>
      </w:r>
    </w:p>
    <w:p>
      <w:pPr>
        <w:numPr>
          <w:ilvl w:val="0"/>
          <w:numId w:val="1015"/>
        </w:numPr>
      </w:pPr>
      <w:r>
        <w:t xml:space="preserve">custom development</w:t>
      </w:r>
    </w:p>
    <w:p>
      <w:pPr>
        <w:numPr>
          <w:ilvl w:val="0"/>
          <w:numId w:val="1015"/>
        </w:numPr>
      </w:pPr>
      <w:r>
        <w:t xml:space="preserve">maintenance (defect management)</w:t>
      </w:r>
    </w:p>
    <w:p>
      <w:pPr>
        <w:numPr>
          <w:ilvl w:val="0"/>
          <w:numId w:val="1015"/>
        </w:numPr>
      </w:pPr>
      <w:r>
        <w:t xml:space="preserve">support / deployment / operation</w:t>
      </w:r>
    </w:p>
    <w:p>
      <w:pPr>
        <w:pStyle w:val="FirstParagraph"/>
      </w:pPr>
      <w:r>
        <w:t xml:space="preserve">FOSS can be financially supported in numerous ways (crowdsourcing, direct procurement, etc.) in support of a given project’s upstream community/development. When evaluating or adopting a FOSS project, funding architecture is a valuable indicator of community support and maintenance.</w:t>
      </w:r>
    </w:p>
    <w:bookmarkEnd w:id="98"/>
    <w:bookmarkEnd w:id="99"/>
    <w:bookmarkStart w:id="141"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22"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100"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6"/>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6"/>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6"/>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6"/>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100"/>
    <w:bookmarkStart w:id="101" w:name="Xadf874616f6f432abf844c3beceafb0a1aa0e1b"/>
    <w:p>
      <w:pPr>
        <w:pStyle w:val="Heading4"/>
      </w:pPr>
      <w:r>
        <w:t xml:space="preserve">Open Source Program Office</w:t>
      </w:r>
    </w:p>
    <w:p>
      <w:pPr>
        <w:pStyle w:val="FirstParagraph"/>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would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101"/>
    <w:bookmarkStart w:id="102"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7"/>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7"/>
        </w:numPr>
      </w:pPr>
      <w:r>
        <w:rPr>
          <w:bCs/>
          <w:b/>
        </w:rPr>
        <w:t xml:space="preserve">WMO Secretariat</w:t>
      </w:r>
      <w:r>
        <w:t xml:space="preserve">: Provides the institutional mandate and home for the OSPO, and ensures FOSS governance is embedded within WMO’s broader programme management and regulatory framework.</w:t>
      </w:r>
    </w:p>
    <w:p>
      <w:pPr>
        <w:numPr>
          <w:ilvl w:val="0"/>
          <w:numId w:val="1017"/>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7"/>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7"/>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102"/>
    <w:bookmarkStart w:id="105"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8"/>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8"/>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8"/>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8"/>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103"/>
      </w:r>
      <w:r>
        <w:t xml:space="preserve"> </w:t>
      </w:r>
      <w:r>
        <w:t xml:space="preserve">provide a useful model for structuring such a lifecycle within the WMO.</w:t>
      </w:r>
    </w:p>
    <w:bookmarkEnd w:id="105"/>
    <w:bookmarkStart w:id="106"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9"/>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9"/>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9"/>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9"/>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9"/>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6"/>
    <w:bookmarkStart w:id="108"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0"/>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07">
        <w:r>
          <w:rPr>
            <w:rStyle w:val="Hyperlink"/>
          </w:rPr>
          <w:t xml:space="preserve">Open Geospatial Consortium (OGC)</w:t>
        </w:r>
      </w:hyperlink>
      <w:r>
        <w:t xml:space="preserve">.</w:t>
      </w:r>
    </w:p>
    <w:p>
      <w:pPr>
        <w:numPr>
          <w:ilvl w:val="0"/>
          <w:numId w:val="1020"/>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08"/>
    <w:bookmarkStart w:id="109"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1"/>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1"/>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1"/>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09"/>
    <w:bookmarkStart w:id="121"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10">
        <w:r>
          <w:rPr>
            <w:rStyle w:val="Hyperlink"/>
          </w:rPr>
          <w:t xml:space="preserve">Open Source Geospatial Foundation (OSGeo)</w:t>
        </w:r>
      </w:hyperlink>
      <w:r>
        <w:t xml:space="preserve">, the</w:t>
      </w:r>
      <w:r>
        <w:t xml:space="preserve"> </w:t>
      </w:r>
      <w:hyperlink r:id="rId111">
        <w:r>
          <w:rPr>
            <w:rStyle w:val="Hyperlink"/>
          </w:rPr>
          <w:t xml:space="preserve">Digital Public Goods Alliance (DPGA)</w:t>
        </w:r>
      </w:hyperlink>
      <w:r>
        <w:t xml:space="preserve">, the</w:t>
      </w:r>
      <w:r>
        <w:t xml:space="preserve"> </w:t>
      </w:r>
      <w:hyperlink r:id="rId112">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2"/>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2"/>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13"/>
      </w:r>
      <w:r>
        <w:t xml:space="preserve"> </w:t>
      </w:r>
      <w:r>
        <w:t xml:space="preserve">provides a structured quality framework covering licence compliance, documentation, privacy, and standards adherence.</w:t>
      </w:r>
    </w:p>
    <w:p>
      <w:pPr>
        <w:numPr>
          <w:ilvl w:val="0"/>
          <w:numId w:val="1022"/>
        </w:numPr>
      </w:pPr>
      <w:r>
        <w:rPr>
          <w:bCs/>
          <w:b/>
        </w:rPr>
        <w:t xml:space="preserve">Multilateral development partners:</w:t>
      </w:r>
      <w:r>
        <w:t xml:space="preserve"> </w:t>
      </w:r>
      <w:r>
        <w:t xml:space="preserve">The</w:t>
      </w:r>
      <w:r>
        <w:t xml:space="preserve"> </w:t>
      </w:r>
      <w:hyperlink r:id="rId115">
        <w:r>
          <w:rPr>
            <w:rStyle w:val="Hyperlink"/>
          </w:rPr>
          <w:t xml:space="preserve">UNDP</w:t>
        </w:r>
      </w:hyperlink>
      <w:r>
        <w:t xml:space="preserve"> </w:t>
      </w:r>
      <w:r>
        <w:t xml:space="preserve">and</w:t>
      </w:r>
      <w:r>
        <w:t xml:space="preserve"> </w:t>
      </w:r>
      <w:hyperlink r:id="rId116">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17">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18"/>
      </w:r>
    </w:p>
    <w:p>
      <w:pPr>
        <w:numPr>
          <w:ilvl w:val="0"/>
          <w:numId w:val="1022"/>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80">
        <w:r>
          <w:rPr>
            <w:rStyle w:val="Hyperlink"/>
          </w:rPr>
          <w:t xml:space="preserve">FOSS4G conferences</w:t>
        </w:r>
      </w:hyperlink>
      <w:r>
        <w:t xml:space="preserve">) provide valuable opportunities for capacity building, community engagement and collaborative development.</w:t>
      </w:r>
    </w:p>
    <w:p>
      <w:pPr>
        <w:numPr>
          <w:ilvl w:val="0"/>
          <w:numId w:val="1022"/>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19"/>
      </w:r>
      <w:r>
        <w:t xml:space="preserve"> </w:t>
      </w:r>
      <w:r>
        <w:t xml:space="preserve">demonstrating how a major operational meteorological institution can embed FOSS practice as a core activity.</w:t>
      </w:r>
    </w:p>
    <w:p>
      <w:pPr>
        <w:numPr>
          <w:ilvl w:val="0"/>
          <w:numId w:val="1022"/>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21"/>
    <w:bookmarkEnd w:id="122"/>
    <w:bookmarkStart w:id="123"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3"/>
    <w:bookmarkStart w:id="125"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3"/>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3"/>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3"/>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3"/>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3"/>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3"/>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3"/>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4">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5"/>
    <w:bookmarkStart w:id="126"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4"/>
        </w:numPr>
      </w:pPr>
      <w:r>
        <w:t xml:space="preserve">validating the functionality and capability of a given standard (for example, for data encodings or interfaces)</w:t>
      </w:r>
    </w:p>
    <w:p>
      <w:pPr>
        <w:numPr>
          <w:ilvl w:val="0"/>
          <w:numId w:val="1024"/>
        </w:numPr>
      </w:pPr>
      <w:r>
        <w:t xml:space="preserve">providing a publicly available FOSS resource that is authoritative and can be studied to better understand and/or implement a standard</w:t>
      </w:r>
    </w:p>
    <w:p>
      <w:pPr>
        <w:numPr>
          <w:ilvl w:val="0"/>
          <w:numId w:val="1024"/>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6"/>
    <w:bookmarkStart w:id="140"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27"/>
      </w:r>
    </w:p>
    <w:p>
      <w:pPr>
        <w:pStyle w:val="BodyText"/>
      </w:pPr>
      <w:r>
        <w:t xml:space="preserve">The WMO Executive Council, through Resolution 34 (EC-76)</w:t>
      </w:r>
      <w:r>
        <w:rPr>
          <w:rStyle w:val="FootnoteReference"/>
        </w:rPr>
        <w:footnoteReference w:id="129"/>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31"/>
      </w:r>
    </w:p>
    <w:p>
      <w:pPr>
        <w:pStyle w:val="BodyText"/>
      </w:pPr>
      <w:r>
        <w:t xml:space="preserve">WIS2 is comprised of a number of key standards, including (but are not limited to):</w:t>
      </w:r>
    </w:p>
    <w:p>
      <w:pPr>
        <w:numPr>
          <w:ilvl w:val="0"/>
          <w:numId w:val="1025"/>
        </w:numPr>
      </w:pPr>
      <w:r>
        <w:t xml:space="preserve">Internet and messaging protocols for data and metadata transmission (HTTP, MQTT)</w:t>
      </w:r>
    </w:p>
    <w:p>
      <w:pPr>
        <w:numPr>
          <w:ilvl w:val="0"/>
          <w:numId w:val="1025"/>
        </w:numPr>
      </w:pPr>
      <w:r>
        <w:t xml:space="preserve">metadata encodings for dataset descriptions (WMO Core Metadata Profile) and notifications (WIS2 Notification Message)</w:t>
      </w:r>
    </w:p>
    <w:p>
      <w:pPr>
        <w:numPr>
          <w:ilvl w:val="0"/>
          <w:numId w:val="1025"/>
        </w:numPr>
      </w:pPr>
      <w:r>
        <w:t xml:space="preserve">topic structures for real-time notifications (WIS2 Topic Hierarchy)</w:t>
      </w:r>
    </w:p>
    <w:p>
      <w:pPr>
        <w:numPr>
          <w:ilvl w:val="0"/>
          <w:numId w:val="1025"/>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3"/>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5">
              <w:r>
                <w:rPr>
                  <w:rStyle w:val="Hyperlink"/>
                </w:rPr>
                <w:t xml:space="preserve">wis2box</w:t>
              </w:r>
            </w:hyperlink>
          </w:p>
        </w:tc>
        <w:tc>
          <w:tcPr/>
          <w:p>
            <w:pPr>
              <w:jc w:val="left"/>
            </w:pPr>
            <w:r>
              <w:t xml:space="preserve">WIS2 Node</w:t>
            </w:r>
          </w:p>
        </w:tc>
      </w:tr>
      <w:tr>
        <w:tc>
          <w:tcPr/>
          <w:p>
            <w:pPr>
              <w:jc w:val="left"/>
            </w:pPr>
            <w:hyperlink r:id="rId136">
              <w:r>
                <w:rPr>
                  <w:rStyle w:val="Hyperlink"/>
                </w:rPr>
                <w:t xml:space="preserve">wis2-gdc</w:t>
              </w:r>
            </w:hyperlink>
          </w:p>
        </w:tc>
        <w:tc>
          <w:tcPr/>
          <w:p>
            <w:pPr>
              <w:jc w:val="left"/>
            </w:pPr>
            <w:r>
              <w:t xml:space="preserve">Global Discovery Catalogue</w:t>
            </w:r>
          </w:p>
        </w:tc>
      </w:tr>
      <w:tr>
        <w:tc>
          <w:tcPr/>
          <w:p>
            <w:pPr>
              <w:jc w:val="left"/>
            </w:pPr>
            <w:hyperlink r:id="rId137">
              <w:r>
                <w:rPr>
                  <w:rStyle w:val="Hyperlink"/>
                </w:rPr>
                <w:t xml:space="preserve">csv2bufr</w:t>
              </w:r>
            </w:hyperlink>
          </w:p>
        </w:tc>
        <w:tc>
          <w:tcPr/>
          <w:p>
            <w:pPr>
              <w:jc w:val="left"/>
            </w:pPr>
            <w:r>
              <w:t xml:space="preserve">CSV to BUFR encoding tool for station data</w:t>
            </w:r>
          </w:p>
        </w:tc>
      </w:tr>
      <w:tr>
        <w:tc>
          <w:tcPr/>
          <w:p>
            <w:pPr>
              <w:jc w:val="left"/>
            </w:pPr>
            <w:hyperlink r:id="rId138">
              <w:r>
                <w:rPr>
                  <w:rStyle w:val="Hyperlink"/>
                </w:rPr>
                <w:t xml:space="preserve">wis2downloader</w:t>
              </w:r>
            </w:hyperlink>
          </w:p>
        </w:tc>
        <w:tc>
          <w:tcPr/>
          <w:p>
            <w:pPr>
              <w:jc w:val="left"/>
            </w:pPr>
            <w:r>
              <w:t xml:space="preserve">Application for downloading real-time data from WIS2</w:t>
            </w:r>
          </w:p>
        </w:tc>
      </w:tr>
      <w:tr>
        <w:tc>
          <w:tcPr/>
          <w:p>
            <w:pPr>
              <w:jc w:val="left"/>
            </w:pPr>
            <w:hyperlink r:id="rId139">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40"/>
    <w:bookmarkEnd w:id="141"/>
    <w:bookmarkEnd w:id="142"/>
    <w:bookmarkStart w:id="143"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3"/>
    <w:bookmarkStart w:id="213" w:name="X7dc5ec89ace04afa0dfcc5c2c63a457bc733b57"/>
    <w:p>
      <w:pPr>
        <w:pStyle w:val="Heading1"/>
      </w:pPr>
      <w:r>
        <w:t xml:space="preserve">References</w:t>
      </w:r>
    </w:p>
    <w:bookmarkStart w:id="156" w:name="X60dcd05f0a94584f5e7ae2f945ca5f575416e69"/>
    <w:p>
      <w:pPr>
        <w:pStyle w:val="Heading2"/>
      </w:pPr>
      <w:r>
        <w:t xml:space="preserve">FOSS practice and governance</w:t>
      </w:r>
    </w:p>
    <w:p>
      <w:pPr>
        <w:numPr>
          <w:ilvl w:val="0"/>
          <w:numId w:val="1026"/>
        </w:numPr>
      </w:pPr>
      <w:bookmarkStart w:id="144" w:name="raymond-cathedral-bazaar"/>
      <w:bookmarkEnd w:id="144"/>
      <w:r>
        <w:t xml:space="preserve"> </w:t>
      </w:r>
      <w:r>
        <w:t xml:space="preserve">Raymond, Eric S.: The Cathedral and the Bazaar (1999)</w:t>
      </w:r>
    </w:p>
    <w:p>
      <w:pPr>
        <w:numPr>
          <w:ilvl w:val="0"/>
          <w:numId w:val="1026"/>
        </w:numPr>
      </w:pPr>
      <w:bookmarkStart w:id="145" w:name="producing-oss"/>
      <w:bookmarkEnd w:id="145"/>
      <w:r>
        <w:t xml:space="preserve"> </w:t>
      </w:r>
      <w:r>
        <w:t xml:space="preserve">Fogel, Karl: Producing Open Source Software: How to Run a Successful Free Software Project (2024)</w:t>
      </w:r>
      <w:r>
        <w:t xml:space="preserve"> </w:t>
      </w:r>
      <w:r>
        <w:rPr>
          <w:rStyle w:val="FootnoteReference"/>
        </w:rPr>
        <w:footnoteReference w:id="146"/>
      </w:r>
    </w:p>
    <w:p>
      <w:pPr>
        <w:numPr>
          <w:ilvl w:val="0"/>
          <w:numId w:val="1026"/>
        </w:numPr>
      </w:pPr>
      <w:bookmarkStart w:id="148" w:name="osor-handbook"/>
      <w:bookmarkEnd w:id="148"/>
      <w:r>
        <w:t xml:space="preserve"> </w:t>
      </w:r>
      <w:r>
        <w:t xml:space="preserve">European Commission / Open Source Observatory: OSOR Handbook on Open Source Software in Public Administration (2026)</w:t>
      </w:r>
      <w:r>
        <w:t xml:space="preserve"> </w:t>
      </w:r>
      <w:r>
        <w:rPr>
          <w:rStyle w:val="FootnoteReference"/>
        </w:rPr>
        <w:footnoteReference w:id="149"/>
      </w:r>
    </w:p>
    <w:p>
      <w:pPr>
        <w:numPr>
          <w:ilvl w:val="0"/>
          <w:numId w:val="1026"/>
        </w:numPr>
      </w:pPr>
      <w:bookmarkStart w:id="151" w:name="public-digital"/>
      <w:bookmarkEnd w:id="151"/>
      <w:r>
        <w:t xml:space="preserve"> </w:t>
      </w:r>
      <w:r>
        <w:t xml:space="preserve">Public Digital: Open Source in Government (2021)</w:t>
      </w:r>
      <w:r>
        <w:t xml:space="preserve"> </w:t>
      </w:r>
      <w:r>
        <w:rPr>
          <w:rStyle w:val="FootnoteReference"/>
        </w:rPr>
        <w:footnoteReference w:id="152"/>
      </w:r>
    </w:p>
    <w:p>
      <w:pPr>
        <w:numPr>
          <w:ilvl w:val="0"/>
          <w:numId w:val="1026"/>
        </w:numPr>
      </w:pPr>
      <w:bookmarkStart w:id="154" w:name="public-money-public-code"/>
      <w:bookmarkEnd w:id="154"/>
      <w:r>
        <w:t xml:space="preserve"> </w:t>
      </w:r>
      <w:r>
        <w:t xml:space="preserve">Free Software Foundation Europe: Public Money? Public Code!</w:t>
      </w:r>
      <w:r>
        <w:t xml:space="preserve"> </w:t>
      </w:r>
      <w:r>
        <w:rPr>
          <w:rStyle w:val="FootnoteReference"/>
        </w:rPr>
        <w:footnoteReference w:id="155"/>
      </w:r>
    </w:p>
    <w:bookmarkEnd w:id="156"/>
    <w:bookmarkStart w:id="164" w:name="X8474ffd35f348d5ae6783f3fe284806fdb3105a"/>
    <w:p>
      <w:pPr>
        <w:pStyle w:val="Heading2"/>
      </w:pPr>
      <w:r>
        <w:t xml:space="preserve">Economic impact studies</w:t>
      </w:r>
    </w:p>
    <w:p>
      <w:pPr>
        <w:numPr>
          <w:ilvl w:val="0"/>
          <w:numId w:val="1027"/>
        </w:numPr>
      </w:pPr>
      <w:bookmarkStart w:id="157" w:name="ec-oss-impact"/>
      <w:bookmarkEnd w:id="157"/>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58"/>
      </w:r>
    </w:p>
    <w:p>
      <w:pPr>
        <w:numPr>
          <w:ilvl w:val="0"/>
          <w:numId w:val="1027"/>
        </w:numPr>
      </w:pPr>
      <w:bookmarkStart w:id="159" w:name="wb-geonode-roi"/>
      <w:bookmarkEnd w:id="159"/>
      <w:r>
        <w:t xml:space="preserve"> </w:t>
      </w:r>
      <w:r>
        <w:t xml:space="preserve">GFDRR/World Bank: OpenDRI and GeoNode — A Case Study for Institutional Investment in Open Source</w:t>
      </w:r>
      <w:r>
        <w:t xml:space="preserve"> </w:t>
      </w:r>
      <w:r>
        <w:rPr>
          <w:rStyle w:val="FootnoteReference"/>
        </w:rPr>
        <w:footnoteReference w:id="160"/>
      </w:r>
    </w:p>
    <w:p>
      <w:pPr>
        <w:numPr>
          <w:ilvl w:val="0"/>
          <w:numId w:val="1027"/>
        </w:numPr>
      </w:pPr>
      <w:bookmarkStart w:id="161" w:name="lf-roi"/>
      <w:bookmarkEnd w:id="161"/>
      <w:r>
        <w:t xml:space="preserve"> </w:t>
      </w:r>
      <w:r>
        <w:t xml:space="preserve">Linux Foundation: Active Open Source Contribution Delivers 2–5x ROI (2025)</w:t>
      </w:r>
      <w:r>
        <w:t xml:space="preserve"> </w:t>
      </w:r>
      <w:r>
        <w:rPr>
          <w:rStyle w:val="FootnoteReference"/>
        </w:rPr>
        <w:footnoteReference w:id="162"/>
      </w:r>
    </w:p>
    <w:bookmarkEnd w:id="164"/>
    <w:bookmarkStart w:id="191" w:name="Xc896f75200517b843631aaf28651998d53f808f"/>
    <w:p>
      <w:pPr>
        <w:pStyle w:val="Heading2"/>
      </w:pPr>
      <w:r>
        <w:t xml:space="preserve">National and regional policies</w:t>
      </w:r>
    </w:p>
    <w:p>
      <w:pPr>
        <w:numPr>
          <w:ilvl w:val="0"/>
          <w:numId w:val="1028"/>
        </w:numPr>
      </w:pPr>
      <w:bookmarkStart w:id="165" w:name="ec-oss-strategy"/>
      <w:bookmarkEnd w:id="165"/>
      <w:r>
        <w:t xml:space="preserve"> </w:t>
      </w:r>
      <w:r>
        <w:t xml:space="preserve">European Commission: Open Source Software Strategy 2020–2023 — Think Open (2020)</w:t>
      </w:r>
      <w:r>
        <w:t xml:space="preserve"> </w:t>
      </w:r>
      <w:r>
        <w:rPr>
          <w:rStyle w:val="FootnoteReference"/>
        </w:rPr>
        <w:footnoteReference w:id="166"/>
      </w:r>
    </w:p>
    <w:p>
      <w:pPr>
        <w:numPr>
          <w:ilvl w:val="0"/>
          <w:numId w:val="1028"/>
        </w:numPr>
      </w:pPr>
      <w:bookmarkStart w:id="168" w:name="interoperable-europe-act"/>
      <w:bookmarkEnd w:id="168"/>
      <w:r>
        <w:t xml:space="preserve"> </w:t>
      </w:r>
      <w:r>
        <w:t xml:space="preserve">Regulation (EU) 2024/903: Interoperable Europe Act</w:t>
      </w:r>
      <w:r>
        <w:t xml:space="preserve"> </w:t>
      </w:r>
      <w:r>
        <w:rPr>
          <w:rStyle w:val="FootnoteReference"/>
        </w:rPr>
        <w:footnoteReference w:id="169"/>
      </w:r>
    </w:p>
    <w:p>
      <w:pPr>
        <w:numPr>
          <w:ilvl w:val="0"/>
          <w:numId w:val="1028"/>
        </w:numPr>
      </w:pPr>
      <w:bookmarkStart w:id="170" w:name="eu-cra"/>
      <w:bookmarkEnd w:id="170"/>
      <w:r>
        <w:t xml:space="preserve"> </w:t>
      </w:r>
      <w:r>
        <w:t xml:space="preserve">Regulation (EU) 2024/2847: Cyber Resilience Act — open source implications</w:t>
      </w:r>
      <w:r>
        <w:t xml:space="preserve"> </w:t>
      </w:r>
      <w:r>
        <w:rPr>
          <w:rStyle w:val="FootnoteReference"/>
        </w:rPr>
        <w:footnoteReference w:id="171"/>
      </w:r>
    </w:p>
    <w:p>
      <w:pPr>
        <w:numPr>
          <w:ilvl w:val="0"/>
          <w:numId w:val="1028"/>
        </w:numPr>
      </w:pPr>
      <w:bookmarkStart w:id="173" w:name="us-fsc-policy"/>
      <w:bookmarkEnd w:id="173"/>
      <w:r>
        <w:t xml:space="preserve"> </w:t>
      </w:r>
      <w:r>
        <w:t xml:space="preserve">United States Office of Management and Budget: Federal Source Code Policy (OMB M-16-21, 2016)</w:t>
      </w:r>
      <w:r>
        <w:t xml:space="preserve"> </w:t>
      </w:r>
      <w:r>
        <w:rPr>
          <w:rStyle w:val="FootnoteReference"/>
        </w:rPr>
        <w:footnoteReference w:id="174"/>
      </w:r>
    </w:p>
    <w:p>
      <w:pPr>
        <w:numPr>
          <w:ilvl w:val="0"/>
          <w:numId w:val="1028"/>
        </w:numPr>
      </w:pPr>
      <w:bookmarkStart w:id="175" w:name="ca-open-first"/>
      <w:bookmarkEnd w:id="175"/>
      <w:r>
        <w:t xml:space="preserve"> </w:t>
      </w:r>
      <w:r>
        <w:t xml:space="preserve">Government of Canada: Open First Whitepaper (2020)</w:t>
      </w:r>
      <w:r>
        <w:t xml:space="preserve"> </w:t>
      </w:r>
      <w:r>
        <w:rPr>
          <w:rStyle w:val="FootnoteReference"/>
        </w:rPr>
        <w:footnoteReference w:id="176"/>
      </w:r>
    </w:p>
    <w:p>
      <w:pPr>
        <w:numPr>
          <w:ilvl w:val="0"/>
          <w:numId w:val="1028"/>
        </w:numPr>
      </w:pPr>
      <w:bookmarkStart w:id="177" w:name="nz-nzgoal-se"/>
      <w:bookmarkEnd w:id="177"/>
      <w:r>
        <w:t xml:space="preserve"> </w:t>
      </w:r>
      <w:r>
        <w:t xml:space="preserve">New Zealand Government: NZGOAL Software Extension (NZGOAL-SE)</w:t>
      </w:r>
      <w:r>
        <w:t xml:space="preserve"> </w:t>
      </w:r>
      <w:r>
        <w:rPr>
          <w:rStyle w:val="FootnoteReference"/>
        </w:rPr>
        <w:footnoteReference w:id="178"/>
      </w:r>
    </w:p>
    <w:p>
      <w:pPr>
        <w:numPr>
          <w:ilvl w:val="0"/>
          <w:numId w:val="1028"/>
        </w:numPr>
      </w:pPr>
      <w:bookmarkStart w:id="179" w:name="india-oss-policy"/>
      <w:bookmarkEnd w:id="179"/>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80"/>
      </w:r>
    </w:p>
    <w:p>
      <w:pPr>
        <w:numPr>
          <w:ilvl w:val="0"/>
          <w:numId w:val="1028"/>
        </w:numPr>
      </w:pPr>
      <w:bookmarkStart w:id="181" w:name="japan-ipa-2024"/>
      <w:bookmarkEnd w:id="181"/>
      <w:r>
        <w:t xml:space="preserve"> </w:t>
      </w:r>
      <w:r>
        <w:t xml:space="preserve">Information-technology Promotion Agency (IPA), Japan: 2024 Open Source Promotion Report</w:t>
      </w:r>
      <w:r>
        <w:t xml:space="preserve"> </w:t>
      </w:r>
      <w:r>
        <w:rPr>
          <w:rStyle w:val="FootnoteReference"/>
        </w:rPr>
        <w:footnoteReference w:id="182"/>
      </w:r>
    </w:p>
    <w:p>
      <w:pPr>
        <w:numPr>
          <w:ilvl w:val="0"/>
          <w:numId w:val="1028"/>
        </w:numPr>
      </w:pPr>
      <w:bookmarkStart w:id="183" w:name="brazil-spb"/>
      <w:bookmarkEnd w:id="183"/>
      <w:r>
        <w:t xml:space="preserve"> </w:t>
      </w:r>
      <w:r>
        <w:t xml:space="preserve">Government of Brazil: Portal do Software Público Brasileiro</w:t>
      </w:r>
      <w:r>
        <w:t xml:space="preserve"> </w:t>
      </w:r>
      <w:r>
        <w:rPr>
          <w:rStyle w:val="FootnoteReference"/>
        </w:rPr>
        <w:footnoteReference w:id="184"/>
      </w:r>
    </w:p>
    <w:p>
      <w:pPr>
        <w:numPr>
          <w:ilvl w:val="0"/>
          <w:numId w:val="1028"/>
        </w:numPr>
      </w:pPr>
      <w:bookmarkStart w:id="186" w:name="au-digital-transformation"/>
      <w:bookmarkEnd w:id="186"/>
      <w:r>
        <w:t xml:space="preserve"> </w:t>
      </w:r>
      <w:r>
        <w:t xml:space="preserve">African Union Commission: Digital Transformation Strategy for Africa 2020–2030</w:t>
      </w:r>
      <w:r>
        <w:t xml:space="preserve"> </w:t>
      </w:r>
      <w:r>
        <w:rPr>
          <w:rStyle w:val="FootnoteReference"/>
        </w:rPr>
        <w:footnoteReference w:id="187"/>
      </w:r>
    </w:p>
    <w:p>
      <w:pPr>
        <w:numPr>
          <w:ilvl w:val="0"/>
          <w:numId w:val="1028"/>
        </w:numPr>
      </w:pPr>
      <w:bookmarkStart w:id="189" w:name="csis-oss-policies"/>
      <w:bookmarkEnd w:id="189"/>
      <w:r>
        <w:t xml:space="preserve"> </w:t>
      </w:r>
      <w:r>
        <w:t xml:space="preserve">Center for Strategic and International Studies (CSIS): Government Open Source Software Policies database</w:t>
      </w:r>
      <w:r>
        <w:t xml:space="preserve"> </w:t>
      </w:r>
      <w:r>
        <w:rPr>
          <w:rStyle w:val="FootnoteReference"/>
        </w:rPr>
        <w:footnoteReference w:id="190"/>
      </w:r>
    </w:p>
    <w:bookmarkEnd w:id="191"/>
    <w:bookmarkStart w:id="204" w:name="X18ff0ed8f6a1232271ed94da238c01a3f2eef14"/>
    <w:p>
      <w:pPr>
        <w:pStyle w:val="Heading2"/>
      </w:pPr>
      <w:r>
        <w:t xml:space="preserve">Multilateral and international resources</w:t>
      </w:r>
    </w:p>
    <w:p>
      <w:pPr>
        <w:numPr>
          <w:ilvl w:val="0"/>
          <w:numId w:val="1029"/>
        </w:numPr>
      </w:pPr>
      <w:bookmarkStart w:id="192" w:name="dpga-standard"/>
      <w:bookmarkEnd w:id="192"/>
      <w:r>
        <w:t xml:space="preserve"> </w:t>
      </w:r>
      <w:r>
        <w:t xml:space="preserve">Digital Public Goods Alliance: Digital Public Goods Standard</w:t>
      </w:r>
      <w:r>
        <w:t xml:space="preserve"> </w:t>
      </w:r>
      <w:r>
        <w:rPr>
          <w:rStyle w:val="FootnoteReference"/>
        </w:rPr>
        <w:footnoteReference w:id="193"/>
      </w:r>
    </w:p>
    <w:p>
      <w:pPr>
        <w:numPr>
          <w:ilvl w:val="0"/>
          <w:numId w:val="1029"/>
        </w:numPr>
      </w:pPr>
      <w:bookmarkStart w:id="194" w:name="undp-osee"/>
      <w:bookmarkEnd w:id="194"/>
      <w:r>
        <w:t xml:space="preserve"> </w:t>
      </w:r>
      <w:r>
        <w:t xml:space="preserve">UNDP / ITU: Open Source Ecosystem Enabler (OSEE)</w:t>
      </w:r>
      <w:r>
        <w:t xml:space="preserve"> </w:t>
      </w:r>
      <w:r>
        <w:rPr>
          <w:rStyle w:val="FootnoteReference"/>
        </w:rPr>
        <w:footnoteReference w:id="195"/>
      </w:r>
    </w:p>
    <w:p>
      <w:pPr>
        <w:numPr>
          <w:ilvl w:val="0"/>
          <w:numId w:val="1029"/>
        </w:numPr>
      </w:pPr>
      <w:bookmarkStart w:id="196" w:name="undp-default-open"/>
      <w:bookmarkEnd w:id="196"/>
      <w:r>
        <w:t xml:space="preserve"> </w:t>
      </w:r>
      <w:r>
        <w:t xml:space="preserve">UNDP Digital Standards — Standard 9: Default to Open</w:t>
      </w:r>
      <w:r>
        <w:t xml:space="preserve"> </w:t>
      </w:r>
      <w:r>
        <w:rPr>
          <w:rStyle w:val="FootnoteReference"/>
        </w:rPr>
        <w:footnoteReference w:id="197"/>
      </w:r>
    </w:p>
    <w:p>
      <w:pPr>
        <w:numPr>
          <w:ilvl w:val="0"/>
          <w:numId w:val="1029"/>
        </w:numPr>
      </w:pPr>
      <w:bookmarkStart w:id="199" w:name="wb-oss-global"/>
      <w:bookmarkEnd w:id="199"/>
      <w:r>
        <w:t xml:space="preserve"> </w:t>
      </w:r>
      <w:r>
        <w:t xml:space="preserve">World Bank: Open Source for Global Public Goods (2020)</w:t>
      </w:r>
      <w:r>
        <w:t xml:space="preserve"> </w:t>
      </w:r>
      <w:r>
        <w:rPr>
          <w:rStyle w:val="FootnoteReference"/>
        </w:rPr>
        <w:footnoteReference w:id="200"/>
      </w:r>
    </w:p>
    <w:p>
      <w:pPr>
        <w:numPr>
          <w:ilvl w:val="0"/>
          <w:numId w:val="1029"/>
        </w:numPr>
      </w:pPr>
      <w:bookmarkStart w:id="202" w:name="osor-country-intel"/>
      <w:bookmarkEnd w:id="202"/>
      <w:r>
        <w:t xml:space="preserve"> </w:t>
      </w:r>
      <w:r>
        <w:t xml:space="preserve">EU Open Source Observatory: Open Source Software Country Intelligence (60+ countries)</w:t>
      </w:r>
      <w:r>
        <w:t xml:space="preserve"> </w:t>
      </w:r>
      <w:r>
        <w:rPr>
          <w:rStyle w:val="FootnoteReference"/>
        </w:rPr>
        <w:footnoteReference w:id="203"/>
      </w:r>
    </w:p>
    <w:bookmarkEnd w:id="204"/>
    <w:bookmarkStart w:id="212" w:name="X1bc7e6b4fc0225a0d72d26b79f533628acb17c9"/>
    <w:p>
      <w:pPr>
        <w:pStyle w:val="Heading2"/>
      </w:pPr>
      <w:r>
        <w:t xml:space="preserve">Meteorological sector</w:t>
      </w:r>
    </w:p>
    <w:p>
      <w:pPr>
        <w:numPr>
          <w:ilvl w:val="0"/>
          <w:numId w:val="1030"/>
        </w:numPr>
      </w:pPr>
      <w:bookmarkStart w:id="205" w:name="ecmwf-openifs"/>
      <w:bookmarkEnd w:id="205"/>
      <w:r>
        <w:t xml:space="preserve"> </w:t>
      </w:r>
      <w:r>
        <w:t xml:space="preserve">ECMWF: OpenIFS</w:t>
      </w:r>
      <w:r>
        <w:t xml:space="preserve"> </w:t>
      </w:r>
      <w:r>
        <w:rPr>
          <w:rStyle w:val="FootnoteReference"/>
        </w:rPr>
        <w:footnoteReference w:id="206"/>
      </w:r>
    </w:p>
    <w:p>
      <w:pPr>
        <w:numPr>
          <w:ilvl w:val="0"/>
          <w:numId w:val="1030"/>
        </w:numPr>
      </w:pPr>
      <w:bookmarkStart w:id="208" w:name="ecmwf-code-for-earth"/>
      <w:bookmarkEnd w:id="208"/>
      <w:r>
        <w:t xml:space="preserve"> </w:t>
      </w:r>
      <w:r>
        <w:t xml:space="preserve">ECMWF / Copernicus Climate Change Service: Code for Earth</w:t>
      </w:r>
      <w:r>
        <w:t xml:space="preserve"> </w:t>
      </w:r>
      <w:r>
        <w:rPr>
          <w:rStyle w:val="FootnoteReference"/>
        </w:rPr>
        <w:footnoteReference w:id="209"/>
      </w:r>
    </w:p>
    <w:p>
      <w:pPr>
        <w:numPr>
          <w:ilvl w:val="0"/>
          <w:numId w:val="1030"/>
        </w:numPr>
      </w:pPr>
      <w:bookmarkStart w:id="210" w:name="wis2-transition"/>
      <w:bookmarkEnd w:id="210"/>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11"/>
      </w:r>
    </w:p>
    <w:bookmarkEnd w:id="212"/>
    <w:bookmarkEnd w:id="213"/>
    <w:bookmarkStart w:id="214"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4"/>
    <w:bookmarkStart w:id="228" w:name="annex-data-policies"/>
    <w:p>
      <w:pPr>
        <w:pStyle w:val="Heading1"/>
      </w:pPr>
      <w:r>
        <w:t xml:space="preserve">Data policies</w:t>
      </w:r>
    </w:p>
    <w:bookmarkStart w:id="215" w:name="Xf8e6d9ee3bd441760d5e204de320a5d72770405"/>
    <w:p>
      <w:pPr>
        <w:pStyle w:val="Heading2"/>
      </w:pPr>
      <w:r>
        <w:t xml:space="preserve">Global</w:t>
      </w:r>
    </w:p>
    <w:p>
      <w:pPr>
        <w:numPr>
          <w:ilvl w:val="0"/>
          <w:numId w:val="1031"/>
        </w:numPr>
      </w:pPr>
      <w:r>
        <w:t xml:space="preserve">World Meteorological Organisation (WMO)</w:t>
      </w:r>
    </w:p>
    <w:p>
      <w:pPr>
        <w:numPr>
          <w:ilvl w:val="1"/>
          <w:numId w:val="1032"/>
        </w:numPr>
      </w:pPr>
      <w:hyperlink r:id="rId44">
        <w:r>
          <w:rPr>
            <w:rStyle w:val="Hyperlink"/>
          </w:rPr>
          <w:t xml:space="preserve">https://wmo.int/wmo-unified-data-policy-resolution-res1</w:t>
        </w:r>
      </w:hyperlink>
    </w:p>
    <w:bookmarkEnd w:id="215"/>
    <w:bookmarkStart w:id="220" w:name="X9541bc49e02a401f01921082827d3ca0aae0ff4"/>
    <w:p>
      <w:pPr>
        <w:pStyle w:val="Heading2"/>
      </w:pPr>
      <w:r>
        <w:t xml:space="preserve">Regional</w:t>
      </w:r>
    </w:p>
    <w:p>
      <w:pPr>
        <w:numPr>
          <w:ilvl w:val="0"/>
          <w:numId w:val="1033"/>
        </w:numPr>
      </w:pPr>
      <w:r>
        <w:t xml:space="preserve">European Union (EU)</w:t>
      </w:r>
    </w:p>
    <w:p>
      <w:pPr>
        <w:numPr>
          <w:ilvl w:val="1"/>
          <w:numId w:val="1034"/>
        </w:numPr>
      </w:pPr>
      <w:hyperlink r:id="rId216">
        <w:r>
          <w:rPr>
            <w:rStyle w:val="Hyperlink"/>
          </w:rPr>
          <w:t xml:space="preserve">https://digital-strategy.ec.europa.eu/en/policies/legislation-open-data</w:t>
        </w:r>
      </w:hyperlink>
    </w:p>
    <w:p>
      <w:pPr>
        <w:numPr>
          <w:ilvl w:val="0"/>
          <w:numId w:val="1033"/>
        </w:numPr>
      </w:pPr>
      <w:r>
        <w:t xml:space="preserve">European Centre for Medium-Range Weather Forecasts (ECMWF)</w:t>
      </w:r>
    </w:p>
    <w:p>
      <w:pPr>
        <w:numPr>
          <w:ilvl w:val="1"/>
          <w:numId w:val="1035"/>
        </w:numPr>
      </w:pPr>
      <w:hyperlink r:id="rId217">
        <w:r>
          <w:rPr>
            <w:rStyle w:val="Hyperlink"/>
          </w:rPr>
          <w:t xml:space="preserve">https://www.ecmwf.int/en/forecasts/datasets/open-data</w:t>
        </w:r>
      </w:hyperlink>
    </w:p>
    <w:p>
      <w:pPr>
        <w:numPr>
          <w:ilvl w:val="1"/>
          <w:numId w:val="1035"/>
        </w:numPr>
      </w:pPr>
      <w:hyperlink r:id="rId218">
        <w:r>
          <w:rPr>
            <w:rStyle w:val="Hyperlink"/>
          </w:rPr>
          <w:t xml:space="preserve">https://www.ecmwf.int/en/forecasts/access-forecasts/access-real-time-open-data</w:t>
        </w:r>
      </w:hyperlink>
    </w:p>
    <w:p>
      <w:pPr>
        <w:numPr>
          <w:ilvl w:val="1"/>
          <w:numId w:val="1035"/>
        </w:numPr>
      </w:pPr>
      <w:hyperlink r:id="rId219">
        <w:r>
          <w:rPr>
            <w:rStyle w:val="Hyperlink"/>
          </w:rPr>
          <w:t xml:space="preserve">https://data.ecmwf.int/</w:t>
        </w:r>
      </w:hyperlink>
    </w:p>
    <w:bookmarkEnd w:id="220"/>
    <w:bookmarkStart w:id="227" w:name="X2ed8ed9cb1cd47f820628ba1e070fc45247027d"/>
    <w:p>
      <w:pPr>
        <w:pStyle w:val="Heading2"/>
      </w:pPr>
      <w:r>
        <w:t xml:space="preserve">National</w:t>
      </w:r>
    </w:p>
    <w:p>
      <w:pPr>
        <w:numPr>
          <w:ilvl w:val="0"/>
          <w:numId w:val="1036"/>
        </w:numPr>
      </w:pPr>
      <w:r>
        <w:t xml:space="preserve">Brazil</w:t>
      </w:r>
    </w:p>
    <w:p>
      <w:pPr>
        <w:numPr>
          <w:ilvl w:val="1"/>
          <w:numId w:val="1037"/>
        </w:numPr>
      </w:pPr>
      <w:hyperlink r:id="rId221">
        <w:r>
          <w:rPr>
            <w:rStyle w:val="Hyperlink"/>
          </w:rPr>
          <w:t xml:space="preserve">https://www.planalto.gov.br/ccivil_03/_Ato2015-2018/2016/Decreto/D8777.htm</w:t>
        </w:r>
      </w:hyperlink>
    </w:p>
    <w:p>
      <w:pPr>
        <w:numPr>
          <w:ilvl w:val="0"/>
          <w:numId w:val="1036"/>
        </w:numPr>
      </w:pPr>
      <w:r>
        <w:t xml:space="preserve">Canada</w:t>
      </w:r>
    </w:p>
    <w:p>
      <w:pPr>
        <w:numPr>
          <w:ilvl w:val="1"/>
          <w:numId w:val="1038"/>
        </w:numPr>
      </w:pPr>
      <w:hyperlink r:id="rId222">
        <w:r>
          <w:rPr>
            <w:rStyle w:val="Hyperlink"/>
          </w:rPr>
          <w:t xml:space="preserve">https://www.canada.ca/en/government/system/digital-government/digital-government-innovations/information-management.html</w:t>
        </w:r>
      </w:hyperlink>
    </w:p>
    <w:p>
      <w:pPr>
        <w:numPr>
          <w:ilvl w:val="0"/>
          <w:numId w:val="1036"/>
        </w:numPr>
      </w:pPr>
      <w:r>
        <w:t xml:space="preserve">United Kingdom</w:t>
      </w:r>
    </w:p>
    <w:p>
      <w:pPr>
        <w:numPr>
          <w:ilvl w:val="1"/>
          <w:numId w:val="1039"/>
        </w:numPr>
      </w:pPr>
      <w:hyperlink r:id="rId223">
        <w:r>
          <w:rPr>
            <w:rStyle w:val="Hyperlink"/>
          </w:rPr>
          <w:t xml:space="preserve">https://www.gov.uk/guidance/national-data-strategy</w:t>
        </w:r>
      </w:hyperlink>
    </w:p>
    <w:p>
      <w:pPr>
        <w:numPr>
          <w:ilvl w:val="0"/>
          <w:numId w:val="1036"/>
        </w:numPr>
      </w:pPr>
      <w:r>
        <w:t xml:space="preserve">United States</w:t>
      </w:r>
    </w:p>
    <w:p>
      <w:pPr>
        <w:numPr>
          <w:ilvl w:val="1"/>
          <w:numId w:val="1040"/>
        </w:numPr>
      </w:pPr>
      <w:r>
        <w:t xml:space="preserve">National Oceanic and Atmospheric Administration (NOAA)</w:t>
      </w:r>
    </w:p>
    <w:p>
      <w:pPr>
        <w:numPr>
          <w:ilvl w:val="2"/>
          <w:numId w:val="1041"/>
        </w:numPr>
      </w:pPr>
      <w:hyperlink r:id="rId224">
        <w:r>
          <w:rPr>
            <w:rStyle w:val="Hyperlink"/>
          </w:rPr>
          <w:t xml:space="preserve">https://www.noaa.gov/organization/administration/nao-212-15-Management-of-NOAA-Data-and-Information</w:t>
        </w:r>
      </w:hyperlink>
    </w:p>
    <w:p>
      <w:pPr>
        <w:numPr>
          <w:ilvl w:val="2"/>
          <w:numId w:val="1041"/>
        </w:numPr>
      </w:pPr>
      <w:hyperlink r:id="rId225">
        <w:r>
          <w:rPr>
            <w:rStyle w:val="Hyperlink"/>
          </w:rPr>
          <w:t xml:space="preserve">https://sciencecouncil.noaa.gov/wp-content/uploads/2022/08/2020-Data-Strategy.pdf</w:t>
        </w:r>
      </w:hyperlink>
    </w:p>
    <w:p>
      <w:pPr>
        <w:numPr>
          <w:ilvl w:val="1"/>
          <w:numId w:val="1040"/>
        </w:numPr>
      </w:pPr>
      <w:r>
        <w:t xml:space="preserve">National Aeronautics and Space Administration (NASA)</w:t>
      </w:r>
    </w:p>
    <w:p>
      <w:pPr>
        <w:numPr>
          <w:ilvl w:val="2"/>
          <w:numId w:val="1042"/>
        </w:numPr>
      </w:pPr>
      <w:hyperlink r:id="rId226">
        <w:r>
          <w:rPr>
            <w:rStyle w:val="Hyperlink"/>
          </w:rPr>
          <w:t xml:space="preserve">https://www.nasa.gov/wp-content/uploads/2025/07/nasa-data-strategy.pdf</w:t>
        </w:r>
      </w:hyperlink>
    </w:p>
    <w:bookmarkEnd w:id="227"/>
    <w:bookmarkEnd w:id="228"/>
    <w:bookmarkStart w:id="242" w:name="annex-ai-tool-use"/>
    <w:p>
      <w:pPr>
        <w:pStyle w:val="Heading1"/>
      </w:pPr>
      <w:r>
        <w:t xml:space="preserve">AI Tool Use in FOSS</w:t>
      </w:r>
    </w:p>
    <w:bookmarkStart w:id="230" w:name="X6d7eca8cda99880e54958dab5674f746ac10e71"/>
    <w:p>
      <w:pPr>
        <w:pStyle w:val="Heading2"/>
      </w:pPr>
      <w:r>
        <w:t xml:space="preserve">Overview of Issues</w:t>
      </w:r>
    </w:p>
    <w:p>
      <w:pPr>
        <w:pStyle w:val="FirstParagraph"/>
      </w:pPr>
      <w:r>
        <w:t xml:space="preserve">A Scientific Python blog post,</w:t>
      </w:r>
      <w:r>
        <w:t xml:space="preserve"> </w:t>
      </w:r>
      <w:hyperlink r:id="rId229">
        <w:r>
          <w:rPr>
            <w:rStyle w:val="Hyperlink"/>
          </w:rPr>
          <w:t xml:space="preserve">Community Considerations Around AI Contributions</w:t>
        </w:r>
      </w:hyperlink>
      <w:r>
        <w:t xml:space="preserve">, provides a good introduction to concerns and possible benefits of AI tool use.</w:t>
      </w:r>
    </w:p>
    <w:bookmarkEnd w:id="230"/>
    <w:bookmarkStart w:id="238" w:name="X0fd9f6a334a994816a6b65d265b82b3aa5e1c29"/>
    <w:p>
      <w:pPr>
        <w:pStyle w:val="Heading2"/>
      </w:pPr>
      <w:r>
        <w:t xml:space="preserve">Examples of FOSS project AI tool usage policies</w:t>
      </w:r>
    </w:p>
    <w:p>
      <w:pPr>
        <w:numPr>
          <w:ilvl w:val="0"/>
          <w:numId w:val="1043"/>
        </w:numPr>
      </w:pPr>
      <w:r>
        <w:t xml:space="preserve">GDAL:</w:t>
      </w:r>
      <w:r>
        <w:t xml:space="preserve"> </w:t>
      </w:r>
      <w:hyperlink r:id="rId231">
        <w:r>
          <w:rPr>
            <w:rStyle w:val="Hyperlink"/>
          </w:rPr>
          <w:t xml:space="preserve">LLM tool policy</w:t>
        </w:r>
      </w:hyperlink>
    </w:p>
    <w:p>
      <w:pPr>
        <w:numPr>
          <w:ilvl w:val="0"/>
          <w:numId w:val="1043"/>
        </w:numPr>
      </w:pPr>
      <w:r>
        <w:t xml:space="preserve">matplotlib:</w:t>
      </w:r>
      <w:r>
        <w:t xml:space="preserve"> </w:t>
      </w:r>
      <w:hyperlink r:id="rId232">
        <w:r>
          <w:rPr>
            <w:rStyle w:val="Hyperlink"/>
          </w:rPr>
          <w:t xml:space="preserve">Use of Generative AI guidelines</w:t>
        </w:r>
      </w:hyperlink>
    </w:p>
    <w:p>
      <w:pPr>
        <w:numPr>
          <w:ilvl w:val="0"/>
          <w:numId w:val="1043"/>
        </w:numPr>
      </w:pPr>
      <w:r>
        <w:t xml:space="preserve">NumPy:</w:t>
      </w:r>
      <w:r>
        <w:t xml:space="preserve"> </w:t>
      </w:r>
      <w:hyperlink r:id="rId233">
        <w:r>
          <w:rPr>
            <w:rStyle w:val="Hyperlink"/>
          </w:rPr>
          <w:t xml:space="preserve">AI Policy</w:t>
        </w:r>
      </w:hyperlink>
    </w:p>
    <w:p>
      <w:pPr>
        <w:numPr>
          <w:ilvl w:val="0"/>
          <w:numId w:val="1043"/>
        </w:numPr>
      </w:pPr>
      <w:r>
        <w:t xml:space="preserve">OpenJDK:</w:t>
      </w:r>
      <w:r>
        <w:t xml:space="preserve"> </w:t>
      </w:r>
      <w:hyperlink r:id="rId234">
        <w:r>
          <w:rPr>
            <w:rStyle w:val="Hyperlink"/>
          </w:rPr>
          <w:t xml:space="preserve">Interim Policy on Generative AI</w:t>
        </w:r>
      </w:hyperlink>
    </w:p>
    <w:p>
      <w:pPr>
        <w:numPr>
          <w:ilvl w:val="0"/>
          <w:numId w:val="1043"/>
        </w:numPr>
      </w:pPr>
      <w:r>
        <w:t xml:space="preserve">Python:</w:t>
      </w:r>
      <w:r>
        <w:t xml:space="preserve"> </w:t>
      </w:r>
      <w:hyperlink r:id="rId235">
        <w:r>
          <w:rPr>
            <w:rStyle w:val="Hyperlink"/>
          </w:rPr>
          <w:t xml:space="preserve">Generative AI guidelines</w:t>
        </w:r>
      </w:hyperlink>
    </w:p>
    <w:p>
      <w:pPr>
        <w:numPr>
          <w:ilvl w:val="0"/>
          <w:numId w:val="1043"/>
        </w:numPr>
      </w:pPr>
      <w:r>
        <w:t xml:space="preserve">QGIS:</w:t>
      </w:r>
      <w:r>
        <w:t xml:space="preserve"> </w:t>
      </w:r>
      <w:hyperlink r:id="rId236">
        <w:r>
          <w:rPr>
            <w:rStyle w:val="Hyperlink"/>
          </w:rPr>
          <w:t xml:space="preserve">AI tool use policy</w:t>
        </w:r>
      </w:hyperlink>
    </w:p>
    <w:p>
      <w:pPr>
        <w:numPr>
          <w:ilvl w:val="0"/>
          <w:numId w:val="1043"/>
        </w:numPr>
      </w:pPr>
      <w:r>
        <w:t xml:space="preserve">Zarr-Python:</w:t>
      </w:r>
      <w:r>
        <w:t xml:space="preserve"> </w:t>
      </w:r>
      <w:hyperlink r:id="rId237">
        <w:r>
          <w:rPr>
            <w:rStyle w:val="Hyperlink"/>
          </w:rPr>
          <w:t xml:space="preserve">AI-assisted contributions guidelines</w:t>
        </w:r>
      </w:hyperlink>
    </w:p>
    <w:bookmarkEnd w:id="238"/>
    <w:bookmarkStart w:id="241" w:name="X7bda34b8e3c93f3de9fb080bb91dfa6750ce2d4"/>
    <w:p>
      <w:pPr>
        <w:pStyle w:val="Heading2"/>
      </w:pPr>
      <w:r>
        <w:t xml:space="preserve">Overall landscape of FOSS AI tool usage policies</w:t>
      </w:r>
    </w:p>
    <w:p>
      <w:pPr>
        <w:numPr>
          <w:ilvl w:val="0"/>
          <w:numId w:val="1044"/>
        </w:numPr>
      </w:pPr>
      <w:r>
        <w:t xml:space="preserve">Kate Holterhoff, "The Generative AI Policy Landscape in Open Source". RedMonk article, 26 Feb 2026.</w:t>
      </w:r>
      <w:r>
        <w:t xml:space="preserve"> </w:t>
      </w:r>
      <w:hyperlink r:id="rId239">
        <w:r>
          <w:rPr>
            <w:rStyle w:val="Hyperlink"/>
          </w:rPr>
          <w:t xml:space="preserve">https://redmonk.com/kholterhoff/2026/02/26/generative-ai-policy-landscape-in-open-source</w:t>
        </w:r>
      </w:hyperlink>
    </w:p>
    <w:p>
      <w:pPr>
        <w:numPr>
          <w:ilvl w:val="0"/>
          <w:numId w:val="1044"/>
        </w:numPr>
      </w:pPr>
      <w:r>
        <w:t xml:space="preserve">Melissa Weber Mendonça, list of open source AI contribution policies.</w:t>
      </w:r>
      <w:r>
        <w:t xml:space="preserve"> </w:t>
      </w:r>
      <w:hyperlink r:id="rId240">
        <w:r>
          <w:rPr>
            <w:rStyle w:val="Hyperlink"/>
          </w:rPr>
          <w:t xml:space="preserve">https://github.com/melissawm/open-source-ai-contribution-policies</w:t>
        </w:r>
      </w:hyperlink>
      <w:r>
        <w:t xml:space="preserve">]</w:t>
      </w:r>
    </w:p>
    <w:bookmarkEnd w:id="241"/>
    <w:bookmarkEnd w:id="2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https://www.gnu.org/licenses/gpl-3.0.html</w:t>
        </w:r>
      </w:hyperlink>
    </w:p>
  </w:footnote>
  <w:footnote w:id="32">
    <w:p>
      <w:pPr>
        <w:pStyle w:val="FootnoteText"/>
      </w:pPr>
      <w:r>
        <w:rPr>
          <w:rStyle w:val="FootnoteReference"/>
        </w:rPr>
        <w:footnoteRef/>
      </w:r>
      <w:r>
        <w:t xml:space="preserve"> </w:t>
      </w:r>
      <w:hyperlink r:id="rId33">
        <w:r>
          <w:rPr>
            <w:rStyle w:val="Hyperlink"/>
          </w:rPr>
          <w:t xml:space="preserve">https://opensource.org/license/mit</w:t>
        </w:r>
      </w:hyperlink>
    </w:p>
  </w:footnote>
  <w:footnote w:id="34">
    <w:p>
      <w:pPr>
        <w:pStyle w:val="FootnoteText"/>
      </w:pPr>
      <w:r>
        <w:rPr>
          <w:rStyle w:val="FootnoteReference"/>
        </w:rPr>
        <w:footnoteRef/>
      </w:r>
      <w:r>
        <w:t xml:space="preserve"> </w:t>
      </w:r>
      <w:hyperlink r:id="rId35">
        <w:r>
          <w:rPr>
            <w:rStyle w:val="Hyperlink"/>
          </w:rPr>
          <w:t xml:space="preserve">https://www.apache.org/licenses/LICENSE-2.0</w:t>
        </w:r>
      </w:hyperlink>
    </w:p>
  </w:footnote>
  <w:footnote w:id="36">
    <w:p>
      <w:pPr>
        <w:pStyle w:val="FootnoteText"/>
      </w:pPr>
      <w:r>
        <w:rPr>
          <w:rStyle w:val="FootnoteReference"/>
        </w:rPr>
        <w:footnoteRef/>
      </w:r>
      <w:r>
        <w:t xml:space="preserve"> </w:t>
      </w:r>
      <w:hyperlink r:id="rId37">
        <w:r>
          <w:rPr>
            <w:rStyle w:val="Hyperlink"/>
          </w:rPr>
          <w:t xml:space="preserve">https://opensource.org/licenses</w:t>
        </w:r>
      </w:hyperlink>
    </w:p>
  </w:footnote>
  <w:footnote w:id="38">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3">
    <w:p>
      <w:pPr>
        <w:pStyle w:val="FootnoteText"/>
      </w:pPr>
      <w:r>
        <w:rPr>
          <w:rStyle w:val="FootnoteReference"/>
        </w:rPr>
        <w:footnoteRef/>
      </w:r>
      <w:r>
        <w:t xml:space="preserve"> </w:t>
      </w:r>
      <w:hyperlink r:id="rId44">
        <w:r>
          <w:rPr>
            <w:rStyle w:val="Hyperlink"/>
          </w:rPr>
          <w:t xml:space="preserve">https://wmo.int/wmo-unified-data-policy-resolution-res1</w:t>
        </w:r>
      </w:hyperlink>
    </w:p>
  </w:footnote>
  <w:footnote w:id="53">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4">
        <w:r>
          <w:rPr>
            <w:rStyle w:val="Hyperlink"/>
          </w:rPr>
          <w:t xml:space="preserve">https://digital-strategy.ec.europa.eu/en/library/study-about-impact-open-source-software-and-hardware-technological-independence-competitiveness-and</w:t>
        </w:r>
      </w:hyperlink>
    </w:p>
  </w:footnote>
  <w:footnote w:id="5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61">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2">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3">
        <w:r>
          <w:rPr>
            <w:rStyle w:val="Hyperlink"/>
          </w:rPr>
          <w:t xml:space="preserve">https://interoperable-europe.ec.europa.eu/collection/open-source-observatory-osor/open-source-software-country-intelligence</w:t>
        </w:r>
      </w:hyperlink>
    </w:p>
  </w:footnote>
  <w:footnote w:id="64">
    <w:p>
      <w:pPr>
        <w:pStyle w:val="FootnoteText"/>
      </w:pPr>
      <w:r>
        <w:rPr>
          <w:rStyle w:val="FootnoteReference"/>
        </w:rPr>
        <w:footnoteRef/>
      </w:r>
      <w:r>
        <w:t xml:space="preserve"> </w:t>
      </w:r>
      <w:r>
        <w:t xml:space="preserve">OMB Memorandum M-16-21, August 2016:</w:t>
      </w:r>
      <w:r>
        <w:t xml:space="preserve"> </w:t>
      </w:r>
      <w:hyperlink r:id="rId65">
        <w:r>
          <w:rPr>
            <w:rStyle w:val="Hyperlink"/>
          </w:rPr>
          <w:t xml:space="preserve">https://digital.gov/resources/requirements-for-achieving-efficiency-transparency-and-innovation-through-reusable-and-open-source-software</w:t>
        </w:r>
      </w:hyperlink>
    </w:p>
  </w:footnote>
  <w:footnote w:id="6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6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70">
    <w:p>
      <w:pPr>
        <w:pStyle w:val="FootnoteText"/>
      </w:pPr>
      <w:r>
        <w:rPr>
          <w:rStyle w:val="FootnoteReference"/>
        </w:rPr>
        <w:footnoteRef/>
      </w:r>
      <w:r>
        <w:t xml:space="preserve"> </w:t>
      </w:r>
      <w:r>
        <w:t xml:space="preserve">Ministry of Electronics and Information Technology (MeitY), 2015:</w:t>
      </w:r>
      <w:r>
        <w:t xml:space="preserve"> </w:t>
      </w:r>
      <w:hyperlink r:id="rId71">
        <w:r>
          <w:rPr>
            <w:rStyle w:val="Hyperlink"/>
          </w:rPr>
          <w:t xml:space="preserve">https://www.meity.gov.in/static/uploads/2024/02/policy_on_adoption_of_oss.pdf</w:t>
        </w:r>
      </w:hyperlink>
    </w:p>
  </w:footnote>
  <w:footnote w:id="72">
    <w:p>
      <w:pPr>
        <w:pStyle w:val="FootnoteText"/>
      </w:pPr>
      <w:r>
        <w:rPr>
          <w:rStyle w:val="FootnoteReference"/>
        </w:rPr>
        <w:footnoteRef/>
      </w:r>
      <w:r>
        <w:t xml:space="preserve"> </w:t>
      </w:r>
      <w:r>
        <w:t xml:space="preserve">Information-technology Promotion Agency (IPA), 2024:</w:t>
      </w:r>
      <w:r>
        <w:t xml:space="preserve"> </w:t>
      </w:r>
      <w:hyperlink r:id="rId73">
        <w:r>
          <w:rPr>
            <w:rStyle w:val="Hyperlink"/>
          </w:rPr>
          <w:t xml:space="preserve">https://interoperable-europe.ec.europa.eu/collection/open-source-observatory-osor/news/japans-2024-open-source-promotion-report</w:t>
        </w:r>
      </w:hyperlink>
    </w:p>
  </w:footnote>
  <w:footnote w:id="74">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76">
    <w:p>
      <w:pPr>
        <w:pStyle w:val="FootnoteText"/>
      </w:pPr>
      <w:r>
        <w:rPr>
          <w:rStyle w:val="FootnoteReference"/>
        </w:rPr>
        <w:footnoteRef/>
      </w:r>
      <w:r>
        <w:t xml:space="preserve"> </w:t>
      </w:r>
      <w:r>
        <w:t xml:space="preserve">Regulation (EU) 2024/903:</w:t>
      </w:r>
      <w:r>
        <w:t xml:space="preserve"> </w:t>
      </w:r>
      <w:hyperlink r:id="rId77">
        <w:r>
          <w:rPr>
            <w:rStyle w:val="Hyperlink"/>
          </w:rPr>
          <w:t xml:space="preserve">https://interoperable-europe.ec.europa.eu/interoperable-europe/interoperable-europe-act</w:t>
        </w:r>
      </w:hyperlink>
    </w:p>
  </w:footnote>
  <w:footnote w:id="78">
    <w:p>
      <w:pPr>
        <w:pStyle w:val="FootnoteText"/>
      </w:pPr>
      <w:r>
        <w:rPr>
          <w:rStyle w:val="FootnoteReference"/>
        </w:rPr>
        <w:footnoteRef/>
      </w:r>
      <w:r>
        <w:t xml:space="preserve"> </w:t>
      </w:r>
      <w:hyperlink r:id="rId79">
        <w:r>
          <w:rPr>
            <w:rStyle w:val="Hyperlink"/>
          </w:rPr>
          <w:t xml:space="preserve">https://wiki.osgeo.org/wiki/Local_Chapters</w:t>
        </w:r>
      </w:hyperlink>
    </w:p>
  </w:footnote>
  <w:footnote w:id="81">
    <w:p>
      <w:pPr>
        <w:pStyle w:val="FootnoteText"/>
      </w:pPr>
      <w:r>
        <w:rPr>
          <w:rStyle w:val="FootnoteReference"/>
        </w:rPr>
        <w:footnoteRef/>
      </w:r>
      <w:r>
        <w:t xml:space="preserve"> </w:t>
      </w:r>
      <w:hyperlink r:id="rId79">
        <w:r>
          <w:rPr>
            <w:rStyle w:val="Hyperlink"/>
          </w:rPr>
          <w:t xml:space="preserve">https://wiki.osgeo.org/wiki/Local_Chapters</w:t>
        </w:r>
      </w:hyperlink>
    </w:p>
  </w:footnote>
  <w:footnote w:id="103">
    <w:p>
      <w:pPr>
        <w:pStyle w:val="FootnoteText"/>
      </w:pPr>
      <w:r>
        <w:rPr>
          <w:rStyle w:val="FootnoteReference"/>
        </w:rPr>
        <w:footnoteRef/>
      </w:r>
      <w:r>
        <w:t xml:space="preserve"> </w:t>
      </w:r>
      <w:hyperlink r:id="rId104">
        <w:r>
          <w:rPr>
            <w:rStyle w:val="Hyperlink"/>
          </w:rPr>
          <w:t xml:space="preserve">https://www.osgeo.org/resources/project-graduation-checklist/</w:t>
        </w:r>
      </w:hyperlink>
    </w:p>
  </w:footnote>
  <w:footnote w:id="113">
    <w:p>
      <w:pPr>
        <w:pStyle w:val="FootnoteText"/>
      </w:pPr>
      <w:r>
        <w:rPr>
          <w:rStyle w:val="FootnoteReference"/>
        </w:rPr>
        <w:footnoteRef/>
      </w:r>
      <w:r>
        <w:t xml:space="preserve"> </w:t>
      </w:r>
      <w:hyperlink r:id="rId114">
        <w:r>
          <w:rPr>
            <w:rStyle w:val="Hyperlink"/>
          </w:rPr>
          <w:t xml:space="preserve">https://digitalpublicgoods.net/standard</w:t>
        </w:r>
      </w:hyperlink>
    </w:p>
  </w:footnote>
  <w:footnote w:id="118">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119">
    <w:p>
      <w:pPr>
        <w:pStyle w:val="FootnoteText"/>
      </w:pPr>
      <w:r>
        <w:rPr>
          <w:rStyle w:val="FootnoteReference"/>
        </w:rPr>
        <w:footnoteRef/>
      </w:r>
      <w:r>
        <w:t xml:space="preserve"> </w:t>
      </w:r>
      <w:hyperlink r:id="rId120">
        <w:r>
          <w:rPr>
            <w:rStyle w:val="Hyperlink"/>
          </w:rPr>
          <w:t xml:space="preserve">https://climate.copernicus.eu/code-earth-2025-advancing-energy-system-resilience-climate-data</w:t>
        </w:r>
      </w:hyperlink>
    </w:p>
  </w:footnote>
  <w:footnote w:id="127">
    <w:p>
      <w:pPr>
        <w:pStyle w:val="FootnoteText"/>
      </w:pPr>
      <w:r>
        <w:rPr>
          <w:rStyle w:val="FootnoteReference"/>
        </w:rPr>
        <w:footnoteRef/>
      </w:r>
      <w:r>
        <w:t xml:space="preserve"> </w:t>
      </w:r>
      <w:hyperlink r:id="rId128">
        <w:r>
          <w:rPr>
            <w:rStyle w:val="Hyperlink"/>
          </w:rPr>
          <w:t xml:space="preserve">https://wmo.int/wis-20</w:t>
        </w:r>
      </w:hyperlink>
    </w:p>
  </w:footnote>
  <w:footnote w:id="129">
    <w:p>
      <w:pPr>
        <w:pStyle w:val="FootnoteText"/>
      </w:pPr>
      <w:r>
        <w:rPr>
          <w:rStyle w:val="FootnoteReference"/>
        </w:rPr>
        <w:footnoteRef/>
      </w:r>
      <w:r>
        <w:t xml:space="preserve"> </w:t>
      </w:r>
      <w:hyperlink r:id="rId130">
        <w:r>
          <w:rPr>
            <w:rStyle w:val="Hyperlink"/>
          </w:rPr>
          <w:t xml:space="preserve">https://library.wmo.int/idviewer/66258/1147</w:t>
        </w:r>
      </w:hyperlink>
    </w:p>
  </w:footnote>
  <w:footnote w:id="131">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32">
        <w:r>
          <w:rPr>
            <w:rStyle w:val="Hyperlink"/>
          </w:rPr>
          <w:t xml:space="preserve">https://library.wmo.int/idurl/4/69050</w:t>
        </w:r>
      </w:hyperlink>
    </w:p>
  </w:footnote>
  <w:footnote w:id="133">
    <w:p>
      <w:pPr>
        <w:pStyle w:val="FootnoteText"/>
      </w:pPr>
      <w:r>
        <w:rPr>
          <w:rStyle w:val="FootnoteReference"/>
        </w:rPr>
        <w:footnoteRef/>
      </w:r>
      <w:r>
        <w:t xml:space="preserve"> </w:t>
      </w:r>
      <w:hyperlink r:id="rId134">
        <w:r>
          <w:rPr>
            <w:rStyle w:val="Hyperlink"/>
          </w:rPr>
          <w:t xml:space="preserve">https://raw.githubusercontent.com/wmo-im/wis2-guide/refs/heads/main/guide/images/architecture/c4.container.png</w:t>
        </w:r>
      </w:hyperlink>
    </w:p>
  </w:footnote>
  <w:footnote w:id="146">
    <w:p>
      <w:pPr>
        <w:pStyle w:val="FootnoteText"/>
      </w:pPr>
      <w:r>
        <w:rPr>
          <w:rStyle w:val="FootnoteReference"/>
        </w:rPr>
        <w:footnoteRef/>
      </w:r>
      <w:r>
        <w:t xml:space="preserve"> </w:t>
      </w:r>
      <w:hyperlink r:id="rId147">
        <w:r>
          <w:rPr>
            <w:rStyle w:val="Hyperlink"/>
          </w:rPr>
          <w:t xml:space="preserve">https://producingoss.com</w:t>
        </w:r>
      </w:hyperlink>
    </w:p>
  </w:footnote>
  <w:footnote w:id="149">
    <w:p>
      <w:pPr>
        <w:pStyle w:val="FootnoteText"/>
      </w:pPr>
      <w:r>
        <w:rPr>
          <w:rStyle w:val="FootnoteReference"/>
        </w:rPr>
        <w:footnoteRef/>
      </w:r>
      <w:r>
        <w:t xml:space="preserve"> </w:t>
      </w:r>
      <w:hyperlink r:id="rId150">
        <w:r>
          <w:rPr>
            <w:rStyle w:val="Hyperlink"/>
          </w:rPr>
          <w:t xml:space="preserve">https://interoperable-europe.ec.europa.eu/sites/default/files/custom-page/attachment/2026-01/osor-handbook.pdf</w:t>
        </w:r>
      </w:hyperlink>
    </w:p>
  </w:footnote>
  <w:footnote w:id="152">
    <w:p>
      <w:pPr>
        <w:pStyle w:val="FootnoteText"/>
      </w:pPr>
      <w:r>
        <w:rPr>
          <w:rStyle w:val="FootnoteReference"/>
        </w:rPr>
        <w:footnoteRef/>
      </w:r>
      <w:r>
        <w:t xml:space="preserve"> </w:t>
      </w:r>
      <w:hyperlink r:id="rId153">
        <w:r>
          <w:rPr>
            <w:rStyle w:val="Hyperlink"/>
          </w:rPr>
          <w:t xml:space="preserve">https://assets.public.digital/Open_Source_Report.pdf</w:t>
        </w:r>
      </w:hyperlink>
    </w:p>
  </w:footnote>
  <w:footnote w:id="155">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158">
    <w:p>
      <w:pPr>
        <w:pStyle w:val="FootnoteText"/>
      </w:pPr>
      <w:r>
        <w:rPr>
          <w:rStyle w:val="FootnoteReference"/>
        </w:rPr>
        <w:footnoteRef/>
      </w:r>
      <w:r>
        <w:t xml:space="preserve"> </w:t>
      </w:r>
      <w:hyperlink r:id="rId54">
        <w:r>
          <w:rPr>
            <w:rStyle w:val="Hyperlink"/>
          </w:rPr>
          <w:t xml:space="preserve">https://digital-strategy.ec.europa.eu/en/library/study-about-impact-open-source-software-and-hardware-technological-independence-competitiveness-and</w:t>
        </w:r>
      </w:hyperlink>
    </w:p>
  </w:footnote>
  <w:footnote w:id="160">
    <w:p>
      <w:pPr>
        <w:pStyle w:val="FootnoteText"/>
      </w:pPr>
      <w:r>
        <w:rPr>
          <w:rStyle w:val="FootnoteReference"/>
        </w:rPr>
        <w:footnoteRef/>
      </w:r>
      <w:r>
        <w:t xml:space="preserve"> </w:t>
      </w:r>
      <w:hyperlink r:id="rId56">
        <w:r>
          <w:rPr>
            <w:rStyle w:val="Hyperlink"/>
          </w:rPr>
          <w:t xml:space="preserve">https://blogs.worldbank.org/en/opendata/leveraging-open-source-public-institution-new-analysis-reveals-significant-returns-investment-open</w:t>
        </w:r>
      </w:hyperlink>
    </w:p>
  </w:footnote>
  <w:footnote w:id="162">
    <w:p>
      <w:pPr>
        <w:pStyle w:val="FootnoteText"/>
      </w:pPr>
      <w:r>
        <w:rPr>
          <w:rStyle w:val="FootnoteReference"/>
        </w:rPr>
        <w:footnoteRef/>
      </w:r>
      <w:r>
        <w:t xml:space="preserve"> </w:t>
      </w:r>
      <w:hyperlink r:id="rId163">
        <w:r>
          <w:rPr>
            <w:rStyle w:val="Hyperlink"/>
          </w:rPr>
          <w:t xml:space="preserve">https://www.linuxfoundation.org/research/contribution-roi</w:t>
        </w:r>
      </w:hyperlink>
    </w:p>
  </w:footnote>
  <w:footnote w:id="166">
    <w:p>
      <w:pPr>
        <w:pStyle w:val="FootnoteText"/>
      </w:pPr>
      <w:r>
        <w:rPr>
          <w:rStyle w:val="FootnoteReference"/>
        </w:rPr>
        <w:footnoteRef/>
      </w:r>
      <w:r>
        <w:t xml:space="preserve"> </w:t>
      </w:r>
      <w:hyperlink r:id="rId167">
        <w:r>
          <w:rPr>
            <w:rStyle w:val="Hyperlink"/>
          </w:rPr>
          <w:t xml:space="preserve">https://commission.europa.eu/about/departments-and-executive-agencies/digital-services/open-source-software-strategy_en</w:t>
        </w:r>
      </w:hyperlink>
    </w:p>
  </w:footnote>
  <w:footnote w:id="169">
    <w:p>
      <w:pPr>
        <w:pStyle w:val="FootnoteText"/>
      </w:pPr>
      <w:r>
        <w:rPr>
          <w:rStyle w:val="FootnoteReference"/>
        </w:rPr>
        <w:footnoteRef/>
      </w:r>
      <w:r>
        <w:t xml:space="preserve"> </w:t>
      </w:r>
      <w:hyperlink r:id="rId77">
        <w:r>
          <w:rPr>
            <w:rStyle w:val="Hyperlink"/>
          </w:rPr>
          <w:t xml:space="preserve">https://interoperable-europe.ec.europa.eu/interoperable-europe/interoperable-europe-act</w:t>
        </w:r>
      </w:hyperlink>
    </w:p>
  </w:footnote>
  <w:footnote w:id="171">
    <w:p>
      <w:pPr>
        <w:pStyle w:val="FootnoteText"/>
      </w:pPr>
      <w:r>
        <w:rPr>
          <w:rStyle w:val="FootnoteReference"/>
        </w:rPr>
        <w:footnoteRef/>
      </w:r>
      <w:r>
        <w:t xml:space="preserve"> </w:t>
      </w:r>
      <w:hyperlink r:id="rId172">
        <w:r>
          <w:rPr>
            <w:rStyle w:val="Hyperlink"/>
          </w:rPr>
          <w:t xml:space="preserve">https://digital-strategy.ec.europa.eu/en/policies/cra-open-source</w:t>
        </w:r>
      </w:hyperlink>
    </w:p>
  </w:footnote>
  <w:footnote w:id="174">
    <w:p>
      <w:pPr>
        <w:pStyle w:val="FootnoteText"/>
      </w:pPr>
      <w:r>
        <w:rPr>
          <w:rStyle w:val="FootnoteReference"/>
        </w:rPr>
        <w:footnoteRef/>
      </w:r>
      <w:r>
        <w:t xml:space="preserve"> </w:t>
      </w:r>
      <w:hyperlink r:id="rId65">
        <w:r>
          <w:rPr>
            <w:rStyle w:val="Hyperlink"/>
          </w:rPr>
          <w:t xml:space="preserve">https://digital.gov/resources/requirements-for-achieving-efficiency-transparency-and-innovation-through-reusable-and-open-source-software</w:t>
        </w:r>
      </w:hyperlink>
    </w:p>
  </w:footnote>
  <w:footnote w:id="17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17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180">
    <w:p>
      <w:pPr>
        <w:pStyle w:val="FootnoteText"/>
      </w:pPr>
      <w:r>
        <w:rPr>
          <w:rStyle w:val="FootnoteReference"/>
        </w:rPr>
        <w:footnoteRef/>
      </w:r>
      <w:r>
        <w:t xml:space="preserve"> </w:t>
      </w:r>
      <w:hyperlink r:id="rId71">
        <w:r>
          <w:rPr>
            <w:rStyle w:val="Hyperlink"/>
          </w:rPr>
          <w:t xml:space="preserve">https://www.meity.gov.in/static/uploads/2024/02/policy_on_adoption_of_oss.pdf</w:t>
        </w:r>
      </w:hyperlink>
    </w:p>
  </w:footnote>
  <w:footnote w:id="182">
    <w:p>
      <w:pPr>
        <w:pStyle w:val="FootnoteText"/>
      </w:pPr>
      <w:r>
        <w:rPr>
          <w:rStyle w:val="FootnoteReference"/>
        </w:rPr>
        <w:footnoteRef/>
      </w:r>
      <w:r>
        <w:t xml:space="preserve"> </w:t>
      </w:r>
      <w:hyperlink r:id="rId73">
        <w:r>
          <w:rPr>
            <w:rStyle w:val="Hyperlink"/>
          </w:rPr>
          <w:t xml:space="preserve">https://interoperable-europe.ec.europa.eu/collection/open-source-observatory-osor/news/japans-2024-open-source-promotion-report</w:t>
        </w:r>
      </w:hyperlink>
    </w:p>
  </w:footnote>
  <w:footnote w:id="184">
    <w:p>
      <w:pPr>
        <w:pStyle w:val="FootnoteText"/>
      </w:pPr>
      <w:r>
        <w:rPr>
          <w:rStyle w:val="FootnoteReference"/>
        </w:rPr>
        <w:footnoteRef/>
      </w:r>
      <w:r>
        <w:t xml:space="preserve"> </w:t>
      </w:r>
      <w:hyperlink r:id="rId185">
        <w:r>
          <w:rPr>
            <w:rStyle w:val="Hyperlink"/>
          </w:rPr>
          <w:t xml:space="preserve">https://github.com/spbgovbr</w:t>
        </w:r>
      </w:hyperlink>
    </w:p>
  </w:footnote>
  <w:footnote w:id="187">
    <w:p>
      <w:pPr>
        <w:pStyle w:val="FootnoteText"/>
      </w:pPr>
      <w:r>
        <w:rPr>
          <w:rStyle w:val="FootnoteReference"/>
        </w:rPr>
        <w:footnoteRef/>
      </w:r>
      <w:r>
        <w:t xml:space="preserve"> </w:t>
      </w:r>
      <w:hyperlink r:id="rId188">
        <w:r>
          <w:rPr>
            <w:rStyle w:val="Hyperlink"/>
          </w:rPr>
          <w:t xml:space="preserve">https://au.int/sites/default/files/documents/38507-doc-dts-english.pdf</w:t>
        </w:r>
      </w:hyperlink>
    </w:p>
  </w:footnote>
  <w:footnote w:id="190">
    <w:p>
      <w:pPr>
        <w:pStyle w:val="FootnoteText"/>
      </w:pPr>
      <w:r>
        <w:rPr>
          <w:rStyle w:val="FootnoteReference"/>
        </w:rPr>
        <w:footnoteRef/>
      </w:r>
      <w:r>
        <w:t xml:space="preserve"> </w:t>
      </w:r>
      <w:hyperlink r:id="rId62">
        <w:r>
          <w:rPr>
            <w:rStyle w:val="Hyperlink"/>
          </w:rPr>
          <w:t xml:space="preserve">https://www.csis.org/programs/strategic-technologies-program/resources/government-open-source-software-policies</w:t>
        </w:r>
      </w:hyperlink>
    </w:p>
  </w:footnote>
  <w:footnote w:id="193">
    <w:p>
      <w:pPr>
        <w:pStyle w:val="FootnoteText"/>
      </w:pPr>
      <w:r>
        <w:rPr>
          <w:rStyle w:val="FootnoteReference"/>
        </w:rPr>
        <w:footnoteRef/>
      </w:r>
      <w:r>
        <w:t xml:space="preserve"> </w:t>
      </w:r>
      <w:hyperlink r:id="rId114">
        <w:r>
          <w:rPr>
            <w:rStyle w:val="Hyperlink"/>
          </w:rPr>
          <w:t xml:space="preserve">https://digitalpublicgoods.net/standard</w:t>
        </w:r>
      </w:hyperlink>
    </w:p>
  </w:footnote>
  <w:footnote w:id="195">
    <w:p>
      <w:pPr>
        <w:pStyle w:val="FootnoteText"/>
      </w:pPr>
      <w:r>
        <w:rPr>
          <w:rStyle w:val="FootnoteReference"/>
        </w:rPr>
        <w:footnoteRef/>
      </w:r>
      <w:r>
        <w:t xml:space="preserve"> </w:t>
      </w:r>
      <w:hyperlink r:id="rId115">
        <w:r>
          <w:rPr>
            <w:rStyle w:val="Hyperlink"/>
          </w:rPr>
          <w:t xml:space="preserve">https://www.undp.org/digital/osee</w:t>
        </w:r>
      </w:hyperlink>
    </w:p>
  </w:footnote>
  <w:footnote w:id="197">
    <w:p>
      <w:pPr>
        <w:pStyle w:val="FootnoteText"/>
      </w:pPr>
      <w:r>
        <w:rPr>
          <w:rStyle w:val="FootnoteReference"/>
        </w:rPr>
        <w:footnoteRef/>
      </w:r>
      <w:r>
        <w:t xml:space="preserve"> </w:t>
      </w:r>
      <w:hyperlink r:id="rId198">
        <w:r>
          <w:rPr>
            <w:rStyle w:val="Hyperlink"/>
          </w:rPr>
          <w:t xml:space="preserve">https://www.undp.org/digital/standards/9-default-to-Open</w:t>
        </w:r>
      </w:hyperlink>
    </w:p>
  </w:footnote>
  <w:footnote w:id="200">
    <w:p>
      <w:pPr>
        <w:pStyle w:val="FootnoteText"/>
      </w:pPr>
      <w:r>
        <w:rPr>
          <w:rStyle w:val="FootnoteReference"/>
        </w:rPr>
        <w:footnoteRef/>
      </w:r>
      <w:r>
        <w:t xml:space="preserve"> </w:t>
      </w:r>
      <w:hyperlink r:id="rId201">
        <w:r>
          <w:rPr>
            <w:rStyle w:val="Hyperlink"/>
          </w:rPr>
          <w:t xml:space="preserve">https://documents.worldbank.org/en/publication/documents-reports/documentdetail/672901582561140400/open-source-for-global-public-goods</w:t>
        </w:r>
      </w:hyperlink>
    </w:p>
  </w:footnote>
  <w:footnote w:id="203">
    <w:p>
      <w:pPr>
        <w:pStyle w:val="FootnoteText"/>
      </w:pPr>
      <w:r>
        <w:rPr>
          <w:rStyle w:val="FootnoteReference"/>
        </w:rPr>
        <w:footnoteRef/>
      </w:r>
      <w:r>
        <w:t xml:space="preserve"> </w:t>
      </w:r>
      <w:hyperlink r:id="rId63">
        <w:r>
          <w:rPr>
            <w:rStyle w:val="Hyperlink"/>
          </w:rPr>
          <w:t xml:space="preserve">https://interoperable-europe.ec.europa.eu/collection/open-source-observatory-osor/open-source-software-country-intelligence</w:t>
        </w:r>
      </w:hyperlink>
    </w:p>
  </w:footnote>
  <w:footnote w:id="206">
    <w:p>
      <w:pPr>
        <w:pStyle w:val="FootnoteText"/>
      </w:pPr>
      <w:r>
        <w:rPr>
          <w:rStyle w:val="FootnoteReference"/>
        </w:rPr>
        <w:footnoteRef/>
      </w:r>
      <w:r>
        <w:t xml:space="preserve"> </w:t>
      </w:r>
      <w:hyperlink r:id="rId207">
        <w:r>
          <w:rPr>
            <w:rStyle w:val="Hyperlink"/>
          </w:rPr>
          <w:t xml:space="preserve">https://www.ecmwf.int/en/research/projects/openifs</w:t>
        </w:r>
      </w:hyperlink>
    </w:p>
  </w:footnote>
  <w:footnote w:id="209">
    <w:p>
      <w:pPr>
        <w:pStyle w:val="FootnoteText"/>
      </w:pPr>
      <w:r>
        <w:rPr>
          <w:rStyle w:val="FootnoteReference"/>
        </w:rPr>
        <w:footnoteRef/>
      </w:r>
      <w:r>
        <w:t xml:space="preserve"> </w:t>
      </w:r>
      <w:hyperlink r:id="rId120">
        <w:r>
          <w:rPr>
            <w:rStyle w:val="Hyperlink"/>
          </w:rPr>
          <w:t xml:space="preserve">https://climate.copernicus.eu/code-earth-2025-advancing-energy-system-resilience-climate-data</w:t>
        </w:r>
      </w:hyperlink>
    </w:p>
  </w:footnote>
  <w:footnote w:id="211">
    <w:p>
      <w:pPr>
        <w:pStyle w:val="FootnoteText"/>
      </w:pPr>
      <w:r>
        <w:rPr>
          <w:rStyle w:val="FootnoteReference"/>
        </w:rPr>
        <w:footnoteRef/>
      </w:r>
      <w:r>
        <w:t xml:space="preserve"> </w:t>
      </w:r>
      <w:hyperlink r:id="rId132">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3" Target="https://assets.public.digital/Open_Source_Report.pdf" TargetMode="External" /><Relationship Type="http://schemas.openxmlformats.org/officeDocument/2006/relationships/hyperlink" Id="rId188"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0" Target="https://climate.copernicus.eu/code-earth-2025-advancing-energy-system-resilience-climate-data" TargetMode="External" /><Relationship Type="http://schemas.openxmlformats.org/officeDocument/2006/relationships/hyperlink" Id="rId86" Target="https://codeberg.org" TargetMode="External" /><Relationship Type="http://schemas.openxmlformats.org/officeDocument/2006/relationships/hyperlink" Id="rId167"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4" Target="https://conda-forge.org" TargetMode="External" /><Relationship Type="http://schemas.openxmlformats.org/officeDocument/2006/relationships/hyperlink" Id="rId219" Target="https://data.ecmwf.int/" TargetMode="External" /><Relationship Type="http://schemas.openxmlformats.org/officeDocument/2006/relationships/hyperlink" Id="rId235"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2" Target="https://digital-strategy.ec.europa.eu/en/policies/cra-open-source" TargetMode="External" /><Relationship Type="http://schemas.openxmlformats.org/officeDocument/2006/relationships/hyperlink" Id="rId216"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4" Target="https://digitalpublicgoods.net/standard" TargetMode="External" /><Relationship Type="http://schemas.openxmlformats.org/officeDocument/2006/relationships/hyperlink" Id="rId229" Target="https://discuss.scientific-python.org/t/blog-community-considerations-around-ai-contributions/2234" TargetMode="External" /><Relationship Type="http://schemas.openxmlformats.org/officeDocument/2006/relationships/hyperlink" Id="rId135" Target="https://docs.wis2box.wis.wmo.int" TargetMode="External" /><Relationship Type="http://schemas.openxmlformats.org/officeDocument/2006/relationships/hyperlink" Id="rId201" Target="https://documents.worldbank.org/en/publication/documents-reports/documentdetail/672901582561140400/open-source-for-global-public-goods" TargetMode="External" /><Relationship Type="http://schemas.openxmlformats.org/officeDocument/2006/relationships/hyperlink" Id="rId91"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1" Target="https://gdal.org/en/stable/community/ai_tool_policy.html" TargetMode="External" /><Relationship Type="http://schemas.openxmlformats.org/officeDocument/2006/relationships/hyperlink" Id="rId90" Target="https://gitea.io" TargetMode="External" /><Relationship Type="http://schemas.openxmlformats.org/officeDocument/2006/relationships/hyperlink" Id="rId84" Target="https://github.com" TargetMode="External" /><Relationship Type="http://schemas.openxmlformats.org/officeDocument/2006/relationships/hyperlink" Id="rId137" Target="https://github.com/World-Meteorological-Organization/csv2bufr" TargetMode="External" /><Relationship Type="http://schemas.openxmlformats.org/officeDocument/2006/relationships/hyperlink" Id="rId139" Target="https://github.com/World-Meteorological-Organization/pywis-pubsub" TargetMode="External" /><Relationship Type="http://schemas.openxmlformats.org/officeDocument/2006/relationships/hyperlink" Id="rId138" Target="https://github.com/World-Meteorological-Organization/wis2downloader" TargetMode="External" /><Relationship Type="http://schemas.openxmlformats.org/officeDocument/2006/relationships/hyperlink" Id="rId240" Target="https://github.com/melissawm/open-source-ai-contribution-policies" TargetMode="External" /><Relationship Type="http://schemas.openxmlformats.org/officeDocument/2006/relationships/hyperlink" Id="rId236" Target="https://github.com/qgis/QGIS-Enhancement-Proposals/blob/master/qep-408-ai-tool-policy.md" TargetMode="External" /><Relationship Type="http://schemas.openxmlformats.org/officeDocument/2006/relationships/hyperlink" Id="rId185" Target="https://github.com/spbgovbr" TargetMode="External" /><Relationship Type="http://schemas.openxmlformats.org/officeDocument/2006/relationships/hyperlink" Id="rId136" Target="https://github.com/wmo-im/wis2-gdc" TargetMode="External" /><Relationship Type="http://schemas.openxmlformats.org/officeDocument/2006/relationships/hyperlink" Id="rId89" Target="https://gitlab.com" TargetMode="External" /><Relationship Type="http://schemas.openxmlformats.org/officeDocument/2006/relationships/hyperlink" Id="rId85"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0" Target="https://interoperable-europe.ec.europa.eu/sites/default/files/custom-page/attachment/2026-01/osor-handbook.pdf" TargetMode="External" /><Relationship Type="http://schemas.openxmlformats.org/officeDocument/2006/relationships/hyperlink" Id="rId132" Target="https://library.wmo.int/idurl/4/69050" TargetMode="External" /><Relationship Type="http://schemas.openxmlformats.org/officeDocument/2006/relationships/hyperlink" Id="rId130" Target="https://library.wmo.int/idviewer/66258/1147" TargetMode="External" /><Relationship Type="http://schemas.openxmlformats.org/officeDocument/2006/relationships/hyperlink" Id="rId232" Target="https://matplotlib.org/devdocs/devel/contribute.html#generative-ai" TargetMode="External" /><Relationship Type="http://schemas.openxmlformats.org/officeDocument/2006/relationships/hyperlink" Id="rId233"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4"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7" Target="https://opensource.worldbank.org" TargetMode="External" /><Relationship Type="http://schemas.openxmlformats.org/officeDocument/2006/relationships/hyperlink" Id="rId110" Target="https://osgeo.org" TargetMode="External" /><Relationship Type="http://schemas.openxmlformats.org/officeDocument/2006/relationships/hyperlink" Id="rId147" Target="https://producingoss.com" TargetMode="External" /><Relationship Type="http://schemas.openxmlformats.org/officeDocument/2006/relationships/hyperlink" Id="rId124" Target="https://project.oss4geo.org/" TargetMode="External" /><Relationship Type="http://schemas.openxmlformats.org/officeDocument/2006/relationships/hyperlink" Id="rId134" Target="https://raw.githubusercontent.com/wmo-im/wis2-guide/refs/heads/main/guide/images/architecture/c4.container.png" TargetMode="External" /><Relationship Type="http://schemas.openxmlformats.org/officeDocument/2006/relationships/hyperlink" Id="rId239" Target="https://redmonk.com/kholterhoff/2026/02/26/generative-ai-policy-landscape-in-open-source" TargetMode="External" /><Relationship Type="http://schemas.openxmlformats.org/officeDocument/2006/relationships/hyperlink" Id="rId225"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8"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2"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2"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1" Target="https://www.digitalpublicgoods.net" TargetMode="External" /><Relationship Type="http://schemas.openxmlformats.org/officeDocument/2006/relationships/hyperlink" Id="rId218" Target="https://www.ecmwf.int/en/forecasts/access-forecasts/access-real-time-open-data" TargetMode="External" /><Relationship Type="http://schemas.openxmlformats.org/officeDocument/2006/relationships/hyperlink" Id="rId217" Target="https://www.ecmwf.int/en/forecasts/datasets/open-data" TargetMode="External" /><Relationship Type="http://schemas.openxmlformats.org/officeDocument/2006/relationships/hyperlink" Id="rId207"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3" Target="https://www.gov.uk/guidance/national-data-strategy" TargetMode="External" /><Relationship Type="http://schemas.openxmlformats.org/officeDocument/2006/relationships/hyperlink" Id="rId116" Target="https://www.itu.int" TargetMode="External" /><Relationship Type="http://schemas.openxmlformats.org/officeDocument/2006/relationships/hyperlink" Id="rId163"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6" Target="https://www.nasa.gov/wp-content/uploads/2025/07/nasa-data-strategy.pdf" TargetMode="External" /><Relationship Type="http://schemas.openxmlformats.org/officeDocument/2006/relationships/hyperlink" Id="rId224" Target="https://www.noaa.gov/organization/administration/nao-212-15-Management-of-NOAA-Data-and-Information" TargetMode="External" /><Relationship Type="http://schemas.openxmlformats.org/officeDocument/2006/relationships/hyperlink" Id="rId107" Target="https://www.ogc.org" TargetMode="External" /><Relationship Type="http://schemas.openxmlformats.org/officeDocument/2006/relationships/hyperlink" Id="rId104" Target="https://www.osgeo.org/resources/project-graduation-checklist/" TargetMode="External" /><Relationship Type="http://schemas.openxmlformats.org/officeDocument/2006/relationships/hyperlink" Id="rId221" Target="https://www.planalto.gov.br/ccivil_03/_Ato2015-2018/2016/Decreto/D8777.htm" TargetMode="External" /><Relationship Type="http://schemas.openxmlformats.org/officeDocument/2006/relationships/hyperlink" Id="rId115" Target="https://www.undp.org/digital/osee" TargetMode="External" /><Relationship Type="http://schemas.openxmlformats.org/officeDocument/2006/relationships/hyperlink" Id="rId198" Target="https://www.undp.org/digital/standards/9-default-to-Open" TargetMode="External" /><Relationship Type="http://schemas.openxmlformats.org/officeDocument/2006/relationships/hyperlink" Id="rId237"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3" Target="https://assets.public.digital/Open_Source_Report.pdf" TargetMode="External" /><Relationship Type="http://schemas.openxmlformats.org/officeDocument/2006/relationships/hyperlink" Id="rId188"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0" Target="https://climate.copernicus.eu/code-earth-2025-advancing-energy-system-resilience-climate-data" TargetMode="External" /><Relationship Type="http://schemas.openxmlformats.org/officeDocument/2006/relationships/hyperlink" Id="rId86" Target="https://codeberg.org" TargetMode="External" /><Relationship Type="http://schemas.openxmlformats.org/officeDocument/2006/relationships/hyperlink" Id="rId167"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4" Target="https://conda-forge.org" TargetMode="External" /><Relationship Type="http://schemas.openxmlformats.org/officeDocument/2006/relationships/hyperlink" Id="rId219" Target="https://data.ecmwf.int/" TargetMode="External" /><Relationship Type="http://schemas.openxmlformats.org/officeDocument/2006/relationships/hyperlink" Id="rId235"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2" Target="https://digital-strategy.ec.europa.eu/en/policies/cra-open-source" TargetMode="External" /><Relationship Type="http://schemas.openxmlformats.org/officeDocument/2006/relationships/hyperlink" Id="rId216"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4" Target="https://digitalpublicgoods.net/standard" TargetMode="External" /><Relationship Type="http://schemas.openxmlformats.org/officeDocument/2006/relationships/hyperlink" Id="rId229" Target="https://discuss.scientific-python.org/t/blog-community-considerations-around-ai-contributions/2234" TargetMode="External" /><Relationship Type="http://schemas.openxmlformats.org/officeDocument/2006/relationships/hyperlink" Id="rId135" Target="https://docs.wis2box.wis.wmo.int" TargetMode="External" /><Relationship Type="http://schemas.openxmlformats.org/officeDocument/2006/relationships/hyperlink" Id="rId201" Target="https://documents.worldbank.org/en/publication/documents-reports/documentdetail/672901582561140400/open-source-for-global-public-goods" TargetMode="External" /><Relationship Type="http://schemas.openxmlformats.org/officeDocument/2006/relationships/hyperlink" Id="rId91"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1" Target="https://gdal.org/en/stable/community/ai_tool_policy.html" TargetMode="External" /><Relationship Type="http://schemas.openxmlformats.org/officeDocument/2006/relationships/hyperlink" Id="rId90" Target="https://gitea.io" TargetMode="External" /><Relationship Type="http://schemas.openxmlformats.org/officeDocument/2006/relationships/hyperlink" Id="rId84" Target="https://github.com" TargetMode="External" /><Relationship Type="http://schemas.openxmlformats.org/officeDocument/2006/relationships/hyperlink" Id="rId137" Target="https://github.com/World-Meteorological-Organization/csv2bufr" TargetMode="External" /><Relationship Type="http://schemas.openxmlformats.org/officeDocument/2006/relationships/hyperlink" Id="rId139" Target="https://github.com/World-Meteorological-Organization/pywis-pubsub" TargetMode="External" /><Relationship Type="http://schemas.openxmlformats.org/officeDocument/2006/relationships/hyperlink" Id="rId138" Target="https://github.com/World-Meteorological-Organization/wis2downloader" TargetMode="External" /><Relationship Type="http://schemas.openxmlformats.org/officeDocument/2006/relationships/hyperlink" Id="rId240" Target="https://github.com/melissawm/open-source-ai-contribution-policies" TargetMode="External" /><Relationship Type="http://schemas.openxmlformats.org/officeDocument/2006/relationships/hyperlink" Id="rId236" Target="https://github.com/qgis/QGIS-Enhancement-Proposals/blob/master/qep-408-ai-tool-policy.md" TargetMode="External" /><Relationship Type="http://schemas.openxmlformats.org/officeDocument/2006/relationships/hyperlink" Id="rId185" Target="https://github.com/spbgovbr" TargetMode="External" /><Relationship Type="http://schemas.openxmlformats.org/officeDocument/2006/relationships/hyperlink" Id="rId136" Target="https://github.com/wmo-im/wis2-gdc" TargetMode="External" /><Relationship Type="http://schemas.openxmlformats.org/officeDocument/2006/relationships/hyperlink" Id="rId89" Target="https://gitlab.com" TargetMode="External" /><Relationship Type="http://schemas.openxmlformats.org/officeDocument/2006/relationships/hyperlink" Id="rId85"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0" Target="https://interoperable-europe.ec.europa.eu/sites/default/files/custom-page/attachment/2026-01/osor-handbook.pdf" TargetMode="External" /><Relationship Type="http://schemas.openxmlformats.org/officeDocument/2006/relationships/hyperlink" Id="rId132" Target="https://library.wmo.int/idurl/4/69050" TargetMode="External" /><Relationship Type="http://schemas.openxmlformats.org/officeDocument/2006/relationships/hyperlink" Id="rId130" Target="https://library.wmo.int/idviewer/66258/1147" TargetMode="External" /><Relationship Type="http://schemas.openxmlformats.org/officeDocument/2006/relationships/hyperlink" Id="rId232" Target="https://matplotlib.org/devdocs/devel/contribute.html#generative-ai" TargetMode="External" /><Relationship Type="http://schemas.openxmlformats.org/officeDocument/2006/relationships/hyperlink" Id="rId233"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4"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7" Target="https://opensource.worldbank.org" TargetMode="External" /><Relationship Type="http://schemas.openxmlformats.org/officeDocument/2006/relationships/hyperlink" Id="rId110" Target="https://osgeo.org" TargetMode="External" /><Relationship Type="http://schemas.openxmlformats.org/officeDocument/2006/relationships/hyperlink" Id="rId147" Target="https://producingoss.com" TargetMode="External" /><Relationship Type="http://schemas.openxmlformats.org/officeDocument/2006/relationships/hyperlink" Id="rId124" Target="https://project.oss4geo.org/" TargetMode="External" /><Relationship Type="http://schemas.openxmlformats.org/officeDocument/2006/relationships/hyperlink" Id="rId134" Target="https://raw.githubusercontent.com/wmo-im/wis2-guide/refs/heads/main/guide/images/architecture/c4.container.png" TargetMode="External" /><Relationship Type="http://schemas.openxmlformats.org/officeDocument/2006/relationships/hyperlink" Id="rId239" Target="https://redmonk.com/kholterhoff/2026/02/26/generative-ai-policy-landscape-in-open-source" TargetMode="External" /><Relationship Type="http://schemas.openxmlformats.org/officeDocument/2006/relationships/hyperlink" Id="rId225"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8"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2"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2"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1" Target="https://www.digitalpublicgoods.net" TargetMode="External" /><Relationship Type="http://schemas.openxmlformats.org/officeDocument/2006/relationships/hyperlink" Id="rId218" Target="https://www.ecmwf.int/en/forecasts/access-forecasts/access-real-time-open-data" TargetMode="External" /><Relationship Type="http://schemas.openxmlformats.org/officeDocument/2006/relationships/hyperlink" Id="rId217" Target="https://www.ecmwf.int/en/forecasts/datasets/open-data" TargetMode="External" /><Relationship Type="http://schemas.openxmlformats.org/officeDocument/2006/relationships/hyperlink" Id="rId207"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3" Target="https://www.gov.uk/guidance/national-data-strategy" TargetMode="External" /><Relationship Type="http://schemas.openxmlformats.org/officeDocument/2006/relationships/hyperlink" Id="rId116" Target="https://www.itu.int" TargetMode="External" /><Relationship Type="http://schemas.openxmlformats.org/officeDocument/2006/relationships/hyperlink" Id="rId163"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6" Target="https://www.nasa.gov/wp-content/uploads/2025/07/nasa-data-strategy.pdf" TargetMode="External" /><Relationship Type="http://schemas.openxmlformats.org/officeDocument/2006/relationships/hyperlink" Id="rId224" Target="https://www.noaa.gov/organization/administration/nao-212-15-Management-of-NOAA-Data-and-Information" TargetMode="External" /><Relationship Type="http://schemas.openxmlformats.org/officeDocument/2006/relationships/hyperlink" Id="rId107" Target="https://www.ogc.org" TargetMode="External" /><Relationship Type="http://schemas.openxmlformats.org/officeDocument/2006/relationships/hyperlink" Id="rId104" Target="https://www.osgeo.org/resources/project-graduation-checklist/" TargetMode="External" /><Relationship Type="http://schemas.openxmlformats.org/officeDocument/2006/relationships/hyperlink" Id="rId221" Target="https://www.planalto.gov.br/ccivil_03/_Ato2015-2018/2016/Decreto/D8777.htm" TargetMode="External" /><Relationship Type="http://schemas.openxmlformats.org/officeDocument/2006/relationships/hyperlink" Id="rId115" Target="https://www.undp.org/digital/osee" TargetMode="External" /><Relationship Type="http://schemas.openxmlformats.org/officeDocument/2006/relationships/hyperlink" Id="rId198" Target="https://www.undp.org/digital/standards/9-default-to-Open" TargetMode="External" /><Relationship Type="http://schemas.openxmlformats.org/officeDocument/2006/relationships/hyperlink" Id="rId237"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2026-06-27T23:29:12Z</dcterms:created>
  <dcterms:modified xsi:type="dcterms:W3CDTF">2026-06-27T23:29:12Z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2026-06-27</vt:lpwstr>
  </property>
</Properties>
</file>