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numPr>
          <w:ilvl w:val="0"/>
          <w:numId w:val="1001"/>
        </w:numPr>
      </w:pPr>
      <w:r>
        <w:t xml:space="preserve">use notes from TT-OSS document to INFCOM Management Group</w:t>
      </w:r>
    </w:p>
    <w:p>
      <w:pPr>
        <w:numPr>
          <w:ilvl w:val="0"/>
          <w:numId w:val="1001"/>
        </w:numPr>
      </w:pPr>
      <w:r>
        <w:t xml:space="preserve">strong usage, increasing usage</w:t>
      </w:r>
    </w:p>
    <w:p>
      <w:pPr>
        <w:numPr>
          <w:ilvl w:val="0"/>
          <w:numId w:val="1001"/>
        </w:numPr>
      </w:pPr>
      <w:r>
        <w:t xml:space="preserve">WIS 2.0 as an example of FOSS dev during standards dev</w:t>
      </w:r>
    </w:p>
    <w:p>
      <w:pPr>
        <w:numPr>
          <w:ilvl w:val="0"/>
          <w:numId w:val="1001"/>
        </w:numPr>
      </w:pPr>
      <w:r>
        <w:t xml:space="preserve">needs coordination</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58" w:name="X3148c62ae8380655b8c29f1e8f24835e28abe42"/>
    <w:p>
      <w:pPr>
        <w:pStyle w:val="Heading1"/>
      </w:pPr>
      <w:r>
        <w:t xml:space="preserve">Guidelines</w:t>
      </w:r>
    </w:p>
    <w:bookmarkStart w:id="41" w:name="Xafc3c35aae3bdfeb1706aa82a2c86b245796cb3"/>
    <w:p>
      <w:pPr>
        <w:pStyle w:val="Heading2"/>
      </w:pPr>
      <w:r>
        <w:t xml:space="preserve">WMO Members</w:t>
      </w:r>
    </w:p>
    <w:bookmarkStart w:id="32" w:name="X6e6120c13b4fdf0aca0a8db50173eb0f817f9bb"/>
    <w:p>
      <w:pPr>
        <w:pStyle w:val="Heading3"/>
      </w:pPr>
      <w:r>
        <w:t xml:space="preserve">Using FOSS</w:t>
      </w:r>
    </w:p>
    <w:p>
      <w:pPr>
        <w:numPr>
          <w:ilvl w:val="0"/>
          <w:numId w:val="1002"/>
        </w:numPr>
      </w:pPr>
      <w:r>
        <w:t xml:space="preserve">FOSS as an option during software evaluation</w:t>
      </w:r>
    </w:p>
    <w:p>
      <w:pPr>
        <w:numPr>
          <w:ilvl w:val="0"/>
          <w:numId w:val="1002"/>
        </w:numPr>
      </w:pPr>
      <w:r>
        <w:t xml:space="preserve">Risk, hidden costs (TODO Jian)</w:t>
      </w:r>
    </w:p>
    <w:p>
      <w:pPr>
        <w:numPr>
          <w:ilvl w:val="1"/>
          <w:numId w:val="1003"/>
        </w:numPr>
      </w:pPr>
      <w:r>
        <w:t xml:space="preserve">Principles apply to ANY software</w:t>
      </w:r>
    </w:p>
    <w:p>
      <w:pPr>
        <w:numPr>
          <w:ilvl w:val="1"/>
          <w:numId w:val="1003"/>
        </w:numPr>
      </w:pPr>
      <w:r>
        <w:t xml:space="preserve">Risk management</w:t>
      </w:r>
    </w:p>
    <w:p>
      <w:pPr>
        <w:numPr>
          <w:ilvl w:val="1"/>
          <w:numId w:val="1003"/>
        </w:numPr>
      </w:pPr>
      <w:r>
        <w:t xml:space="preserve">Due diligence (maintenance, updates)</w:t>
      </w:r>
    </w:p>
    <w:p>
      <w:pPr>
        <w:numPr>
          <w:ilvl w:val="0"/>
          <w:numId w:val="1002"/>
        </w:numPr>
      </w:pPr>
      <w:r>
        <w:t xml:space="preserve">Lifecycle management/EOL → migration</w:t>
      </w:r>
    </w:p>
    <w:p>
      <w:pPr>
        <w:numPr>
          <w:ilvl w:val="0"/>
          <w:numId w:val="1002"/>
        </w:numPr>
      </w:pPr>
      <w:r>
        <w:t xml:space="preserve">Total cost of ownership considerations</w:t>
      </w:r>
    </w:p>
    <w:p>
      <w:pPr>
        <w:numPr>
          <w:ilvl w:val="1"/>
          <w:numId w:val="1004"/>
        </w:numPr>
      </w:pPr>
      <w:r>
        <w:t xml:space="preserve">HR profile / IT capacity of organization</w:t>
      </w:r>
    </w:p>
    <w:p>
      <w:pPr>
        <w:numPr>
          <w:ilvl w:val="0"/>
          <w:numId w:val="1002"/>
        </w:numPr>
      </w:pPr>
      <w:r>
        <w:t xml:space="preserve">Benefits (freedom, cost, reducing vendor lock in, portability) (TODO Jian)</w:t>
      </w:r>
    </w:p>
    <w:p>
      <w:pPr>
        <w:numPr>
          <w:ilvl w:val="0"/>
          <w:numId w:val="1002"/>
        </w:numPr>
      </w:pPr>
      <w:r>
        <w:t xml:space="preserve">Infrastructure considerations</w:t>
      </w:r>
    </w:p>
    <w:bookmarkStart w:id="30" w:name="X9f39c0194175d17a1927980a996db60f4864ec7"/>
    <w:p>
      <w:pPr>
        <w:pStyle w:val="Heading4"/>
      </w:pPr>
      <w:r>
        <w:t xml:space="preserve">Risks</w:t>
      </w:r>
    </w:p>
    <w:p>
      <w:pPr>
        <w:numPr>
          <w:ilvl w:val="0"/>
          <w:numId w:val="1005"/>
        </w:numPr>
      </w:pPr>
      <w:r>
        <w:rPr>
          <w:bCs/>
          <w:b/>
        </w:rPr>
        <w:t xml:space="preserve">License compliance risks</w:t>
      </w:r>
      <w:r>
        <w:t xml:space="preserve"> </w:t>
      </w:r>
      <w:r>
        <w:t xml:space="preserve">Open source licenses often have widely varying requirements regarding commercial use,</w:t>
      </w:r>
      <w:r>
        <w:t xml:space="preserve"> </w:t>
      </w:r>
      <w:r>
        <w:t xml:space="preserve">redistribution, and code modification. Certain licenses include restrictive clauses, such as mandating that derivative</w:t>
      </w:r>
      <w:r>
        <w:t xml:space="preserve"> </w:t>
      </w:r>
      <w:r>
        <w:t xml:space="preserve">works be made open source or that original copyright notices be preserved in full. Violations may lead to legal disputes</w:t>
      </w:r>
      <w:r>
        <w:t xml:space="preserve"> </w:t>
      </w:r>
      <w:r>
        <w:t xml:space="preserve">and intellectual property issues.</w:t>
      </w:r>
    </w:p>
    <w:p>
      <w:pPr>
        <w:numPr>
          <w:ilvl w:val="0"/>
          <w:numId w:val="1005"/>
        </w:numPr>
      </w:pPr>
      <w:r>
        <w:rPr>
          <w:bCs/>
          <w:b/>
        </w:rPr>
        <w:t xml:space="preserve">Security and continuity risks</w:t>
      </w:r>
      <w:r>
        <w:t xml:space="preserve">: Open source software from niche projects or less-established projects may pose</w:t>
      </w:r>
      <w:r>
        <w:t xml:space="preserve"> </w:t>
      </w:r>
      <w:r>
        <w:t xml:space="preserve">security risks due to limited formal code audits. Additionally, the complexity of open source software supply chains</w:t>
      </w:r>
      <w:r>
        <w:t xml:space="preserve"> </w:t>
      </w:r>
      <w:r>
        <w:t xml:space="preserve">creates vulnerabilities that could be exploited to implant malicious code. These risks are amplified in meteorological</w:t>
      </w:r>
      <w:r>
        <w:t xml:space="preserve"> </w:t>
      </w:r>
      <w:r>
        <w:t xml:space="preserve">applications, especially when handling sensitive observational data or real-time forecasting models.</w:t>
      </w:r>
    </w:p>
    <w:p>
      <w:pPr>
        <w:numPr>
          <w:ilvl w:val="0"/>
          <w:numId w:val="1005"/>
        </w:numPr>
      </w:pPr>
      <w:r>
        <w:rPr>
          <w:bCs/>
          <w:b/>
        </w:rPr>
        <w:t xml:space="preserve">Maintenance risks</w:t>
      </w:r>
      <w:r>
        <w:t xml:space="preserve">: Fixes for vulnerabilities rely on community responsiveness. If an open source project is</w:t>
      </w:r>
      <w:r>
        <w:t xml:space="preserve"> </w:t>
      </w:r>
      <w:r>
        <w:t xml:space="preserve">discontinued, known vulnerabilities may remain unaddressed.</w:t>
      </w:r>
    </w:p>
    <w:p>
      <w:pPr>
        <w:numPr>
          <w:ilvl w:val="0"/>
          <w:numId w:val="1005"/>
        </w:numPr>
      </w:pPr>
      <w:r>
        <w:rPr>
          <w:bCs/>
          <w:b/>
        </w:rPr>
        <w:t xml:space="preserve">Support risks</w:t>
      </w:r>
      <w:r>
        <w:t xml:space="preserve">: Most open source software lacks official support. As a result, timely response and effective</w:t>
      </w:r>
      <w:r>
        <w:t xml:space="preserve"> </w:t>
      </w:r>
      <w:r>
        <w:t xml:space="preserve">resolutions of critical operational system failures cannot be guaranteed, potentially leading to interruptions</w:t>
      </w:r>
      <w:r>
        <w:t xml:space="preserve"> </w:t>
      </w:r>
      <w:r>
        <w:t xml:space="preserve">in meteorological operation and data loss.</w:t>
      </w:r>
    </w:p>
    <w:bookmarkEnd w:id="30"/>
    <w:bookmarkStart w:id="31" w:name="X96fe6307f54f8490e649c5bdcc4c76a3d6f608b"/>
    <w:p>
      <w:pPr>
        <w:pStyle w:val="Heading4"/>
      </w:pPr>
      <w:r>
        <w:t xml:space="preserve">Hidden costs</w:t>
      </w:r>
    </w:p>
    <w:p>
      <w:pPr>
        <w:numPr>
          <w:ilvl w:val="0"/>
          <w:numId w:val="1006"/>
        </w:numPr>
      </w:pPr>
      <w:r>
        <w:rPr>
          <w:bCs/>
          <w:b/>
        </w:rPr>
        <w:t xml:space="preserve">Technical adaptation and integration costs</w:t>
      </w:r>
      <w:r>
        <w:t xml:space="preserve">: Human resources must be allocated for secondary development (customization),</w:t>
      </w:r>
      <w:r>
        <w:t xml:space="preserve"> </w:t>
      </w:r>
      <w:r>
        <w:t xml:space="preserve">system interface integration, and compatibility testing to ensure the software aligns with existing business systems.</w:t>
      </w:r>
    </w:p>
    <w:p>
      <w:pPr>
        <w:numPr>
          <w:ilvl w:val="0"/>
          <w:numId w:val="1006"/>
        </w:numPr>
      </w:pPr>
      <w:r>
        <w:rPr>
          <w:bCs/>
          <w:b/>
        </w:rPr>
        <w:t xml:space="preserve">Long-term maintenance and version management costs</w:t>
      </w:r>
      <w:r>
        <w:t xml:space="preserve">: Dedicated personnel are needed to track version updates, conduct</w:t>
      </w:r>
      <w:r>
        <w:t xml:space="preserve"> </w:t>
      </w:r>
      <w:r>
        <w:t xml:space="preserve">testing, and manage migrations. If a project is discontinued, taking over its maintenance internally entails high</w:t>
      </w:r>
      <w:r>
        <w:t xml:space="preserve"> </w:t>
      </w:r>
      <w:r>
        <w:t xml:space="preserve">technical challenges and added operational complexity.</w:t>
      </w:r>
    </w:p>
    <w:p>
      <w:pPr>
        <w:numPr>
          <w:ilvl w:val="0"/>
          <w:numId w:val="1006"/>
        </w:numPr>
      </w:pPr>
      <w:r>
        <w:rPr>
          <w:bCs/>
          <w:b/>
        </w:rPr>
        <w:t xml:space="preserve">Talent acquisition and training costs</w:t>
      </w:r>
      <w:r>
        <w:t xml:space="preserve">: Recruiting skilled professionals can be expensive, and ongoing in-house</w:t>
      </w:r>
      <w:r>
        <w:t xml:space="preserve"> </w:t>
      </w:r>
      <w:r>
        <w:t xml:space="preserve">training is required to maintain the necessary expertise.</w:t>
      </w:r>
    </w:p>
    <w:p>
      <w:pPr>
        <w:numPr>
          <w:ilvl w:val="0"/>
          <w:numId w:val="1006"/>
        </w:numPr>
      </w:pPr>
      <w:r>
        <w:rPr>
          <w:bCs/>
          <w:b/>
        </w:rPr>
        <w:t xml:space="preserve">Compliance audit and management costs</w:t>
      </w:r>
      <w:r>
        <w:t xml:space="preserve">: It is necessary to maintain an inventory of all open source components and</w:t>
      </w:r>
      <w:r>
        <w:t xml:space="preserve"> </w:t>
      </w:r>
      <w:r>
        <w:t xml:space="preserve">perform regular compliance audits. Large meteorological organizations may also need to develop dedicated management</w:t>
      </w:r>
      <w:r>
        <w:t xml:space="preserve"> </w:t>
      </w:r>
      <w:r>
        <w:t xml:space="preserve">platforms, with costs increasing as the number of components grows.</w:t>
      </w:r>
    </w:p>
    <w:bookmarkEnd w:id="31"/>
    <w:bookmarkEnd w:id="32"/>
    <w:bookmarkStart w:id="34" w:name="Xc3643c74377f85c9a4aa3b901502d228a87a410"/>
    <w:p>
      <w:pPr>
        <w:pStyle w:val="Heading3"/>
      </w:pPr>
      <w:r>
        <w:t xml:space="preserve">Contributing to FOSS</w:t>
      </w:r>
    </w:p>
    <w:bookmarkStart w:id="33"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7"/>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7"/>
        </w:numPr>
      </w:pPr>
      <w:r>
        <w:t xml:space="preserve">Guidelines for software development funded from public budget, encouraging publication of code under approved open-source licenses.</w:t>
      </w:r>
    </w:p>
    <w:p>
      <w:pPr>
        <w:numPr>
          <w:ilvl w:val="0"/>
          <w:numId w:val="1007"/>
        </w:numPr>
      </w:pPr>
      <w:r>
        <w:t xml:space="preserve">Policies promoting interoperability and open standards, which naturally align with FOSS implementations within WIS2 and other WMO technical frameworks.</w:t>
      </w:r>
    </w:p>
    <w:p>
      <w:pPr>
        <w:numPr>
          <w:ilvl w:val="0"/>
          <w:numId w:val="1007"/>
        </w:numPr>
      </w:pPr>
      <w:r>
        <w:t xml:space="preserve">Capacity-building programs that enable staff to acquire skills for maintaining and developing open-source tools, reducing long-term operational dependency on external vendors.</w:t>
      </w:r>
    </w:p>
    <w:p>
      <w:pPr>
        <w:numPr>
          <w:ilvl w:val="0"/>
          <w:numId w:val="1007"/>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8"/>
        </w:numPr>
      </w:pPr>
      <w:r>
        <w:t xml:space="preserve">Establish internal rules for licensing, contribution approval and repository management.</w:t>
      </w:r>
    </w:p>
    <w:p>
      <w:pPr>
        <w:numPr>
          <w:ilvl w:val="0"/>
          <w:numId w:val="1008"/>
        </w:numPr>
      </w:pPr>
      <w:r>
        <w:t xml:space="preserve">Define procedures for evaluating FOSS components (governance, community health, maintenance model).</w:t>
      </w:r>
    </w:p>
    <w:p>
      <w:pPr>
        <w:numPr>
          <w:ilvl w:val="0"/>
          <w:numId w:val="1008"/>
        </w:numPr>
      </w:pPr>
      <w:r>
        <w:t xml:space="preserve">Incorporate sustainability planning (including contribution back to upstream projects when fixes or new features are developed internally).</w:t>
      </w:r>
    </w:p>
    <w:p>
      <w:pPr>
        <w:numPr>
          <w:ilvl w:val="0"/>
          <w:numId w:val="1008"/>
        </w:numPr>
      </w:pPr>
      <w:r>
        <w:t xml:space="preserve">Promote transparency by adopting open repositories for research software and operational tools.</w:t>
      </w:r>
    </w:p>
    <w:p>
      <w:pPr>
        <w:numPr>
          <w:ilvl w:val="0"/>
          <w:numId w:val="1008"/>
        </w:numPr>
      </w:pPr>
      <w:r>
        <w:t xml:space="preserve">Events/hackathons (e.g. OGC/OSGeo/ASF Joint Sprints) TODO Vasile</w:t>
      </w:r>
    </w:p>
    <w:p>
      <w:pPr>
        <w:numPr>
          <w:ilvl w:val="1"/>
          <w:numId w:val="1009"/>
        </w:numPr>
      </w:pPr>
      <w:r>
        <w:t xml:space="preserve">By product: connection/collab</w:t>
      </w:r>
    </w:p>
    <w:p>
      <w:pPr>
        <w:numPr>
          <w:ilvl w:val="0"/>
          <w:numId w:val="1008"/>
        </w:numPr>
      </w:pPr>
      <w:r>
        <w:t xml:space="preserve">Regulations / risk / constraints / considerations</w:t>
      </w:r>
    </w:p>
    <w:p>
      <w:pPr>
        <w:numPr>
          <w:ilvl w:val="1"/>
          <w:numId w:val="1010"/>
        </w:numPr>
      </w:pPr>
      <w:r>
        <w:t xml:space="preserve">Features, maintenance, project</w:t>
      </w:r>
    </w:p>
    <w:bookmarkEnd w:id="33"/>
    <w:bookmarkEnd w:id="34"/>
    <w:bookmarkStart w:id="38"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35">
        <w:r>
          <w:rPr>
            <w:rStyle w:val="Hyperlink"/>
          </w:rPr>
          <w:t xml:space="preserve">GitHub</w:t>
        </w:r>
      </w:hyperlink>
      <w:r>
        <w:t xml:space="preserve">,</w:t>
      </w:r>
      <w:r>
        <w:t xml:space="preserve"> </w:t>
      </w:r>
      <w:hyperlink r:id="rId36">
        <w:r>
          <w:rPr>
            <w:rStyle w:val="Hyperlink"/>
          </w:rPr>
          <w:t xml:space="preserve">GitLab</w:t>
        </w:r>
      </w:hyperlink>
      <w:r>
        <w:t xml:space="preserve">,</w:t>
      </w:r>
      <w:r>
        <w:t xml:space="preserve"> </w:t>
      </w:r>
      <w:hyperlink r:id="rId37">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1"/>
        </w:numPr>
      </w:pPr>
      <w:r>
        <w:t xml:space="preserve">Establish an "architecture of participation":</w:t>
      </w:r>
    </w:p>
    <w:p>
      <w:pPr>
        <w:numPr>
          <w:ilvl w:val="1"/>
          <w:numId w:val="1012"/>
        </w:numPr>
      </w:pPr>
      <w:r>
        <w:t xml:space="preserve">Who will be responsible for development, release management, and accepting external contributions?</w:t>
      </w:r>
    </w:p>
    <w:p>
      <w:pPr>
        <w:numPr>
          <w:ilvl w:val="1"/>
          <w:numId w:val="1012"/>
        </w:numPr>
      </w:pPr>
      <w:r>
        <w:t xml:space="preserve">How will commit access be governed and managed? Does the project need a project steering committee or group of stakeholders to help drive the project?</w:t>
      </w:r>
    </w:p>
    <w:p>
      <w:pPr>
        <w:numPr>
          <w:ilvl w:val="1"/>
          <w:numId w:val="1012"/>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2"/>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2"/>
        </w:numPr>
      </w:pPr>
      <w:r>
        <w:t xml:space="preserve">Make clear how security issues should be addressed (mitigation/release policies/timelines, contact points, etc.)</w:t>
      </w:r>
    </w:p>
    <w:p>
      <w:pPr>
        <w:numPr>
          <w:ilvl w:val="1"/>
          <w:numId w:val="1012"/>
        </w:numPr>
      </w:pPr>
      <w:r>
        <w:t xml:space="preserve">What is the release schedule for new versions?</w:t>
      </w:r>
    </w:p>
    <w:p>
      <w:pPr>
        <w:numPr>
          <w:ilvl w:val="0"/>
          <w:numId w:val="1011"/>
        </w:numPr>
      </w:pPr>
      <w:r>
        <w:t xml:space="preserve">Choose a license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1"/>
        </w:numPr>
      </w:pPr>
      <w:r>
        <w:t xml:space="preserve">Choose the mechanism by which the software will be made available (GitHub, GtiLab, Codeberg, organizational website, etc.)</w:t>
      </w:r>
    </w:p>
    <w:p>
      <w:pPr>
        <w:numPr>
          <w:ilvl w:val="0"/>
          <w:numId w:val="1011"/>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1"/>
        </w:numPr>
      </w:pPr>
      <w:r>
        <w:t xml:space="preserve">Identify any supported WMO Technical Regulations</w:t>
      </w:r>
    </w:p>
    <w:p>
      <w:pPr>
        <w:numPr>
          <w:ilvl w:val="0"/>
          <w:numId w:val="1011"/>
        </w:numPr>
      </w:pPr>
      <w:r>
        <w:t xml:space="preserve">Ensure that the project has proper documentation for users (downloading, installing, configuring, running), as well as additinal documentation for developer or othe audience types (administrators, etc.)</w:t>
      </w:r>
    </w:p>
    <w:p>
      <w:pPr>
        <w:numPr>
          <w:ilvl w:val="0"/>
          <w:numId w:val="1011"/>
        </w:numPr>
      </w:pPr>
      <w:r>
        <w:t xml:space="preserve">Ensure the code is versioned (for example using Git as a version control system)</w:t>
      </w:r>
    </w:p>
    <w:bookmarkEnd w:id="38"/>
    <w:bookmarkStart w:id="39" w:name="X9d7d7d6ea94ad65228026d4f333f4762282f2b4"/>
    <w:p>
      <w:pPr>
        <w:pStyle w:val="Heading3"/>
      </w:pPr>
      <w:r>
        <w:t xml:space="preserve">Core Benefits of Open Source Software</w:t>
      </w:r>
    </w:p>
    <w:p>
      <w:pPr>
        <w:pStyle w:val="FirstParagraph"/>
      </w:pPr>
      <w:r>
        <w:t xml:space="preserve">The core benefits of open source software can be summarized on three dimensions: autonomy and control, cost optimization,</w:t>
      </w:r>
      <w:r>
        <w:t xml:space="preserve"> </w:t>
      </w:r>
      <w:r>
        <w:t xml:space="preserve">and ecosystem flexibility—offering both practical advantages and adaptability. Details are as follows:</w:t>
      </w:r>
    </w:p>
    <w:p>
      <w:pPr>
        <w:numPr>
          <w:ilvl w:val="0"/>
          <w:numId w:val="1013"/>
        </w:numPr>
      </w:pPr>
      <w:r>
        <w:rPr>
          <w:bCs/>
          <w:b/>
        </w:rPr>
        <w:t xml:space="preserve">Exceptional autonomy and control</w:t>
      </w:r>
      <w:r>
        <w:t xml:space="preserve">: The code is open and licenses are flexible, allowing meteorological organizations</w:t>
      </w:r>
      <w:r>
        <w:t xml:space="preserve"> </w:t>
      </w:r>
      <w:r>
        <w:t xml:space="preserve">to perform deep customization as needed, directly modifying the code to add or remove functional modules to suit unique</w:t>
      </w:r>
      <w:r>
        <w:t xml:space="preserve"> </w:t>
      </w:r>
      <w:r>
        <w:t xml:space="preserve">operational scenarios (e.g., regional weather forecasting adjustments). This level of access also allows them to</w:t>
      </w:r>
      <w:r>
        <w:t xml:space="preserve"> </w:t>
      </w:r>
      <w:r>
        <w:t xml:space="preserve">independently identify and fix vulnerabilities, optimize performance for massive meteorological data processing, and</w:t>
      </w:r>
      <w:r>
        <w:t xml:space="preserve"> </w:t>
      </w:r>
      <w:r>
        <w:t xml:space="preserve">control the technical roadmap of core systems. Certain permissive licenses (e.g., MIT License, Apache License 2.0) even</w:t>
      </w:r>
      <w:r>
        <w:t xml:space="preserve"> </w:t>
      </w:r>
      <w:r>
        <w:t xml:space="preserve">permit using modified code as closed source in commercial products, balancing customization needs with operational requirements.</w:t>
      </w:r>
    </w:p>
    <w:p>
      <w:pPr>
        <w:numPr>
          <w:ilvl w:val="0"/>
          <w:numId w:val="1013"/>
        </w:numPr>
      </w:pPr>
      <w:r>
        <w:rPr>
          <w:bCs/>
          <w:b/>
        </w:rPr>
        <w:t xml:space="preserve">Significant cost advantages</w:t>
      </w:r>
      <w:r>
        <w:t xml:space="preserve">: No software license fees or subscription fees are required, suitable for national meteorological</w:t>
      </w:r>
      <w:r>
        <w:t xml:space="preserve"> </w:t>
      </w:r>
      <w:r>
        <w:t xml:space="preserve">services as well as deployments in regional forecasting centers. The availability of source code and community documentation</w:t>
      </w:r>
      <w:r>
        <w:t xml:space="preserve"> </w:t>
      </w:r>
      <w:r>
        <w:t xml:space="preserve">reduces trial-and-error costs during secondary development, making necessary human resource investment more manageable.</w:t>
      </w:r>
      <w:r>
        <w:t xml:space="preserve"> </w:t>
      </w:r>
      <w:r>
        <w:t xml:space="preserve">Meteorological organizations can also choose free community support or affordable third-party services (specialized in</w:t>
      </w:r>
      <w:r>
        <w:t xml:space="preserve"> </w:t>
      </w:r>
      <w:r>
        <w:t xml:space="preserve">meteorological applications) instead of expensive vendor support packages.</w:t>
      </w:r>
    </w:p>
    <w:p>
      <w:pPr>
        <w:numPr>
          <w:ilvl w:val="0"/>
          <w:numId w:val="1013"/>
        </w:numPr>
      </w:pPr>
      <w:r>
        <w:rPr>
          <w:bCs/>
          <w:b/>
        </w:rPr>
        <w:t xml:space="preserve">Avoiding vendor lock-in risks</w:t>
      </w:r>
      <w:r>
        <w:t xml:space="preserve">: Free from proprietary interfaces and data format dependencies, enabling free choice of</w:t>
      </w:r>
      <w:r>
        <w:t xml:space="preserve"> </w:t>
      </w:r>
      <w:r>
        <w:t xml:space="preserve">deployment environments (e.g., private or public clouds). Even if the original project is discontinued, maintenance can</w:t>
      </w:r>
      <w:r>
        <w:t xml:space="preserve"> </w:t>
      </w:r>
      <w:r>
        <w:t xml:space="preserve">be taken over independently or by a third party. Moreover, multiple service providers are often support the same open</w:t>
      </w:r>
      <w:r>
        <w:t xml:space="preserve"> </w:t>
      </w:r>
      <w:r>
        <w:t xml:space="preserve">source software, strengthening the user’s bargaining power.</w:t>
      </w:r>
    </w:p>
    <w:p>
      <w:pPr>
        <w:numPr>
          <w:ilvl w:val="0"/>
          <w:numId w:val="1013"/>
        </w:numPr>
      </w:pPr>
      <w:r>
        <w:rPr>
          <w:bCs/>
          <w:b/>
        </w:rPr>
        <w:t xml:space="preserve">Excellent cross-platform portability</w:t>
      </w:r>
      <w:r>
        <w:t xml:space="preserve">: Most open source tools run on multiple operating systems (e.g., Windows and</w:t>
      </w:r>
      <w:r>
        <w:t xml:space="preserve"> </w:t>
      </w:r>
      <w:r>
        <w:t xml:space="preserve">Linux), eliminating the need for separate purchases. Adherence to common technical standards (e.g., WMO GRIB data formats)</w:t>
      </w:r>
      <w:r>
        <w:t xml:space="preserve"> </w:t>
      </w:r>
      <w:r>
        <w:t xml:space="preserve">lowers system integration difficulty. Modular design facilitates containerized deployment and cross-cluster migration,</w:t>
      </w:r>
      <w:r>
        <w:t xml:space="preserve"> </w:t>
      </w:r>
      <w:r>
        <w:t xml:space="preserve">adapting to architectural upgrades in meteorological data centers.</w:t>
      </w:r>
    </w:p>
    <w:bookmarkEnd w:id="39"/>
    <w:bookmarkStart w:id="40" w:name="Xeb34abddd4dbe7814f37bd62538a9f1edbf60c6"/>
    <w:p>
      <w:pPr>
        <w:pStyle w:val="Heading3"/>
      </w:pPr>
      <w:r>
        <w:t xml:space="preserve">Infrastructure considerations</w:t>
      </w:r>
    </w:p>
    <w:bookmarkEnd w:id="40"/>
    <w:bookmarkEnd w:id="41"/>
    <w:bookmarkStart w:id="57" w:name="X6bcf1cf9c376d92376d2e0d9f96c3afb74e806b"/>
    <w:p>
      <w:pPr>
        <w:pStyle w:val="Heading2"/>
      </w:pPr>
      <w:r>
        <w:t xml:space="preserve">WMO Activities</w:t>
      </w:r>
    </w:p>
    <w:bookmarkStart w:id="42" w:name="Xffac0e98aef200720a26298781747a5d6352066"/>
    <w:p>
      <w:pPr>
        <w:pStyle w:val="Heading3"/>
      </w:pPr>
      <w:r>
        <w:t xml:space="preserve">Coordination, alignment and support (TODO Dave/Enrico)</w:t>
      </w:r>
    </w:p>
    <w:p>
      <w:pPr>
        <w:numPr>
          <w:ilvl w:val="0"/>
          <w:numId w:val="1014"/>
        </w:numPr>
      </w:pPr>
      <w:r>
        <w:t xml:space="preserve">Coordination/support functions</w:t>
      </w:r>
    </w:p>
    <w:p>
      <w:pPr>
        <w:numPr>
          <w:ilvl w:val="0"/>
          <w:numId w:val="1014"/>
        </w:numPr>
      </w:pPr>
      <w:r>
        <w:t xml:space="preserve">Software selection for WMO projects and application development</w:t>
      </w:r>
    </w:p>
    <w:p>
      <w:pPr>
        <w:numPr>
          <w:ilvl w:val="0"/>
          <w:numId w:val="1014"/>
        </w:numPr>
      </w:pPr>
      <w:r>
        <w:t xml:space="preserve">Managing FOSS activities</w:t>
      </w:r>
    </w:p>
    <w:p>
      <w:pPr>
        <w:numPr>
          <w:ilvl w:val="0"/>
          <w:numId w:val="1014"/>
        </w:numPr>
      </w:pPr>
      <w:r>
        <w:t xml:space="preserve">Aligning with WMO ecosystem of activities</w:t>
      </w:r>
    </w:p>
    <w:p>
      <w:pPr>
        <w:numPr>
          <w:ilvl w:val="0"/>
          <w:numId w:val="1014"/>
        </w:numPr>
      </w:pPr>
      <w:r>
        <w:t xml:space="preserve">Ensuring sustainability of FOSS usage</w:t>
      </w:r>
    </w:p>
    <w:p>
      <w:pPr>
        <w:numPr>
          <w:ilvl w:val="0"/>
          <w:numId w:val="1014"/>
        </w:numPr>
      </w:pPr>
      <w:r>
        <w:t xml:space="preserve">Managing risk</w:t>
      </w:r>
    </w:p>
    <w:p>
      <w:pPr>
        <w:numPr>
          <w:ilvl w:val="0"/>
          <w:numId w:val="1014"/>
        </w:numPr>
      </w:pPr>
      <w:r>
        <w:t xml:space="preserve">Functions</w:t>
      </w:r>
    </w:p>
    <w:p>
      <w:pPr>
        <w:numPr>
          <w:ilvl w:val="0"/>
          <w:numId w:val="1014"/>
        </w:numPr>
      </w:pPr>
      <w:r>
        <w:t xml:space="preserve">People</w:t>
      </w:r>
    </w:p>
    <w:bookmarkEnd w:id="42"/>
    <w:bookmarkStart w:id="43" w:name="Xc7a9bd0e5b06720cd7545663d17a58f87557081"/>
    <w:p>
      <w:pPr>
        <w:pStyle w:val="Heading3"/>
      </w:pPr>
      <w:r>
        <w:t xml:space="preserve">Standards compliance</w:t>
      </w:r>
    </w:p>
    <w:p>
      <w:pPr>
        <w:numPr>
          <w:ilvl w:val="0"/>
          <w:numId w:val="1015"/>
        </w:numPr>
      </w:pPr>
      <w:r>
        <w:t xml:space="preserve">Compatability / compliance matrix</w:t>
      </w:r>
    </w:p>
    <w:p>
      <w:pPr>
        <w:numPr>
          <w:ilvl w:val="0"/>
          <w:numId w:val="1015"/>
        </w:numPr>
      </w:pPr>
      <w:r>
        <w:t xml:space="preserve">Open Standards &lt;→ FOSS support matrix</w:t>
      </w:r>
    </w:p>
    <w:p>
      <w:pPr>
        <w:numPr>
          <w:ilvl w:val="0"/>
          <w:numId w:val="1015"/>
        </w:numPr>
      </w:pPr>
      <w:r>
        <w:t xml:space="preserve">Implementation of WMO Tech Regs / compliance ?</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43"/>
    <w:bookmarkStart w:id="49" w:name="X4a9739f194c9c8657b3d86e4d1160cf5556d3dd"/>
    <w:p>
      <w:pPr>
        <w:pStyle w:val="Heading3"/>
      </w:pPr>
      <w:r>
        <w:t xml:space="preserve">Software review and evaluation</w:t>
      </w:r>
    </w:p>
    <w:p>
      <w:pPr>
        <w:numPr>
          <w:ilvl w:val="0"/>
          <w:numId w:val="1016"/>
        </w:numPr>
      </w:pPr>
      <w:r>
        <w:t xml:space="preserve">Software identification and selection (TODO Vasile)</w:t>
      </w:r>
    </w:p>
    <w:p>
      <w:pPr>
        <w:numPr>
          <w:ilvl w:val="1"/>
          <w:numId w:val="1017"/>
        </w:numPr>
      </w:pPr>
      <w:r>
        <w:t xml:space="preserve">Project checklist/assessment</w:t>
      </w:r>
    </w:p>
    <w:p>
      <w:pPr>
        <w:numPr>
          <w:ilvl w:val="0"/>
          <w:numId w:val="1016"/>
        </w:numPr>
      </w:pPr>
      <w:r>
        <w:t xml:space="preserve">"Approved projects" and/or Reference Implementations</w:t>
      </w:r>
    </w:p>
    <w:p>
      <w:pPr>
        <w:numPr>
          <w:ilvl w:val="1"/>
          <w:numId w:val="1018"/>
        </w:numPr>
      </w:pPr>
      <w:r>
        <w:t xml:space="preserve">Make Tech Regs more concrete</w:t>
      </w:r>
    </w:p>
    <w:p>
      <w:pPr>
        <w:numPr>
          <w:ilvl w:val="1"/>
          <w:numId w:val="1018"/>
        </w:numPr>
      </w:pPr>
      <w:r>
        <w:t xml:space="preserve">Tech Regs → FOSS implementations</w:t>
      </w:r>
    </w:p>
    <w:p>
      <w:pPr>
        <w:numPr>
          <w:ilvl w:val="1"/>
          <w:numId w:val="1018"/>
        </w:numPr>
      </w:pPr>
      <w:r>
        <w:t xml:space="preserve">Should FOSS be cited in WMO Tech Regs (suggest no)</w:t>
      </w:r>
    </w:p>
    <w:p>
      <w:pPr>
        <w:numPr>
          <w:ilvl w:val="1"/>
          <w:numId w:val="1018"/>
        </w:numPr>
      </w:pPr>
      <w:r>
        <w:t xml:space="preserve">Criteria needed (TODO Jian)</w:t>
      </w:r>
    </w:p>
    <w:p>
      <w:pPr>
        <w:numPr>
          <w:ilvl w:val="2"/>
          <w:numId w:val="1019"/>
        </w:numPr>
      </w:pPr>
      <w:r>
        <w:t xml:space="preserve">Compliance (data exchange)</w:t>
      </w:r>
    </w:p>
    <w:p>
      <w:pPr>
        <w:numPr>
          <w:ilvl w:val="2"/>
          <w:numId w:val="1019"/>
        </w:numPr>
      </w:pPr>
      <w:r>
        <w:t xml:space="preserve">Software evaluation (FOSS!) checklist → confidence</w:t>
      </w:r>
    </w:p>
    <w:p>
      <w:pPr>
        <w:numPr>
          <w:ilvl w:val="2"/>
          <w:numId w:val="1019"/>
        </w:numPr>
      </w:pPr>
      <w:r>
        <w:t xml:space="preserve">Readiness</w:t>
      </w:r>
    </w:p>
    <w:p>
      <w:pPr>
        <w:numPr>
          <w:ilvl w:val="2"/>
          <w:numId w:val="1019"/>
        </w:numPr>
      </w:pPr>
      <w:r>
        <w:t xml:space="preserve">Bus/retirement factor</w:t>
      </w:r>
    </w:p>
    <w:p>
      <w:pPr>
        <w:numPr>
          <w:ilvl w:val="1"/>
          <w:numId w:val="1018"/>
        </w:numPr>
      </w:pPr>
      <w:r>
        <w:t xml:space="preserve">Rolling review</w:t>
      </w:r>
    </w:p>
    <w:p>
      <w:pPr>
        <w:numPr>
          <w:ilvl w:val="0"/>
          <w:numId w:val="1016"/>
        </w:numPr>
      </w:pPr>
      <w:r>
        <w:t xml:space="preserve">Harmonization: regular review of ecosystem to ensure alignment and optimal use of resources</w:t>
      </w:r>
    </w:p>
    <w:bookmarkStart w:id="44" w:name="X70a6559818b95fce2bd9ae81c00ef1d1cefaa26"/>
    <w:p>
      <w:pPr>
        <w:pStyle w:val="Heading4"/>
      </w:pPr>
      <w:r>
        <w:t xml:space="preserve">Compliance (data exchange)</w:t>
      </w:r>
    </w:p>
    <w:p>
      <w:pPr>
        <w:numPr>
          <w:ilvl w:val="0"/>
          <w:numId w:val="1020"/>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0"/>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0"/>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44"/>
    <w:bookmarkStart w:id="45" w:name="Xd6aa053202d81f998ac3c471b2c3701964feada"/>
    <w:p>
      <w:pPr>
        <w:pStyle w:val="Heading4"/>
      </w:pPr>
      <w:r>
        <w:t xml:space="preserve">Software evaluation</w:t>
      </w:r>
    </w:p>
    <w:p>
      <w:pPr>
        <w:numPr>
          <w:ilvl w:val="0"/>
          <w:numId w:val="1021"/>
        </w:numPr>
      </w:pPr>
      <w:r>
        <w:rPr>
          <w:bCs/>
          <w:b/>
        </w:rPr>
        <w:t xml:space="preserve">Core Evaluation Checklist</w:t>
      </w:r>
      <w:r>
        <w:t xml:space="preserve">:</w:t>
      </w:r>
    </w:p>
    <w:p>
      <w:pPr>
        <w:numPr>
          <w:ilvl w:val="1"/>
          <w:numId w:val="1022"/>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2"/>
        </w:numPr>
      </w:pPr>
      <w:r>
        <w:rPr>
          <w:iCs/>
          <w:i/>
        </w:rPr>
        <w:t xml:space="preserve">Compliance</w:t>
      </w:r>
      <w:r>
        <w:t xml:space="preserve">: License is OSI-approved with no license conflicts, and complies with WMO data policies and relevant regulations.</w:t>
      </w:r>
    </w:p>
    <w:p>
      <w:pPr>
        <w:numPr>
          <w:ilvl w:val="1"/>
          <w:numId w:val="1022"/>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2"/>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2"/>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1"/>
        </w:numPr>
      </w:pPr>
      <w:r>
        <w:rPr>
          <w:bCs/>
          <w:b/>
        </w:rPr>
        <w:t xml:space="preserve">Confidence Assurance:</w:t>
      </w:r>
    </w:p>
    <w:p>
      <w:pPr>
        <w:numPr>
          <w:ilvl w:val="1"/>
          <w:numId w:val="1023"/>
        </w:numPr>
      </w:pPr>
      <w:r>
        <w:t xml:space="preserve">Adopt standardized evaluation processes and quantifiable metrics to ensure objectivity and repeatability of results.</w:t>
      </w:r>
    </w:p>
    <w:p>
      <w:pPr>
        <w:numPr>
          <w:ilvl w:val="1"/>
          <w:numId w:val="1023"/>
        </w:numPr>
      </w:pPr>
      <w:r>
        <w:t xml:space="preserve">Validate core functionality through a Proof-of-Concept (PoC) approach, incorporating feedback collected from real-world operational scenarios.</w:t>
      </w:r>
    </w:p>
    <w:p>
      <w:pPr>
        <w:numPr>
          <w:ilvl w:val="1"/>
          <w:numId w:val="1023"/>
        </w:numPr>
      </w:pPr>
      <w:r>
        <w:t xml:space="preserve">Conduct multi-dimensional verification, including code audits, security vulnerability scans, and in-depth open source community research, to confirm the reliability of the software.</w:t>
      </w:r>
    </w:p>
    <w:bookmarkEnd w:id="45"/>
    <w:bookmarkStart w:id="46"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46"/>
    <w:bookmarkStart w:id="47" w:name="X7ac9eb2de0a58765e5e1d02a37aa10e96708288"/>
    <w:p>
      <w:pPr>
        <w:pStyle w:val="Heading4"/>
      </w:pPr>
      <w:r>
        <w:t xml:space="preserve">Bus/retirement factor</w:t>
      </w:r>
    </w:p>
    <w:bookmarkEnd w:id="47"/>
    <w:bookmarkStart w:id="48" w:name="Xfb9753c7dbd15fe1ef39b415a291554b843dc57"/>
    <w:p>
      <w:pPr>
        <w:pStyle w:val="Heading4"/>
      </w:pPr>
      <w:r>
        <w:t xml:space="preserve">Business Fit and Retirement Considerations</w:t>
      </w:r>
    </w:p>
    <w:p>
      <w:pPr>
        <w:numPr>
          <w:ilvl w:val="0"/>
          <w:numId w:val="1024"/>
        </w:numPr>
      </w:pPr>
      <w:r>
        <w:t xml:space="preserve">Business Fit</w:t>
      </w:r>
    </w:p>
    <w:p>
      <w:pPr>
        <w:numPr>
          <w:ilvl w:val="1"/>
          <w:numId w:val="1025"/>
        </w:numPr>
      </w:pPr>
      <w:r>
        <w:t xml:space="preserve">Offers seamless integration with existing meteorological operational processes, minimizing the need for process adjustments.</w:t>
      </w:r>
    </w:p>
    <w:p>
      <w:pPr>
        <w:numPr>
          <w:ilvl w:val="1"/>
          <w:numId w:val="1025"/>
        </w:numPr>
      </w:pPr>
      <w:r>
        <w:t xml:space="preserve">Supports custom development and feature expansion to meet evolving needs (such as business scaling and new scenario integration).</w:t>
      </w:r>
    </w:p>
    <w:p>
      <w:pPr>
        <w:numPr>
          <w:ilvl w:val="1"/>
          <w:numId w:val="1025"/>
        </w:numPr>
      </w:pPr>
      <w:r>
        <w:t xml:space="preserve">Aligns with users’ habits in meteorological operations by providing a user-friendly interface and flexible configuration options.</w:t>
      </w:r>
    </w:p>
    <w:p>
      <w:pPr>
        <w:numPr>
          <w:ilvl w:val="0"/>
          <w:numId w:val="1024"/>
        </w:numPr>
      </w:pPr>
      <w:r>
        <w:t xml:space="preserve">Retirement Planning</w:t>
      </w:r>
    </w:p>
    <w:p>
      <w:pPr>
        <w:numPr>
          <w:ilvl w:val="1"/>
          <w:numId w:val="1026"/>
        </w:numPr>
      </w:pPr>
      <w:r>
        <w:t xml:space="preserve">Establish a clear data archiving plan to ensure secure storage and traceability of historical meteorological data after the software is decommissioned.</w:t>
      </w:r>
    </w:p>
    <w:p>
      <w:pPr>
        <w:numPr>
          <w:ilvl w:val="1"/>
          <w:numId w:val="1026"/>
        </w:numPr>
      </w:pPr>
      <w:r>
        <w:t xml:space="preserve">Proactively assess the costs of migrating to new systems, and establish a smooth migration path to ensure business continuity.</w:t>
      </w:r>
    </w:p>
    <w:p>
      <w:pPr>
        <w:numPr>
          <w:ilvl w:val="1"/>
          <w:numId w:val="1026"/>
        </w:numPr>
      </w:pPr>
      <w:r>
        <w:t xml:space="preserve">Define clear responsibilities and standardized procedures for software retirement to mitigate potential risks (e.g., data leakage, system conflicts, and service disruptions).</w:t>
      </w:r>
    </w:p>
    <w:bookmarkEnd w:id="48"/>
    <w:bookmarkEnd w:id="49"/>
    <w:bookmarkStart w:id="56"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50"/>
      </w:r>
    </w:p>
    <w:p>
      <w:pPr>
        <w:pStyle w:val="BodyText"/>
      </w:pPr>
      <w:r>
        <w:t xml:space="preserve">The WMO Executive Council, through</w:t>
      </w:r>
      <w:r>
        <w:t xml:space="preserve"> </w:t>
      </w:r>
      <w:hyperlink r:id="rId52">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53"/>
      </w:r>
    </w:p>
    <w:p>
      <w:pPr>
        <w:pStyle w:val="BodyText"/>
      </w:pPr>
      <w:r>
        <w:t xml:space="preserve">WIS2 is comprised of a number of key standards, including (but are not limited to):</w:t>
      </w:r>
    </w:p>
    <w:p>
      <w:pPr>
        <w:numPr>
          <w:ilvl w:val="0"/>
          <w:numId w:val="1027"/>
        </w:numPr>
      </w:pPr>
      <w:r>
        <w:t xml:space="preserve">Internet and messaging protocols for data and metadata transmission (HTTP, MQTT)</w:t>
      </w:r>
    </w:p>
    <w:p>
      <w:pPr>
        <w:numPr>
          <w:ilvl w:val="0"/>
          <w:numId w:val="1027"/>
        </w:numPr>
      </w:pPr>
      <w:r>
        <w:t xml:space="preserve">metadata encodings for dataset descriptions (WMO Core Metadata Profile) and notifications (WIS2 Notification Message)</w:t>
      </w:r>
    </w:p>
    <w:p>
      <w:pPr>
        <w:numPr>
          <w:ilvl w:val="0"/>
          <w:numId w:val="1027"/>
        </w:numPr>
      </w:pPr>
      <w:r>
        <w:t xml:space="preserve">topic structures for real-time notifications (WIS2 Topic Hierarchy)</w:t>
      </w:r>
    </w:p>
    <w:p>
      <w:pPr>
        <w:numPr>
          <w:ilvl w:val="0"/>
          <w:numId w:val="1027"/>
        </w:numPr>
      </w:pPr>
      <w:r>
        <w:t xml:space="preserve">interfaces and APIs for Global Services (Global Discovery Catalogue)</w:t>
      </w:r>
    </w:p>
    <w:p>
      <w:pPr>
        <w:pStyle w:val="FirstParagraph"/>
      </w:pPr>
      <w:r>
        <w:t xml:space="preserve">Throughout the WIS2 Implementation timeline, the</w:t>
      </w:r>
      <w:r>
        <w:t xml:space="preserve"> </w:t>
      </w:r>
      <w:hyperlink r:id="rId55">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r>
              <w:t xml:space="preserve">wis2box</w:t>
            </w:r>
          </w:p>
        </w:tc>
        <w:tc>
          <w:tcPr/>
          <w:p>
            <w:pPr>
              <w:jc w:val="left"/>
            </w:pPr>
            <w:r>
              <w:t xml:space="preserve">WIS2 Node</w:t>
            </w:r>
          </w:p>
        </w:tc>
      </w:tr>
      <w:tr>
        <w:tc>
          <w:tcPr/>
          <w:p>
            <w:pPr>
              <w:jc w:val="left"/>
            </w:pPr>
            <w:r>
              <w:t xml:space="preserve">wis2-gdc</w:t>
            </w:r>
          </w:p>
        </w:tc>
        <w:tc>
          <w:tcPr/>
          <w:p>
            <w:pPr>
              <w:jc w:val="left"/>
            </w:pPr>
            <w:r>
              <w:t xml:space="preserve">Global Discovery Catalogue</w:t>
            </w:r>
          </w:p>
        </w:tc>
      </w:tr>
      <w:tr>
        <w:tc>
          <w:tcPr/>
          <w:p>
            <w:pPr>
              <w:jc w:val="left"/>
            </w:pPr>
            <w:r>
              <w:t xml:space="preserve">csv2bufr</w:t>
            </w:r>
          </w:p>
        </w:tc>
        <w:tc>
          <w:tcPr/>
          <w:p>
            <w:pPr>
              <w:jc w:val="left"/>
            </w:pPr>
            <w:r>
              <w:t xml:space="preserve">CSV to BUFR encoding tool for station data</w:t>
            </w:r>
          </w:p>
        </w:tc>
      </w:tr>
      <w:tr>
        <w:tc>
          <w:tcPr/>
          <w:p>
            <w:pPr>
              <w:jc w:val="left"/>
            </w:pPr>
            <w:r>
              <w:t xml:space="preserve">wis2downloader</w:t>
            </w:r>
          </w:p>
        </w:tc>
        <w:tc>
          <w:tcPr/>
          <w:p>
            <w:pPr>
              <w:jc w:val="left"/>
            </w:pPr>
            <w:r>
              <w:t xml:space="preserve">Python package for downloading real-time data from WIS2</w:t>
            </w:r>
          </w:p>
        </w:tc>
      </w:tr>
      <w:tr>
        <w:tc>
          <w:tcPr/>
          <w:p>
            <w:pPr>
              <w:jc w:val="left"/>
            </w:pPr>
            <w:r>
              <w:t xml:space="preserve">pywis-pubsub</w:t>
            </w:r>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 delivery with significantly reduced risk to Members. In addition, some tools have emerged as "Reference Implementations" as key resources for the precise implementation of various WIS2 standards which can either be deployed or studied by Members accordingly. WIS2 Technical Regulations were approved with confidence as a result of the agile development of Open Standards and Open Source.</w:t>
      </w:r>
    </w:p>
    <w:bookmarkEnd w:id="56"/>
    <w:bookmarkEnd w:id="57"/>
    <w:bookmarkEnd w:id="58"/>
    <w:bookmarkStart w:id="59" w:name="X7dc5ec89ace04afa0dfcc5c2c63a457bc733b57"/>
    <w:p>
      <w:pPr>
        <w:pStyle w:val="Heading1"/>
      </w:pPr>
      <w:r>
        <w:t xml:space="preserve">References</w:t>
      </w:r>
    </w:p>
    <w:bookmarkEnd w:id="59"/>
    <w:bookmarkStart w:id="60"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License Compatibility</w:t>
            </w:r>
          </w:p>
        </w:tc>
        <w:tc>
          <w:tcPr/>
          <w:p>
            <w:pPr>
              <w:jc w:val="left"/>
            </w:pPr>
            <w:r>
              <w:t xml:space="preserve">License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License is OSI-approved</w:t>
            </w:r>
          </w:p>
        </w:tc>
        <w:tc>
          <w:tcPr/>
          <w:p>
            <w:pPr>
              <w:pStyle w:val="Compact"/>
            </w:pPr>
          </w:p>
        </w:tc>
      </w:tr>
      <w:tr>
        <w:tc>
          <w:tcPr/>
          <w:p>
            <w:pPr>
              <w:jc w:val="left"/>
            </w:pPr>
            <w:r>
              <w:t xml:space="preserve">License is clearly stated (no license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60"/>
    <w:bookmarkStart w:id="66" w:name="annex-examples"/>
    <w:p>
      <w:pPr>
        <w:pStyle w:val="Heading1"/>
      </w:pPr>
      <w:r>
        <w:t xml:space="preserve">Examples of FOSS managed / offered by Member organizations</w:t>
      </w:r>
    </w:p>
    <w:tbl>
      <w:tblPr>
        <w:tblStyle w:val="Table"/>
        <w:tblW w:type="pct" w:w="5000"/>
        <w:tblLook w:firstRow="1" w:lastRow="0" w:firstColumn="0" w:lastColumn="0" w:noHBand="0" w:noVBand="0" w:val="0020"/>
        <w:jc w:val="start"/>
      </w:tblPr>
      <w:tblGrid>
        <w:gridCol w:w="344"/>
        <w:gridCol w:w="344"/>
        <w:gridCol w:w="344"/>
        <w:gridCol w:w="6886"/>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URL</w:t>
            </w:r>
          </w:p>
        </w:tc>
        <w:tc>
          <w:tcPr/>
          <w:p>
            <w:pPr>
              <w:pStyle w:val="Compact"/>
              <w:jc w:val="left"/>
            </w:pPr>
            <w:r>
              <w:t xml:space="preserve">Projects(s)</w:t>
            </w:r>
          </w:p>
        </w:tc>
      </w:tr>
      <w:tr>
        <w:tc>
          <w:tcPr/>
          <w:p>
            <w:pPr>
              <w:jc w:val="left"/>
            </w:pPr>
            <w:r>
              <w:t xml:space="preserve">Environment and Climate Change Canada, Meteorological Service of Canada</w:t>
            </w:r>
          </w:p>
        </w:tc>
        <w:tc>
          <w:tcPr/>
          <w:p>
            <w:pPr>
              <w:jc w:val="left"/>
            </w:pPr>
            <w:r>
              <w:t xml:space="preserve">GitHub</w:t>
            </w:r>
          </w:p>
        </w:tc>
        <w:tc>
          <w:tcPr/>
          <w:p>
            <w:pPr>
              <w:jc w:val="left"/>
            </w:pPr>
            <w:hyperlink r:id="rId61">
              <w:r>
                <w:rPr>
                  <w:rStyle w:val="Hyperlink"/>
                </w:rPr>
                <w:t xml:space="preserve">https://github.com/ECCC-MSC</w:t>
              </w:r>
            </w:hyperlink>
          </w:p>
        </w:tc>
        <w:tc>
          <w:tcPr/>
          <w:p>
            <w:pPr>
              <w:numPr>
                <w:ilvl w:val="0"/>
                <w:numId w:val="1028"/>
              </w:numPr>
              <w:jc w:val="left"/>
            </w:pPr>
            <w:hyperlink r:id="rId62">
              <w:r>
                <w:rPr>
                  <w:rStyle w:val="Hyperlink"/>
                </w:rPr>
                <w:t xml:space="preserve">https://github.com/ECCC-MSC/msc-pygeoapi</w:t>
              </w:r>
            </w:hyperlink>
          </w:p>
          <w:p>
            <w:pPr>
              <w:numPr>
                <w:ilvl w:val="0"/>
                <w:numId w:val="1028"/>
              </w:numPr>
              <w:jc w:val="left"/>
            </w:pPr>
            <w:hyperlink r:id="rId63">
              <w:r>
                <w:rPr>
                  <w:rStyle w:val="Hyperlink"/>
                </w:rPr>
                <w:t xml:space="preserve">https://github.com/ECCC-MSC/libecbufr</w:t>
              </w:r>
            </w:hyperlink>
          </w:p>
          <w:p>
            <w:pPr>
              <w:numPr>
                <w:ilvl w:val="0"/>
                <w:numId w:val="1028"/>
              </w:numPr>
              <w:jc w:val="left"/>
            </w:pPr>
            <w:hyperlink r:id="rId64">
              <w:r>
                <w:rPr>
                  <w:rStyle w:val="Hyperlink"/>
                </w:rPr>
                <w:t xml:space="preserve">https://github.com/ECCC-MSC/msc-wis2node</w:t>
              </w:r>
            </w:hyperlink>
          </w:p>
        </w:tc>
      </w:tr>
      <w:tr>
        <w:tc>
          <w:tcPr/>
          <w:p>
            <w:pPr>
              <w:jc w:val="left"/>
            </w:pPr>
            <w:r>
              <w:t xml:space="preserve">NSF Unidata</w:t>
            </w:r>
          </w:p>
        </w:tc>
        <w:tc>
          <w:tcPr/>
          <w:p>
            <w:pPr>
              <w:jc w:val="left"/>
            </w:pPr>
            <w:r>
              <w:t xml:space="preserve">GitHub</w:t>
            </w:r>
          </w:p>
        </w:tc>
        <w:tc>
          <w:tcPr/>
          <w:p>
            <w:pPr>
              <w:jc w:val="left"/>
            </w:pPr>
            <w:hyperlink r:id="rId65">
              <w:r>
                <w:rPr>
                  <w:rStyle w:val="Hyperlink"/>
                </w:rPr>
                <w:t xml:space="preserve">https://github.com/Unidata</w:t>
              </w:r>
            </w:hyperlink>
          </w:p>
        </w:tc>
        <w:tc>
          <w:tcPr/>
          <w:p>
            <w:pPr>
              <w:numPr>
                <w:ilvl w:val="0"/>
                <w:numId w:val="1029"/>
              </w:numPr>
              <w:jc w:val="left"/>
            </w:pPr>
            <w:r>
              <w:t xml:space="preserve">TODO1</w:t>
            </w:r>
          </w:p>
          <w:p>
            <w:pPr>
              <w:numPr>
                <w:ilvl w:val="0"/>
                <w:numId w:val="1029"/>
              </w:numPr>
              <w:jc w:val="left"/>
            </w:pPr>
            <w:r>
              <w:t xml:space="preserve">TODO2</w:t>
            </w:r>
          </w:p>
        </w:tc>
      </w:tr>
    </w:tbl>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50">
    <w:p>
      <w:pPr>
        <w:pStyle w:val="FootnoteText"/>
      </w:pPr>
      <w:r>
        <w:rPr>
          <w:rStyle w:val="FootnoteReference"/>
        </w:rPr>
        <w:footnoteRef/>
      </w:r>
      <w:r>
        <w:t xml:space="preserve"> </w:t>
      </w:r>
      <w:hyperlink r:id="rId51">
        <w:r>
          <w:rPr>
            <w:rStyle w:val="Hyperlink"/>
          </w:rPr>
          <w:t xml:space="preserve">https://wmo.int/wis-20</w:t>
        </w:r>
      </w:hyperlink>
    </w:p>
  </w:footnote>
  <w:footnote w:id="53">
    <w:p>
      <w:pPr>
        <w:pStyle w:val="FootnoteText"/>
      </w:pPr>
      <w:r>
        <w:rPr>
          <w:rStyle w:val="FootnoteReference"/>
        </w:rPr>
        <w:footnoteRef/>
      </w:r>
      <w:r>
        <w:t xml:space="preserve"> </w:t>
      </w:r>
      <w:hyperlink r:id="rId54">
        <w:r>
          <w:rPr>
            <w:rStyle w:val="Hyperlink"/>
          </w:rPr>
          <w:t xml:space="preserve">https://wmo-im.github.io/wis2-transition-guide/transition-guide/wis2-transition-guide-APPROVED.html#_1_introduction</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5" Target="https://github.com" TargetMode="External" /><Relationship Type="http://schemas.openxmlformats.org/officeDocument/2006/relationships/hyperlink" Id="rId61" Target="https://github.com/ECCC-MSC" TargetMode="External" /><Relationship Type="http://schemas.openxmlformats.org/officeDocument/2006/relationships/hyperlink" Id="rId63" Target="https://github.com/ECCC-MSC/libecbufr" TargetMode="External" /><Relationship Type="http://schemas.openxmlformats.org/officeDocument/2006/relationships/hyperlink" Id="rId62" Target="https://github.com/ECCC-MSC/msc-pygeoapi" TargetMode="External" /><Relationship Type="http://schemas.openxmlformats.org/officeDocument/2006/relationships/hyperlink" Id="rId64" Target="https://github.com/ECCC-MSC/msc-wis2node" TargetMode="External" /><Relationship Type="http://schemas.openxmlformats.org/officeDocument/2006/relationships/hyperlink" Id="rId65" Target="https://github.com/Unidata" TargetMode="External" /><Relationship Type="http://schemas.openxmlformats.org/officeDocument/2006/relationships/hyperlink" Id="rId36" Target="https://gitlab.com/gitlab-org" TargetMode="External" /><Relationship Type="http://schemas.openxmlformats.org/officeDocument/2006/relationships/hyperlink" Id="rId52" Target="https://library.wmo.int/idviewer/66258/1147" TargetMode="External" /><Relationship Type="http://schemas.openxmlformats.org/officeDocument/2006/relationships/hyperlink" Id="rId55" Target="https://raw.githubusercontent.com/wmo-im/wis2-guide/refs/heads/main/guide/images/architecture/c4.container.png" TargetMode="External" /><Relationship Type="http://schemas.openxmlformats.org/officeDocument/2006/relationships/hyperlink" Id="rId5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51" Target="https://wmo.int/wis-20" TargetMode="External" /></Relationships>
</file>

<file path=word/_rels/footnotes.xml.rels><?xml version="1.0" encoding="UTF-8"?><Relationships xmlns="http://schemas.openxmlformats.org/package/2006/relationships"><Relationship Type="http://schemas.openxmlformats.org/officeDocument/2006/relationships/hyperlink" Id="rId3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5" Target="https://github.com" TargetMode="External" /><Relationship Type="http://schemas.openxmlformats.org/officeDocument/2006/relationships/hyperlink" Id="rId61" Target="https://github.com/ECCC-MSC" TargetMode="External" /><Relationship Type="http://schemas.openxmlformats.org/officeDocument/2006/relationships/hyperlink" Id="rId63" Target="https://github.com/ECCC-MSC/libecbufr" TargetMode="External" /><Relationship Type="http://schemas.openxmlformats.org/officeDocument/2006/relationships/hyperlink" Id="rId62" Target="https://github.com/ECCC-MSC/msc-pygeoapi" TargetMode="External" /><Relationship Type="http://schemas.openxmlformats.org/officeDocument/2006/relationships/hyperlink" Id="rId64" Target="https://github.com/ECCC-MSC/msc-wis2node" TargetMode="External" /><Relationship Type="http://schemas.openxmlformats.org/officeDocument/2006/relationships/hyperlink" Id="rId65" Target="https://github.com/Unidata" TargetMode="External" /><Relationship Type="http://schemas.openxmlformats.org/officeDocument/2006/relationships/hyperlink" Id="rId36" Target="https://gitlab.com/gitlab-org" TargetMode="External" /><Relationship Type="http://schemas.openxmlformats.org/officeDocument/2006/relationships/hyperlink" Id="rId52" Target="https://library.wmo.int/idviewer/66258/1147" TargetMode="External" /><Relationship Type="http://schemas.openxmlformats.org/officeDocument/2006/relationships/hyperlink" Id="rId55" Target="https://raw.githubusercontent.com/wmo-im/wis2-guide/refs/heads/main/guide/images/architecture/c4.container.png" TargetMode="External" /><Relationship Type="http://schemas.openxmlformats.org/officeDocument/2006/relationships/hyperlink" Id="rId5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51" Target="https://wmo.int/wis-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2026-02-11T12:18:13Z</dcterms:created>
  <dcterms:modified xsi:type="dcterms:W3CDTF">2026-02-11T12:18:13Z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2026-02-11</vt:lpwstr>
  </property>
</Properties>
</file>