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2026-03-23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38" w:name="Xa8805659787c6fdeae91fd75158a091780b7809"/>
    <w:p>
      <w:pPr>
        <w:pStyle w:val="Heading2"/>
      </w:pPr>
      <w:r>
        <w:t xml:space="preserve">Data policy considerations (TODO Athina)</w:t>
      </w:r>
    </w:p>
    <w:p>
      <w:pPr>
        <w:pStyle w:val="FirstParagraph"/>
      </w:pPr>
      <w:r>
        <w:t xml:space="preserve">While talking about Open Source Software, open data plays an equally important role. The following section addresses the crucial complementary role of open data to Open Source Software and how Open Source Software can be an enabler for the WMO Unified Data Policy [LINK -</w:t>
      </w:r>
      <w:r>
        <w:t xml:space="preserve"> </w:t>
      </w:r>
      <w:hyperlink r:id="rId28">
        <w:r>
          <w:rPr>
            <w:rStyle w:val="Hyperlink"/>
          </w:rPr>
          <w:t xml:space="preserve">https://wmo.int/wmo-unified-data-policy-resolution-res1</w:t>
        </w:r>
      </w:hyperlink>
      <w:r>
        <w:t xml:space="preserve">].</w:t>
      </w:r>
    </w:p>
    <w:bookmarkStart w:id="29" w:name="X5931407e4d0862a16eedd5f8b0e1f726dfc49b9"/>
    <w:p>
      <w:pPr>
        <w:pStyle w:val="Heading3"/>
      </w:pPr>
      <w:r>
        <w:t xml:space="preserve">FAIR data</w:t>
      </w:r>
    </w:p>
    <w:p>
      <w:pPr>
        <w:pStyle w:val="FirstParagraph"/>
      </w:pPr>
      <w:r>
        <w:t xml:space="preserve">Making data FAIR – Findable, Accessible, Interoperable and Reusable – is an important aspect in today’s digitally</w:t>
      </w:r>
      <w:r>
        <w:t xml:space="preserve"> </w:t>
      </w:r>
      <w:r>
        <w:t xml:space="preserve">connected world. This is especially true and important for the meteorological domain, where local, regional and global</w:t>
      </w:r>
      <w:r>
        <w:t xml:space="preserve"> </w:t>
      </w:r>
      <w:r>
        <w:t xml:space="preserve">models rely on data from different source, organisations and regions. Data that lives in silos and cannot be accessed</w:t>
      </w:r>
      <w:r>
        <w:t xml:space="preserve"> </w:t>
      </w:r>
      <w:r>
        <w:t xml:space="preserve">has a very limited use.</w:t>
      </w:r>
    </w:p>
    <w:bookmarkEnd w:id="29"/>
    <w:bookmarkStart w:id="36" w:name="X2b599f0691a604b152ca4c2d7fa8264ee7907cc"/>
    <w:p>
      <w:pPr>
        <w:pStyle w:val="Heading3"/>
      </w:pPr>
      <w:r>
        <w:t xml:space="preserve">Open data policies</w:t>
      </w:r>
    </w:p>
    <w:p>
      <w:pPr>
        <w:numPr>
          <w:ilvl w:val="0"/>
          <w:numId w:val="1001"/>
        </w:numPr>
      </w:pPr>
      <w:r>
        <w:t xml:space="preserve">Important for advancing trust in data</w:t>
      </w:r>
    </w:p>
    <w:p>
      <w:pPr>
        <w:numPr>
          <w:ilvl w:val="0"/>
          <w:numId w:val="1001"/>
        </w:numPr>
      </w:pPr>
      <w:r>
        <w:t xml:space="preserve">Important for traceability of results etc</w:t>
      </w:r>
    </w:p>
    <w:p>
      <w:pPr>
        <w:numPr>
          <w:ilvl w:val="0"/>
          <w:numId w:val="1001"/>
        </w:numPr>
      </w:pPr>
      <w:r>
        <w:t xml:space="preserve">Examples:</w:t>
      </w:r>
    </w:p>
    <w:p>
      <w:pPr>
        <w:numPr>
          <w:ilvl w:val="1"/>
          <w:numId w:val="1002"/>
        </w:numPr>
      </w:pPr>
      <w:hyperlink r:id="rId30">
        <w:r>
          <w:rPr>
            <w:rStyle w:val="Hyperlink"/>
          </w:rPr>
          <w:t xml:space="preserve">https://digital-strategy.ec.europa.eu/en/policies/legislation-open-data</w:t>
        </w:r>
      </w:hyperlink>
    </w:p>
    <w:p>
      <w:pPr>
        <w:numPr>
          <w:ilvl w:val="1"/>
          <w:numId w:val="1002"/>
        </w:numPr>
      </w:pPr>
      <w:hyperlink r:id="rId31">
        <w:r>
          <w:rPr>
            <w:rStyle w:val="Hyperlink"/>
          </w:rPr>
          <w:t xml:space="preserve">https://opendatapolicylab.org/</w:t>
        </w:r>
      </w:hyperlink>
    </w:p>
    <w:p>
      <w:pPr>
        <w:numPr>
          <w:ilvl w:val="1"/>
          <w:numId w:val="1002"/>
        </w:numPr>
      </w:pPr>
      <w:hyperlink r:id="rId32">
        <w:r>
          <w:rPr>
            <w:rStyle w:val="Hyperlink"/>
          </w:rPr>
          <w:t xml:space="preserve">https://repository.opendatapolicylab.org/</w:t>
        </w:r>
      </w:hyperlink>
    </w:p>
    <w:p>
      <w:pPr>
        <w:numPr>
          <w:ilvl w:val="1"/>
          <w:numId w:val="1002"/>
        </w:numPr>
      </w:pPr>
      <w:hyperlink r:id="rId33">
        <w:r>
          <w:rPr>
            <w:rStyle w:val="Hyperlink"/>
          </w:rPr>
          <w:t xml:space="preserve">https://www.ecmwf.int/en/forecasts/datasets/open-data</w:t>
        </w:r>
      </w:hyperlink>
    </w:p>
    <w:p>
      <w:pPr>
        <w:numPr>
          <w:ilvl w:val="1"/>
          <w:numId w:val="1002"/>
        </w:numPr>
      </w:pPr>
      <w:hyperlink r:id="rId34">
        <w:r>
          <w:rPr>
            <w:rStyle w:val="Hyperlink"/>
          </w:rPr>
          <w:t xml:space="preserve">https://www.ecmwf.int/en/forecasts/access-forecasts/access-real-time-open-data</w:t>
        </w:r>
      </w:hyperlink>
    </w:p>
    <w:p>
      <w:pPr>
        <w:numPr>
          <w:ilvl w:val="1"/>
          <w:numId w:val="1002"/>
        </w:numPr>
      </w:pPr>
      <w:hyperlink r:id="rId35">
        <w:r>
          <w:rPr>
            <w:rStyle w:val="Hyperlink"/>
          </w:rPr>
          <w:t xml:space="preserve">https://data.ecmwf.int/</w:t>
        </w:r>
      </w:hyperlink>
    </w:p>
    <w:bookmarkEnd w:id="36"/>
    <w:bookmarkStart w:id="37" w:name="X4bcb1fa96044a3a75b305eab634b201519955dd"/>
    <w:p>
      <w:pPr>
        <w:pStyle w:val="Heading3"/>
      </w:pPr>
      <w:r>
        <w:t xml:space="preserve">Enabling WMO Unified Data Policy via software</w:t>
      </w:r>
    </w:p>
    <w:p>
      <w:pPr>
        <w:pStyle w:val="FirstParagraph"/>
      </w:pPr>
      <w:hyperlink r:id="rId28">
        <w:r>
          <w:rPr>
            <w:rStyle w:val="Hyperlink"/>
          </w:rPr>
          <w:t xml:space="preserve">https://wmo.int/wmo-unified-data-policy-resolution-res1</w:t>
        </w:r>
      </w:hyperlink>
    </w:p>
    <w:bookmarkEnd w:id="37"/>
    <w:bookmarkEnd w:id="38"/>
    <w:bookmarkEnd w:id="39"/>
    <w:bookmarkStart w:id="89" w:name="X3148c62ae8380655b8c29f1e8f24835e28abe42"/>
    <w:p>
      <w:pPr>
        <w:pStyle w:val="Heading1"/>
      </w:pPr>
      <w:r>
        <w:t xml:space="preserve">Guidelines</w:t>
      </w:r>
    </w:p>
    <w:bookmarkStart w:id="52" w:name="Xafc3c35aae3bdfeb1706aa82a2c86b245796cb3"/>
    <w:p>
      <w:pPr>
        <w:pStyle w:val="Heading2"/>
      </w:pPr>
      <w:r>
        <w:t xml:space="preserve">WMO Members</w:t>
      </w:r>
    </w:p>
    <w:bookmarkStart w:id="42" w:name="X6e6120c13b4fdf0aca0a8db50173eb0f817f9bb"/>
    <w:p>
      <w:pPr>
        <w:pStyle w:val="Heading3"/>
      </w:pPr>
      <w:r>
        <w:t xml:space="preserve">Using FOSS</w:t>
      </w:r>
    </w:p>
    <w:bookmarkStart w:id="40" w:name="X9f39c0194175d17a1927980a996db60f4864ec7"/>
    <w:p>
      <w:pPr>
        <w:pStyle w:val="Heading4"/>
      </w:pPr>
      <w:r>
        <w:t xml:space="preserve">Risks</w:t>
      </w:r>
    </w:p>
    <w:p>
      <w:pPr>
        <w:numPr>
          <w:ilvl w:val="0"/>
          <w:numId w:val="1003"/>
        </w:numPr>
      </w:pPr>
      <w:r>
        <w:rPr>
          <w:bCs/>
          <w:b/>
        </w:rPr>
        <w:t xml:space="preserve">License compliance risks</w:t>
      </w:r>
      <w:r>
        <w:t xml:space="preserve"> </w:t>
      </w:r>
      <w:r>
        <w:t xml:space="preserve">Open source licenses often have widely varying requirements regarding commercial use, redistribution, and code modification. Certain licenses include restrictive clauses, such as mandating that derivative works be made open source or that original copyright notices be preserved in full. Violations may lead to legal disputes and intellectual property issues.</w:t>
      </w:r>
    </w:p>
    <w:p>
      <w:pPr>
        <w:numPr>
          <w:ilvl w:val="0"/>
          <w:numId w:val="1003"/>
        </w:numPr>
      </w:pPr>
      <w:r>
        <w:rPr>
          <w:bCs/>
          <w:b/>
        </w:rPr>
        <w:t xml:space="preserve">Security and continuity risks</w:t>
      </w:r>
      <w:r>
        <w:t xml:space="preserve">: Open source software from niche projects or less-established projects may pose security risks due to limited formal code audits. Additionally, the complexity of open 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3"/>
        </w:numPr>
      </w:pPr>
      <w:r>
        <w:rPr>
          <w:bCs/>
          <w:b/>
        </w:rPr>
        <w:t xml:space="preserve">Maintenance risks</w:t>
      </w:r>
      <w:r>
        <w:t xml:space="preserve">: Fixes for vulnerabilities rely on community responsiveness. If an open source project is discontinued, known vulnerabilities may remain unaddressed.</w:t>
      </w:r>
    </w:p>
    <w:p>
      <w:pPr>
        <w:numPr>
          <w:ilvl w:val="0"/>
          <w:numId w:val="1003"/>
        </w:numPr>
      </w:pPr>
      <w:r>
        <w:rPr>
          <w:bCs/>
          <w:b/>
        </w:rPr>
        <w:t xml:space="preserve">Support risks</w:t>
      </w:r>
      <w:r>
        <w:t xml:space="preserve">: Most open source software lacks official support. As a result, timely response and effective resolutions of critical operational system failures cannot be guaranteed, potentially leading to interruptions in meteorological operation and data loss.</w:t>
      </w:r>
    </w:p>
    <w:bookmarkEnd w:id="40"/>
    <w:bookmarkStart w:id="41" w:name="X96fe6307f54f8490e649c5bdcc4c76a3d6f608b"/>
    <w:p>
      <w:pPr>
        <w:pStyle w:val="Heading4"/>
      </w:pPr>
      <w:r>
        <w:t xml:space="preserve">Hidden costs</w:t>
      </w:r>
    </w:p>
    <w:p>
      <w:pPr>
        <w:numPr>
          <w:ilvl w:val="0"/>
          <w:numId w:val="1004"/>
        </w:numPr>
      </w:pPr>
      <w:r>
        <w:rPr>
          <w:bCs/>
          <w:b/>
        </w:rPr>
        <w:t xml:space="preserve">Technical adaptation and integration costs</w:t>
      </w:r>
      <w:r>
        <w:t xml:space="preserve">: Human resources must be allocated for secondary development (customization), system interface integration, and compatibility testing to ensure the software aligns with existing business systems.</w:t>
      </w:r>
    </w:p>
    <w:p>
      <w:pPr>
        <w:numPr>
          <w:ilvl w:val="0"/>
          <w:numId w:val="1004"/>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4"/>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4"/>
        </w:numPr>
      </w:pPr>
      <w:r>
        <w:rPr>
          <w:bCs/>
          <w:b/>
        </w:rPr>
        <w:t xml:space="preserve">Compliance audit and management costs</w:t>
      </w:r>
      <w:r>
        <w:t xml:space="preserve">: It is necessary to maintain an inventory of all open source components and perform regular compliance audits. Large meteorological organizations may also need to develop dedicated management platforms, with costs increasing as the number of components grows.</w:t>
      </w:r>
    </w:p>
    <w:bookmarkEnd w:id="41"/>
    <w:bookmarkEnd w:id="42"/>
    <w:bookmarkStart w:id="44" w:name="Xc3643c74377f85c9a4aa3b901502d228a87a410"/>
    <w:p>
      <w:pPr>
        <w:pStyle w:val="Heading3"/>
      </w:pPr>
      <w:r>
        <w:t xml:space="preserve">Contributing to FOSS</w:t>
      </w:r>
    </w:p>
    <w:bookmarkStart w:id="4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5"/>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5"/>
        </w:numPr>
      </w:pPr>
      <w:r>
        <w:t xml:space="preserve">Guidelines for software development funded from public budget, encouraging publication of code under approved open-source licenses.</w:t>
      </w:r>
    </w:p>
    <w:p>
      <w:pPr>
        <w:numPr>
          <w:ilvl w:val="0"/>
          <w:numId w:val="1005"/>
        </w:numPr>
      </w:pPr>
      <w:r>
        <w:t xml:space="preserve">Policies promoting interoperability and open standards, which naturally align with FOSS implementations within WIS2 and other WMO technical frameworks.</w:t>
      </w:r>
    </w:p>
    <w:p>
      <w:pPr>
        <w:numPr>
          <w:ilvl w:val="0"/>
          <w:numId w:val="1005"/>
        </w:numPr>
      </w:pPr>
      <w:r>
        <w:t xml:space="preserve">Capacity-building programs that enable staff to acquire skills for maintaining and developing open-source tools, reducing long-term operational dependency on external vendors.</w:t>
      </w:r>
    </w:p>
    <w:p>
      <w:pPr>
        <w:numPr>
          <w:ilvl w:val="0"/>
          <w:numId w:val="1005"/>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6"/>
        </w:numPr>
      </w:pPr>
      <w:r>
        <w:t xml:space="preserve">Establish internal rules for licensing, contribution approval and repository management.</w:t>
      </w:r>
    </w:p>
    <w:p>
      <w:pPr>
        <w:numPr>
          <w:ilvl w:val="0"/>
          <w:numId w:val="1006"/>
        </w:numPr>
      </w:pPr>
      <w:r>
        <w:t xml:space="preserve">Define procedures for evaluating FOSS components (governance, community health, maintenance model).</w:t>
      </w:r>
    </w:p>
    <w:p>
      <w:pPr>
        <w:numPr>
          <w:ilvl w:val="0"/>
          <w:numId w:val="1006"/>
        </w:numPr>
      </w:pPr>
      <w:r>
        <w:t xml:space="preserve">Incorporate sustainability planning (including contribution back to upstream projects when fixes or new features are developed internally).</w:t>
      </w:r>
    </w:p>
    <w:p>
      <w:pPr>
        <w:numPr>
          <w:ilvl w:val="0"/>
          <w:numId w:val="1006"/>
        </w:numPr>
      </w:pPr>
      <w:r>
        <w:t xml:space="preserve">Promote transparency by adopting open repositories for research software and operational tools.</w:t>
      </w:r>
    </w:p>
    <w:p>
      <w:pPr>
        <w:numPr>
          <w:ilvl w:val="0"/>
          <w:numId w:val="1006"/>
        </w:numPr>
      </w:pPr>
      <w:r>
        <w:t xml:space="preserve">Events/hackathons (e.g. OGC/OSGeo/ASF Joint Sprints) TODO Vasile</w:t>
      </w:r>
    </w:p>
    <w:p>
      <w:pPr>
        <w:numPr>
          <w:ilvl w:val="1"/>
          <w:numId w:val="1007"/>
        </w:numPr>
      </w:pPr>
      <w:r>
        <w:t xml:space="preserve">By product: connection/collab</w:t>
      </w:r>
    </w:p>
    <w:p>
      <w:pPr>
        <w:numPr>
          <w:ilvl w:val="0"/>
          <w:numId w:val="1006"/>
        </w:numPr>
      </w:pPr>
      <w:r>
        <w:t xml:space="preserve">Regulations / risk / constraints / considerations</w:t>
      </w:r>
    </w:p>
    <w:p>
      <w:pPr>
        <w:numPr>
          <w:ilvl w:val="1"/>
          <w:numId w:val="1008"/>
        </w:numPr>
      </w:pPr>
      <w:r>
        <w:t xml:space="preserve">Features, maintenance, project</w:t>
      </w:r>
    </w:p>
    <w:bookmarkEnd w:id="43"/>
    <w:bookmarkEnd w:id="44"/>
    <w:bookmarkStart w:id="4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45">
        <w:r>
          <w:rPr>
            <w:rStyle w:val="Hyperlink"/>
          </w:rPr>
          <w:t xml:space="preserve">GitHub</w:t>
        </w:r>
      </w:hyperlink>
      <w:r>
        <w:t xml:space="preserve">,</w:t>
      </w:r>
      <w:r>
        <w:t xml:space="preserve"> </w:t>
      </w:r>
      <w:hyperlink r:id="rId46">
        <w:r>
          <w:rPr>
            <w:rStyle w:val="Hyperlink"/>
          </w:rPr>
          <w:t xml:space="preserve">GitLab</w:t>
        </w:r>
      </w:hyperlink>
      <w:r>
        <w:t xml:space="preserve">,</w:t>
      </w:r>
      <w:r>
        <w:t xml:space="preserve"> </w:t>
      </w:r>
      <w:hyperlink r:id="rId4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9"/>
        </w:numPr>
      </w:pPr>
      <w:r>
        <w:t xml:space="preserve">Establish an "architecture of participation":</w:t>
      </w:r>
    </w:p>
    <w:p>
      <w:pPr>
        <w:numPr>
          <w:ilvl w:val="1"/>
          <w:numId w:val="1010"/>
        </w:numPr>
      </w:pPr>
      <w:r>
        <w:t xml:space="preserve">Who will be responsible for development, release management, and accepting external contributions?</w:t>
      </w:r>
    </w:p>
    <w:p>
      <w:pPr>
        <w:numPr>
          <w:ilvl w:val="1"/>
          <w:numId w:val="1010"/>
        </w:numPr>
      </w:pPr>
      <w:r>
        <w:t xml:space="preserve">How will commit access be governed and managed? Does the project need a project steering committee or group of stakeholders to help drive the project?</w:t>
      </w:r>
    </w:p>
    <w:p>
      <w:pPr>
        <w:numPr>
          <w:ilvl w:val="1"/>
          <w:numId w:val="1010"/>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0"/>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0"/>
        </w:numPr>
      </w:pPr>
      <w:r>
        <w:t xml:space="preserve">Make clear how security issues should be addressed (mitigation/release policies/timelines, contact points, etc.)</w:t>
      </w:r>
    </w:p>
    <w:p>
      <w:pPr>
        <w:numPr>
          <w:ilvl w:val="1"/>
          <w:numId w:val="1010"/>
        </w:numPr>
      </w:pPr>
      <w:r>
        <w:t xml:space="preserve">What is the release schedule for new versions?</w:t>
      </w:r>
    </w:p>
    <w:p>
      <w:pPr>
        <w:numPr>
          <w:ilvl w:val="0"/>
          <w:numId w:val="1009"/>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9"/>
        </w:numPr>
      </w:pPr>
      <w:r>
        <w:t xml:space="preserve">Choose the mechanism by which the software will be made available (GitHub, GtiLab, Codeberg, organizational website, etc.)</w:t>
      </w:r>
    </w:p>
    <w:p>
      <w:pPr>
        <w:numPr>
          <w:ilvl w:val="0"/>
          <w:numId w:val="1009"/>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9"/>
        </w:numPr>
      </w:pPr>
      <w:r>
        <w:t xml:space="preserve">Identify any supported WMO Technical Regulations</w:t>
      </w:r>
    </w:p>
    <w:p>
      <w:pPr>
        <w:numPr>
          <w:ilvl w:val="0"/>
          <w:numId w:val="1009"/>
        </w:numPr>
      </w:pPr>
      <w:r>
        <w:t xml:space="preserve">Ensure that the project has proper documentation for users (downloading, installing, configuring, running), as well as additinal documentation for developer or othe audience types (administrators, etc.)</w:t>
      </w:r>
    </w:p>
    <w:p>
      <w:pPr>
        <w:numPr>
          <w:ilvl w:val="0"/>
          <w:numId w:val="1009"/>
        </w:numPr>
      </w:pPr>
      <w:r>
        <w:t xml:space="preserve">Ensure the code is versioned (for example using Git as a version control system)</w:t>
      </w:r>
    </w:p>
    <w:bookmarkEnd w:id="48"/>
    <w:bookmarkStart w:id="4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1"/>
        </w:numPr>
      </w:pPr>
      <w:r>
        <w:rPr>
          <w:bCs/>
          <w:b/>
        </w:rPr>
        <w:t xml:space="preserve">Exceptional autonomy and control</w:t>
      </w:r>
      <w:r>
        <w:t xml:space="preserve">: The code is open and licenses are flexible, allowing meteorological organizations to perform deep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massive meteorological data processing, and control the technical roadmap of core systems. Certain permissive licenses (e.g., MIT License, Apache License 2.0) even permit using modified code as closed source in commercial products, balancing customization needs with operational requirements.</w:t>
      </w:r>
    </w:p>
    <w:p>
      <w:pPr>
        <w:numPr>
          <w:ilvl w:val="0"/>
          <w:numId w:val="1011"/>
        </w:numPr>
      </w:pPr>
      <w:r>
        <w:rPr>
          <w:bCs/>
          <w:b/>
        </w:rPr>
        <w:t xml:space="preserve">Significant cost advantages</w:t>
      </w:r>
      <w:r>
        <w:t xml:space="preserve">: No software license fees or subscription fees are required, suitable for national meteorological services as well as deployments in regional forecasting centers. The availability of source code and community documentation reduces trial-and-error costs during secondary development, making necessary human resource investment more manageable. Meteorological organizations can also choose free community support or affordable third-party services (specialized in meteorological applications) instead of expensive vendor support packages.</w:t>
      </w:r>
    </w:p>
    <w:p>
      <w:pPr>
        <w:numPr>
          <w:ilvl w:val="0"/>
          <w:numId w:val="1011"/>
        </w:numPr>
      </w:pPr>
      <w:r>
        <w:rPr>
          <w:bCs/>
          <w:b/>
        </w:rPr>
        <w:t xml:space="preserve">Avoiding vendor lock-in risks</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are often support the same open source software, strengthening the user’s bargaining power.</w:t>
      </w:r>
    </w:p>
    <w:p>
      <w:pPr>
        <w:numPr>
          <w:ilvl w:val="0"/>
          <w:numId w:val="1011"/>
        </w:numPr>
      </w:pPr>
      <w:r>
        <w:rPr>
          <w:bCs/>
          <w:b/>
        </w:rPr>
        <w:t xml:space="preserve">Excellent cross-platform portability</w:t>
      </w:r>
      <w:r>
        <w:t xml:space="preserve">: Most open source tools run on multiple operating systems (e.g., Windows and Linux), eliminating the need for separate purchases. Adherence to common technical standards (e.g., WMO GRIB data formats) lowers system integration difficulty. Modular design facilitates containerized deployment and cross-cluster migration, adapting to architectural upgrades in meteorological data centers.</w:t>
      </w:r>
    </w:p>
    <w:bookmarkEnd w:id="49"/>
    <w:bookmarkStart w:id="50"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50"/>
    <w:bookmarkStart w:id="51" w:name="Xeb34abddd4dbe7814f37bd62538a9f1edbf60c6"/>
    <w:p>
      <w:pPr>
        <w:pStyle w:val="Heading3"/>
      </w:pPr>
      <w:r>
        <w:t xml:space="preserve">Infrastructure considerations</w:t>
      </w:r>
    </w:p>
    <w:p>
      <w:pPr>
        <w:pStyle w:val="FirstParagraph"/>
      </w:pPr>
      <w:r>
        <w:t xml:space="preserve">(TODO TBD)</w:t>
      </w:r>
    </w:p>
    <w:bookmarkEnd w:id="51"/>
    <w:bookmarkEnd w:id="52"/>
    <w:bookmarkStart w:id="88" w:name="X6bcf1cf9c376d92376d2e0d9f96c3afb74e806b"/>
    <w:p>
      <w:pPr>
        <w:pStyle w:val="Heading2"/>
      </w:pPr>
      <w:r>
        <w:t xml:space="preserve">WMO Activities</w:t>
      </w:r>
    </w:p>
    <w:bookmarkStart w:id="66"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53"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2"/>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license compatibility, security posture, project and community health, openness of governance, and technical fitness for purpose.</w:t>
      </w:r>
    </w:p>
    <w:p>
      <w:pPr>
        <w:numPr>
          <w:ilvl w:val="0"/>
          <w:numId w:val="1012"/>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2"/>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2"/>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53"/>
    <w:bookmarkStart w:id="54"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3"/>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3"/>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3"/>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 &lt;&lt;_Reference Implementations within the WIS2 programme and the OpenCDMS project and initiative.</w:t>
      </w:r>
    </w:p>
    <w:p>
      <w:pPr>
        <w:numPr>
          <w:ilvl w:val="0"/>
          <w:numId w:val="1013"/>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recognising these communities would have significant benefit.</w:t>
      </w:r>
    </w:p>
    <w:bookmarkEnd w:id="54"/>
    <w:bookmarkStart w:id="57"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4"/>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4"/>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4"/>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4"/>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55"/>
      </w:r>
      <w:r>
        <w:t xml:space="preserve"> </w:t>
      </w:r>
      <w:r>
        <w:t xml:space="preserve">provide a useful model for structuring such a lifecycle within the WMO.</w:t>
      </w:r>
    </w:p>
    <w:bookmarkEnd w:id="57"/>
    <w:bookmarkStart w:id="58"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compatibility updates and responsive support. Key risks to be managed include:</w:t>
      </w:r>
    </w:p>
    <w:p>
      <w:pPr>
        <w:numPr>
          <w:ilvl w:val="0"/>
          <w:numId w:val="1015"/>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5"/>
        </w:numPr>
      </w:pPr>
      <w:r>
        <w:rPr>
          <w:bCs/>
          <w:b/>
        </w:rPr>
        <w:t xml:space="preserve">Security vulnerabilities</w:t>
      </w:r>
      <w:r>
        <w:t xml:space="preserve">: Software components must be subject to regular security reviews, with clear disclosure and patching policies. Adequate resources must be in place to ensure any identified vulnerabilities are addressed in a timely fashion.</w:t>
      </w:r>
    </w:p>
    <w:p>
      <w:pPr>
        <w:numPr>
          <w:ilvl w:val="0"/>
          <w:numId w:val="1015"/>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5"/>
        </w:numPr>
      </w:pPr>
      <w:r>
        <w:rPr>
          <w:bCs/>
          <w:b/>
        </w:rPr>
        <w:t xml:space="preserve">Funding and institutional support</w:t>
      </w:r>
      <w:r>
        <w:t xml:space="preserve">: Whilst FOSS may be free of licensing costs there are still costs associated with the development, maintenance, and operation of FOSS software. These costs are often hidden or neglected but should be taken into account.</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realised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58"/>
    <w:bookmarkStart w:id="59"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6"/>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6"/>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59"/>
    <w:bookmarkStart w:id="60"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7"/>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7"/>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7"/>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60"/>
    <w:bookmarkStart w:id="65"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61">
        <w:r>
          <w:rPr>
            <w:rStyle w:val="Hyperlink"/>
          </w:rPr>
          <w:t xml:space="preserve">Open Source Geospatial Foundation (OSGeo)</w:t>
        </w:r>
      </w:hyperlink>
      <w:r>
        <w:t xml:space="preserve">, the</w:t>
      </w:r>
      <w:r>
        <w:t xml:space="preserve"> </w:t>
      </w:r>
      <w:hyperlink r:id="rId62">
        <w:r>
          <w:rPr>
            <w:rStyle w:val="Hyperlink"/>
          </w:rPr>
          <w:t xml:space="preserve">Digital Public Goods Alliance (DPGA)</w:t>
        </w:r>
      </w:hyperlink>
      <w:r>
        <w:t xml:space="preserve">, the</w:t>
      </w:r>
      <w:r>
        <w:t xml:space="preserve"> </w:t>
      </w:r>
      <w:hyperlink r:id="rId63">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8"/>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8"/>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w:t>
      </w:r>
    </w:p>
    <w:p>
      <w:pPr>
        <w:numPr>
          <w:ilvl w:val="0"/>
          <w:numId w:val="1018"/>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64">
        <w:r>
          <w:rPr>
            <w:rStyle w:val="Hyperlink"/>
          </w:rPr>
          <w:t xml:space="preserve">FOSS4G conferences</w:t>
        </w:r>
      </w:hyperlink>
      <w:r>
        <w:t xml:space="preserve">) provide valuable opportunities for capacity building, community engagement and collaborative development.</w:t>
      </w:r>
    </w:p>
    <w:p>
      <w:pPr>
        <w:numPr>
          <w:ilvl w:val="0"/>
          <w:numId w:val="1018"/>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65"/>
    <w:bookmarkEnd w:id="66"/>
    <w:bookmarkStart w:id="67"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67"/>
    <w:bookmarkStart w:id="6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19"/>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19"/>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19"/>
        </w:numPr>
      </w:pPr>
      <w:r>
        <w:t xml:space="preserve">Licensing and policy compatibility. Licensing terms must be clearly stated and compatible with national regulations, WMO data policies and operational constraints. For FOSS, licenses should be OSI-approved and allow redistribution, modification and operational use without legal ambiguity.</w:t>
      </w:r>
    </w:p>
    <w:p>
      <w:pPr>
        <w:numPr>
          <w:ilvl w:val="0"/>
          <w:numId w:val="1019"/>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19"/>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19"/>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19"/>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68">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69"/>
    <w:bookmarkStart w:id="75"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0"/>
        </w:numPr>
      </w:pPr>
      <w:r>
        <w:t xml:space="preserve">validating the functionality and capability of a given standard (for example, for data encodings or interfaces)</w:t>
      </w:r>
    </w:p>
    <w:p>
      <w:pPr>
        <w:numPr>
          <w:ilvl w:val="0"/>
          <w:numId w:val="1020"/>
        </w:numPr>
      </w:pPr>
      <w:r>
        <w:t xml:space="preserve">providing a publicly available FOSS resource that is definitive and can be studied to better understand and/or implement a standard</w:t>
      </w:r>
    </w:p>
    <w:p>
      <w:pPr>
        <w:numPr>
          <w:ilvl w:val="0"/>
          <w:numId w:val="1020"/>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70" w:name="X70a6559818b95fce2bd9ae81c00ef1d1cefaa26"/>
    <w:p>
      <w:pPr>
        <w:pStyle w:val="Heading4"/>
      </w:pPr>
      <w:r>
        <w:t xml:space="preserve">Compliance (data exchange)</w:t>
      </w:r>
    </w:p>
    <w:p>
      <w:pPr>
        <w:numPr>
          <w:ilvl w:val="0"/>
          <w:numId w:val="1021"/>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1"/>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1"/>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70"/>
    <w:bookmarkStart w:id="71" w:name="Xd6aa053202d81f998ac3c471b2c3701964feada"/>
    <w:p>
      <w:pPr>
        <w:pStyle w:val="Heading4"/>
      </w:pPr>
      <w:r>
        <w:t xml:space="preserve">Software evaluation</w:t>
      </w:r>
    </w:p>
    <w:p>
      <w:pPr>
        <w:numPr>
          <w:ilvl w:val="0"/>
          <w:numId w:val="1022"/>
        </w:numPr>
      </w:pPr>
      <w:r>
        <w:rPr>
          <w:bCs/>
          <w:b/>
        </w:rPr>
        <w:t xml:space="preserve">Core Evaluation Checklist</w:t>
      </w:r>
      <w:r>
        <w:t xml:space="preserve">:</w:t>
      </w:r>
    </w:p>
    <w:p>
      <w:pPr>
        <w:numPr>
          <w:ilvl w:val="1"/>
          <w:numId w:val="1023"/>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3"/>
        </w:numPr>
      </w:pPr>
      <w:r>
        <w:rPr>
          <w:iCs/>
          <w:i/>
        </w:rPr>
        <w:t xml:space="preserve">Compliance</w:t>
      </w:r>
      <w:r>
        <w:t xml:space="preserve">: License is OSI-approved with no license conflicts, and complies with WMO data policies and relevant regulations.</w:t>
      </w:r>
    </w:p>
    <w:p>
      <w:pPr>
        <w:numPr>
          <w:ilvl w:val="1"/>
          <w:numId w:val="1023"/>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3"/>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3"/>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2"/>
        </w:numPr>
      </w:pPr>
      <w:r>
        <w:rPr>
          <w:bCs/>
          <w:b/>
        </w:rPr>
        <w:t xml:space="preserve">Confidence Assurance:</w:t>
      </w:r>
    </w:p>
    <w:p>
      <w:pPr>
        <w:numPr>
          <w:ilvl w:val="1"/>
          <w:numId w:val="1024"/>
        </w:numPr>
      </w:pPr>
      <w:r>
        <w:t xml:space="preserve">Adopt standardized evaluation processes and quantifiable metrics to ensure objectivity and repeatability of results.</w:t>
      </w:r>
    </w:p>
    <w:p>
      <w:pPr>
        <w:numPr>
          <w:ilvl w:val="1"/>
          <w:numId w:val="1024"/>
        </w:numPr>
      </w:pPr>
      <w:r>
        <w:t xml:space="preserve">Validate core functionality through a Proof-of-Concept (PoC) approach, incorporating feedback collected from real-world operational scenarios.</w:t>
      </w:r>
    </w:p>
    <w:p>
      <w:pPr>
        <w:numPr>
          <w:ilvl w:val="1"/>
          <w:numId w:val="1024"/>
        </w:numPr>
      </w:pPr>
      <w:r>
        <w:t xml:space="preserve">Conduct multi-dimensional verification, including code audits, security vulnerability scans, and in-depth open source community research, to confirm the reliability of the software.</w:t>
      </w:r>
    </w:p>
    <w:bookmarkEnd w:id="71"/>
    <w:bookmarkStart w:id="72"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72"/>
    <w:bookmarkStart w:id="73" w:name="X7ac9eb2de0a58765e5e1d02a37aa10e96708288"/>
    <w:p>
      <w:pPr>
        <w:pStyle w:val="Heading4"/>
      </w:pPr>
      <w:r>
        <w:t xml:space="preserve">Bus/retirement factor</w:t>
      </w:r>
    </w:p>
    <w:bookmarkEnd w:id="73"/>
    <w:bookmarkStart w:id="74" w:name="Xfb9753c7dbd15fe1ef39b415a291554b843dc57"/>
    <w:p>
      <w:pPr>
        <w:pStyle w:val="Heading4"/>
      </w:pPr>
      <w:r>
        <w:t xml:space="preserve">Business Fit and Retirement Considerations</w:t>
      </w:r>
    </w:p>
    <w:p>
      <w:pPr>
        <w:numPr>
          <w:ilvl w:val="0"/>
          <w:numId w:val="1025"/>
        </w:numPr>
      </w:pPr>
      <w:r>
        <w:t xml:space="preserve">Business Fit</w:t>
      </w:r>
    </w:p>
    <w:p>
      <w:pPr>
        <w:numPr>
          <w:ilvl w:val="1"/>
          <w:numId w:val="1026"/>
        </w:numPr>
      </w:pPr>
      <w:r>
        <w:t xml:space="preserve">Offers seamless integration with existing meteorological operational processes, minimizing the need for process adjustments.</w:t>
      </w:r>
    </w:p>
    <w:p>
      <w:pPr>
        <w:numPr>
          <w:ilvl w:val="1"/>
          <w:numId w:val="1026"/>
        </w:numPr>
      </w:pPr>
      <w:r>
        <w:t xml:space="preserve">Supports custom development and feature expansion to meet evolving needs (such as business scaling and new scenario integration).</w:t>
      </w:r>
    </w:p>
    <w:p>
      <w:pPr>
        <w:numPr>
          <w:ilvl w:val="1"/>
          <w:numId w:val="1026"/>
        </w:numPr>
      </w:pPr>
      <w:r>
        <w:t xml:space="preserve">Aligns with users’ habits in meteorological operations by providing a user-friendly interface and flexible configuration options.</w:t>
      </w:r>
    </w:p>
    <w:p>
      <w:pPr>
        <w:numPr>
          <w:ilvl w:val="0"/>
          <w:numId w:val="1025"/>
        </w:numPr>
      </w:pPr>
      <w:r>
        <w:t xml:space="preserve">Retirement Planning</w:t>
      </w:r>
    </w:p>
    <w:p>
      <w:pPr>
        <w:numPr>
          <w:ilvl w:val="1"/>
          <w:numId w:val="1027"/>
        </w:numPr>
      </w:pPr>
      <w:r>
        <w:t xml:space="preserve">Establish a clear data archiving plan to ensure secure storage and traceability of historical meteorological data after the software is decommissioned.</w:t>
      </w:r>
    </w:p>
    <w:p>
      <w:pPr>
        <w:numPr>
          <w:ilvl w:val="1"/>
          <w:numId w:val="1027"/>
        </w:numPr>
      </w:pPr>
      <w:r>
        <w:t xml:space="preserve">Proactively assess the costs of migrating to new systems, and establish a smooth migration path to ensure business continuity.</w:t>
      </w:r>
    </w:p>
    <w:p>
      <w:pPr>
        <w:numPr>
          <w:ilvl w:val="1"/>
          <w:numId w:val="1027"/>
        </w:numPr>
      </w:pPr>
      <w:r>
        <w:t xml:space="preserve">Define clear responsibilities and standardized procedures for software retirement to mitigate potential risks (e.g., data leakage, system conflicts, and service disruptions).</w:t>
      </w:r>
    </w:p>
    <w:bookmarkEnd w:id="74"/>
    <w:bookmarkEnd w:id="75"/>
    <w:bookmarkStart w:id="8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76"/>
      </w:r>
    </w:p>
    <w:p>
      <w:pPr>
        <w:pStyle w:val="BodyText"/>
      </w:pPr>
      <w:r>
        <w:t xml:space="preserve">The WMO Executive Council, through</w:t>
      </w:r>
      <w:r>
        <w:t xml:space="preserve"> </w:t>
      </w:r>
      <w:hyperlink r:id="rId78">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79"/>
      </w:r>
    </w:p>
    <w:p>
      <w:pPr>
        <w:pStyle w:val="BodyText"/>
      </w:pPr>
      <w:r>
        <w:t xml:space="preserve">WIS2 is comprised of a number of key standards, including (but are not limited to):</w:t>
      </w:r>
    </w:p>
    <w:p>
      <w:pPr>
        <w:numPr>
          <w:ilvl w:val="0"/>
          <w:numId w:val="1028"/>
        </w:numPr>
      </w:pPr>
      <w:r>
        <w:t xml:space="preserve">Internet and messaging protocols for data and metadata transmission (HTTP, MQTT)</w:t>
      </w:r>
    </w:p>
    <w:p>
      <w:pPr>
        <w:numPr>
          <w:ilvl w:val="0"/>
          <w:numId w:val="1028"/>
        </w:numPr>
      </w:pPr>
      <w:r>
        <w:t xml:space="preserve">metadata encodings for dataset descriptions (WMO Core Metadata Profile) and notifications (WIS2 Notification Message)</w:t>
      </w:r>
    </w:p>
    <w:p>
      <w:pPr>
        <w:numPr>
          <w:ilvl w:val="0"/>
          <w:numId w:val="1028"/>
        </w:numPr>
      </w:pPr>
      <w:r>
        <w:t xml:space="preserve">topic structures for real-time notifications (WIS2 Topic Hierarchy)</w:t>
      </w:r>
    </w:p>
    <w:p>
      <w:pPr>
        <w:numPr>
          <w:ilvl w:val="0"/>
          <w:numId w:val="1028"/>
        </w:numPr>
      </w:pPr>
      <w:r>
        <w:t xml:space="preserve">interfaces and APIs for Global Services (Global Discovery Catalogue)</w:t>
      </w:r>
    </w:p>
    <w:p>
      <w:pPr>
        <w:pStyle w:val="FirstParagraph"/>
      </w:pPr>
      <w:r>
        <w:t xml:space="preserve">Throughout the WIS2 Implementation timeline, the</w:t>
      </w:r>
      <w:r>
        <w:t xml:space="preserve"> </w:t>
      </w:r>
      <w:hyperlink r:id="rId81">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82">
              <w:r>
                <w:rPr>
                  <w:rStyle w:val="Hyperlink"/>
                </w:rPr>
                <w:t xml:space="preserve">wis2box</w:t>
              </w:r>
            </w:hyperlink>
          </w:p>
        </w:tc>
        <w:tc>
          <w:tcPr/>
          <w:p>
            <w:pPr>
              <w:jc w:val="left"/>
            </w:pPr>
            <w:r>
              <w:t xml:space="preserve">WIS2 Node</w:t>
            </w:r>
          </w:p>
        </w:tc>
      </w:tr>
      <w:tr>
        <w:tc>
          <w:tcPr/>
          <w:p>
            <w:pPr>
              <w:jc w:val="left"/>
            </w:pPr>
            <w:hyperlink r:id="rId83">
              <w:r>
                <w:rPr>
                  <w:rStyle w:val="Hyperlink"/>
                </w:rPr>
                <w:t xml:space="preserve">wis2-gdc</w:t>
              </w:r>
            </w:hyperlink>
          </w:p>
        </w:tc>
        <w:tc>
          <w:tcPr/>
          <w:p>
            <w:pPr>
              <w:jc w:val="left"/>
            </w:pPr>
            <w:r>
              <w:t xml:space="preserve">Global Discovery Catalogue</w:t>
            </w:r>
          </w:p>
        </w:tc>
      </w:tr>
      <w:tr>
        <w:tc>
          <w:tcPr/>
          <w:p>
            <w:pPr>
              <w:jc w:val="left"/>
            </w:pPr>
            <w:hyperlink r:id="rId84">
              <w:r>
                <w:rPr>
                  <w:rStyle w:val="Hyperlink"/>
                </w:rPr>
                <w:t xml:space="preserve">csv2bufr</w:t>
              </w:r>
            </w:hyperlink>
          </w:p>
        </w:tc>
        <w:tc>
          <w:tcPr/>
          <w:p>
            <w:pPr>
              <w:jc w:val="left"/>
            </w:pPr>
            <w:r>
              <w:t xml:space="preserve">CSV to BUFR encoding tool for station data</w:t>
            </w:r>
          </w:p>
        </w:tc>
      </w:tr>
      <w:tr>
        <w:tc>
          <w:tcPr/>
          <w:p>
            <w:pPr>
              <w:jc w:val="left"/>
            </w:pPr>
            <w:hyperlink r:id="rId8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8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Open Source.</w:t>
      </w:r>
    </w:p>
    <w:bookmarkEnd w:id="87"/>
    <w:bookmarkEnd w:id="88"/>
    <w:bookmarkEnd w:id="89"/>
    <w:bookmarkStart w:id="93" w:name="X7dc5ec89ace04afa0dfcc5c2c63a457bc733b57"/>
    <w:p>
      <w:pPr>
        <w:pStyle w:val="Heading1"/>
      </w:pPr>
      <w:r>
        <w:t xml:space="preserve">References</w:t>
      </w:r>
    </w:p>
    <w:p>
      <w:pPr>
        <w:numPr>
          <w:ilvl w:val="0"/>
          <w:numId w:val="1029"/>
        </w:numPr>
      </w:pPr>
      <w:bookmarkStart w:id="90" w:name="producing-oss"/>
      <w:bookmarkEnd w:id="90"/>
      <w:r>
        <w:t xml:space="preserve"> </w:t>
      </w:r>
      <w:r>
        <w:t xml:space="preserve">Fogel, Karl: Producing Open Source Software: How to Run a Successful Free Software Project (2024)</w:t>
      </w:r>
      <w:r>
        <w:t xml:space="preserve"> </w:t>
      </w:r>
      <w:r>
        <w:rPr>
          <w:rStyle w:val="FootnoteReference"/>
        </w:rPr>
        <w:footnoteReference w:id="91"/>
      </w:r>
    </w:p>
    <w:bookmarkEnd w:id="93"/>
    <w:bookmarkStart w:id="94"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94"/>
    <w:bookmarkStart w:id="100"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95">
              <w:r>
                <w:rPr>
                  <w:rStyle w:val="Hyperlink"/>
                </w:rPr>
                <w:t xml:space="preserve">https://github.com/ECCC-MSC</w:t>
              </w:r>
            </w:hyperlink>
          </w:p>
        </w:tc>
        <w:tc>
          <w:tcPr/>
          <w:p>
            <w:pPr>
              <w:numPr>
                <w:ilvl w:val="0"/>
                <w:numId w:val="1030"/>
              </w:numPr>
              <w:jc w:val="left"/>
            </w:pPr>
            <w:hyperlink r:id="rId96">
              <w:r>
                <w:rPr>
                  <w:rStyle w:val="Hyperlink"/>
                </w:rPr>
                <w:t xml:space="preserve">https://github.com/ECCC-MSC/msc-pygeoapi</w:t>
              </w:r>
            </w:hyperlink>
          </w:p>
          <w:p>
            <w:pPr>
              <w:numPr>
                <w:ilvl w:val="0"/>
                <w:numId w:val="1030"/>
              </w:numPr>
              <w:jc w:val="left"/>
            </w:pPr>
            <w:hyperlink r:id="rId97">
              <w:r>
                <w:rPr>
                  <w:rStyle w:val="Hyperlink"/>
                </w:rPr>
                <w:t xml:space="preserve">https://github.com/ECCC-MSC/libecbufr</w:t>
              </w:r>
            </w:hyperlink>
          </w:p>
          <w:p>
            <w:pPr>
              <w:numPr>
                <w:ilvl w:val="0"/>
                <w:numId w:val="1030"/>
              </w:numPr>
              <w:jc w:val="left"/>
            </w:pPr>
            <w:hyperlink r:id="rId98">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99">
              <w:r>
                <w:rPr>
                  <w:rStyle w:val="Hyperlink"/>
                </w:rPr>
                <w:t xml:space="preserve">https://github.com/Unidata</w:t>
              </w:r>
            </w:hyperlink>
          </w:p>
        </w:tc>
        <w:tc>
          <w:tcPr/>
          <w:p>
            <w:pPr>
              <w:numPr>
                <w:ilvl w:val="0"/>
                <w:numId w:val="1031"/>
              </w:numPr>
              <w:jc w:val="left"/>
            </w:pPr>
            <w:r>
              <w:t xml:space="preserve">TODO1</w:t>
            </w:r>
          </w:p>
          <w:p>
            <w:pPr>
              <w:numPr>
                <w:ilvl w:val="0"/>
                <w:numId w:val="1031"/>
              </w:numPr>
              <w:jc w:val="left"/>
            </w:pPr>
            <w:r>
              <w:t xml:space="preserve">TODO2</w:t>
            </w:r>
          </w:p>
        </w:tc>
      </w:tr>
    </w:tbl>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5">
    <w:p>
      <w:pPr>
        <w:pStyle w:val="FootnoteText"/>
      </w:pPr>
      <w:r>
        <w:rPr>
          <w:rStyle w:val="FootnoteReference"/>
        </w:rPr>
        <w:footnoteRef/>
      </w:r>
      <w:r>
        <w:t xml:space="preserve"> </w:t>
      </w:r>
      <w:hyperlink r:id="rId56">
        <w:r>
          <w:rPr>
            <w:rStyle w:val="Hyperlink"/>
          </w:rPr>
          <w:t xml:space="preserve">https://www.osgeo.org/resources/project-graduation-checklist/</w:t>
        </w:r>
      </w:hyperlink>
    </w:p>
  </w:footnote>
  <w:footnote w:id="76">
    <w:p>
      <w:pPr>
        <w:pStyle w:val="FootnoteText"/>
      </w:pPr>
      <w:r>
        <w:rPr>
          <w:rStyle w:val="FootnoteReference"/>
        </w:rPr>
        <w:footnoteRef/>
      </w:r>
      <w:r>
        <w:t xml:space="preserve"> </w:t>
      </w:r>
      <w:hyperlink r:id="rId77">
        <w:r>
          <w:rPr>
            <w:rStyle w:val="Hyperlink"/>
          </w:rPr>
          <w:t xml:space="preserve">https://wmo.int/wis-20</w:t>
        </w:r>
      </w:hyperlink>
    </w:p>
  </w:footnote>
  <w:footnote w:id="79">
    <w:p>
      <w:pPr>
        <w:pStyle w:val="FootnoteText"/>
      </w:pPr>
      <w:r>
        <w:rPr>
          <w:rStyle w:val="FootnoteReference"/>
        </w:rPr>
        <w:footnoteRef/>
      </w:r>
      <w:r>
        <w:t xml:space="preserve"> </w:t>
      </w:r>
      <w:hyperlink r:id="rId80">
        <w:r>
          <w:rPr>
            <w:rStyle w:val="Hyperlink"/>
          </w:rPr>
          <w:t xml:space="preserve">https://wmo-im.github.io/wis2-transition-guide/transition-guide/wis2-transition-guide-APPROVED.html#_1_introduction</w:t>
        </w:r>
      </w:hyperlink>
    </w:p>
  </w:footnote>
  <w:footnote w:id="91">
    <w:p>
      <w:pPr>
        <w:pStyle w:val="FootnoteText"/>
      </w:pPr>
      <w:r>
        <w:rPr>
          <w:rStyle w:val="FootnoteReference"/>
        </w:rPr>
        <w:footnoteRef/>
      </w:r>
      <w:r>
        <w:t xml:space="preserve"> </w:t>
      </w:r>
      <w:hyperlink r:id="rId92">
        <w:r>
          <w:rPr>
            <w:rStyle w:val="Hyperlink"/>
          </w:rPr>
          <w:t xml:space="preserve">https://producingoss.com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data.ecmwf.int/"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82" Target="https://docs.wis2box.wis.wmo.int" TargetMode="External" /><Relationship Type="http://schemas.openxmlformats.org/officeDocument/2006/relationships/hyperlink" Id="rId64" Target="https://foss4g.org" TargetMode="External" /><Relationship Type="http://schemas.openxmlformats.org/officeDocument/2006/relationships/hyperlink" Id="rId45" Target="https://github.com" TargetMode="External" /><Relationship Type="http://schemas.openxmlformats.org/officeDocument/2006/relationships/hyperlink" Id="rId95" Target="https://github.com/ECCC-MSC" TargetMode="External" /><Relationship Type="http://schemas.openxmlformats.org/officeDocument/2006/relationships/hyperlink" Id="rId97" Target="https://github.com/ECCC-MSC/libecbufr" TargetMode="External" /><Relationship Type="http://schemas.openxmlformats.org/officeDocument/2006/relationships/hyperlink" Id="rId96" Target="https://github.com/ECCC-MSC/msc-pygeoapi" TargetMode="External" /><Relationship Type="http://schemas.openxmlformats.org/officeDocument/2006/relationships/hyperlink" Id="rId98" Target="https://github.com/ECCC-MSC/msc-wis2node" TargetMode="External" /><Relationship Type="http://schemas.openxmlformats.org/officeDocument/2006/relationships/hyperlink" Id="rId99" Target="https://github.com/Unidata" TargetMode="External" /><Relationship Type="http://schemas.openxmlformats.org/officeDocument/2006/relationships/hyperlink" Id="rId84" Target="https://github.com/World-Meteorological-Organization/csv2bufr" TargetMode="External" /><Relationship Type="http://schemas.openxmlformats.org/officeDocument/2006/relationships/hyperlink" Id="rId86" Target="https://github.com/World-Meteorological-Organization/pywis-pubsub" TargetMode="External" /><Relationship Type="http://schemas.openxmlformats.org/officeDocument/2006/relationships/hyperlink" Id="rId85" Target="https://github.com/World-Meteorological-Organization/wis2downloader" TargetMode="External" /><Relationship Type="http://schemas.openxmlformats.org/officeDocument/2006/relationships/hyperlink" Id="rId83" Target="https://github.com/wmo-im/wis2-gdc" TargetMode="External" /><Relationship Type="http://schemas.openxmlformats.org/officeDocument/2006/relationships/hyperlink" Id="rId46" Target="https://gitlab.com/gitlab-org" TargetMode="External" /><Relationship Type="http://schemas.openxmlformats.org/officeDocument/2006/relationships/hyperlink" Id="rId78" Target="https://library.wmo.int/idviewer/66258/1147" TargetMode="External" /><Relationship Type="http://schemas.openxmlformats.org/officeDocument/2006/relationships/hyperlink" Id="rId31" Target="https://opendatapolicylab.org/" TargetMode="External" /><Relationship Type="http://schemas.openxmlformats.org/officeDocument/2006/relationships/hyperlink" Id="rId61" Target="https://osgeo.org" TargetMode="External" /><Relationship Type="http://schemas.openxmlformats.org/officeDocument/2006/relationships/hyperlink" Id="rId92" Target="https://producingoss.com" TargetMode="External" /><Relationship Type="http://schemas.openxmlformats.org/officeDocument/2006/relationships/hyperlink" Id="rId68" Target="https://project.oss4geo.org/" TargetMode="External" /><Relationship Type="http://schemas.openxmlformats.org/officeDocument/2006/relationships/hyperlink" Id="rId81"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8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7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63" Target="https://www.apache.org" TargetMode="External" /><Relationship Type="http://schemas.openxmlformats.org/officeDocument/2006/relationships/hyperlink" Id="rId62" Target="https://www.digitalpublicgoods.net"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56" Target="https://www.osgeo.org/resources/project-graduation-checklist/" TargetMode="External" /></Relationships>
</file>

<file path=word/_rels/footnotes.xml.rels><?xml version="1.0" encoding="UTF-8"?><Relationships xmlns="http://schemas.openxmlformats.org/package/2006/relationships"><Relationship Type="http://schemas.openxmlformats.org/officeDocument/2006/relationships/hyperlink" Id="rId4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data.ecmwf.int/"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82" Target="https://docs.wis2box.wis.wmo.int" TargetMode="External" /><Relationship Type="http://schemas.openxmlformats.org/officeDocument/2006/relationships/hyperlink" Id="rId64" Target="https://foss4g.org" TargetMode="External" /><Relationship Type="http://schemas.openxmlformats.org/officeDocument/2006/relationships/hyperlink" Id="rId45" Target="https://github.com" TargetMode="External" /><Relationship Type="http://schemas.openxmlformats.org/officeDocument/2006/relationships/hyperlink" Id="rId95" Target="https://github.com/ECCC-MSC" TargetMode="External" /><Relationship Type="http://schemas.openxmlformats.org/officeDocument/2006/relationships/hyperlink" Id="rId97" Target="https://github.com/ECCC-MSC/libecbufr" TargetMode="External" /><Relationship Type="http://schemas.openxmlformats.org/officeDocument/2006/relationships/hyperlink" Id="rId96" Target="https://github.com/ECCC-MSC/msc-pygeoapi" TargetMode="External" /><Relationship Type="http://schemas.openxmlformats.org/officeDocument/2006/relationships/hyperlink" Id="rId98" Target="https://github.com/ECCC-MSC/msc-wis2node" TargetMode="External" /><Relationship Type="http://schemas.openxmlformats.org/officeDocument/2006/relationships/hyperlink" Id="rId99" Target="https://github.com/Unidata" TargetMode="External" /><Relationship Type="http://schemas.openxmlformats.org/officeDocument/2006/relationships/hyperlink" Id="rId84" Target="https://github.com/World-Meteorological-Organization/csv2bufr" TargetMode="External" /><Relationship Type="http://schemas.openxmlformats.org/officeDocument/2006/relationships/hyperlink" Id="rId86" Target="https://github.com/World-Meteorological-Organization/pywis-pubsub" TargetMode="External" /><Relationship Type="http://schemas.openxmlformats.org/officeDocument/2006/relationships/hyperlink" Id="rId85" Target="https://github.com/World-Meteorological-Organization/wis2downloader" TargetMode="External" /><Relationship Type="http://schemas.openxmlformats.org/officeDocument/2006/relationships/hyperlink" Id="rId83" Target="https://github.com/wmo-im/wis2-gdc" TargetMode="External" /><Relationship Type="http://schemas.openxmlformats.org/officeDocument/2006/relationships/hyperlink" Id="rId46" Target="https://gitlab.com/gitlab-org" TargetMode="External" /><Relationship Type="http://schemas.openxmlformats.org/officeDocument/2006/relationships/hyperlink" Id="rId78" Target="https://library.wmo.int/idviewer/66258/1147" TargetMode="External" /><Relationship Type="http://schemas.openxmlformats.org/officeDocument/2006/relationships/hyperlink" Id="rId31" Target="https://opendatapolicylab.org/" TargetMode="External" /><Relationship Type="http://schemas.openxmlformats.org/officeDocument/2006/relationships/hyperlink" Id="rId61" Target="https://osgeo.org" TargetMode="External" /><Relationship Type="http://schemas.openxmlformats.org/officeDocument/2006/relationships/hyperlink" Id="rId92" Target="https://producingoss.com" TargetMode="External" /><Relationship Type="http://schemas.openxmlformats.org/officeDocument/2006/relationships/hyperlink" Id="rId68" Target="https://project.oss4geo.org/" TargetMode="External" /><Relationship Type="http://schemas.openxmlformats.org/officeDocument/2006/relationships/hyperlink" Id="rId81"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8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7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63" Target="https://www.apache.org" TargetMode="External" /><Relationship Type="http://schemas.openxmlformats.org/officeDocument/2006/relationships/hyperlink" Id="rId62" Target="https://www.digitalpublicgoods.net"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56" Target="https://www.osgeo.org/resources/project-graduation-check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2026-03-23T14:39:22Z</dcterms:created>
  <dcterms:modified xsi:type="dcterms:W3CDTF">2026-03-23T14:39:22Z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2026-03-23</vt:lpwstr>
  </property>
</Properties>
</file>