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2026-06-01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2026-06-01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7"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 MIT, Apache, BSD,</w:t>
      </w:r>
      <w:r>
        <w:t xml:space="preserve"> </w:t>
      </w:r>
      <w:r>
        <w:t xml:space="preserve">and many others. 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26"/>
    <w:bookmarkStart w:id="28"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w:t>
      </w:r>
      <w:r>
        <w:t xml:space="preserve"> </w:t>
      </w:r>
      <w:r>
        <w:t xml:space="preserve">While FOSS is increasingly used across WMO Member organizations, guidance and coordination are vital to support the delivery of services with security, privacy and safety in mind.</w:t>
      </w:r>
    </w:p>
    <w:bookmarkStart w:id="27" w:name="X4b8650f722c3e343ec9c7601693de1103b38ade"/>
    <w:p>
      <w:pPr>
        <w:pStyle w:val="Heading3"/>
      </w:pPr>
      <w:r>
        <w:t xml:space="preserve">Culture and process in FOSS projects</w:t>
      </w:r>
    </w:p>
    <w:p>
      <w:pPr>
        <w:pStyle w:val="FirstParagraph"/>
      </w:pPr>
      <w:r>
        <w:t xml:space="preserve">Openly developed FOSS projects depend on community contributions and maintainer review and approval of contributions. Whether a large or small community, ongoing maintenance of a project depends on building and maintaining a strong community with a culture of collaboration and contribution. The community aspects of a project can be as important as the technical aspects when considering the maintainability and sustainability of the project.</w:t>
      </w:r>
    </w:p>
    <w:p>
      <w:pPr>
        <w:pStyle w:val="BodyText"/>
      </w:pPr>
      <w:r>
        <w:t xml:space="preserve">Communication during the contribution and review process is key. Contributors should consider the effort involved in reviewing contributions and how they can structure their contributions to simplify the process. Contributors should be able to justify all changes they are submitting (whether developed with or without assistance from AI tools).</w:t>
      </w:r>
    </w:p>
    <w:bookmarkEnd w:id="27"/>
    <w:bookmarkEnd w:id="28"/>
    <w:bookmarkStart w:id="35" w:name="X7ac143ecd7d44f94f06140d53c68480356370d4"/>
    <w:p>
      <w:pPr>
        <w:pStyle w:val="Heading2"/>
      </w:pPr>
      <w:r>
        <w:t xml:space="preserve">Data policy considerations</w:t>
      </w:r>
    </w:p>
    <w:p>
      <w:pPr>
        <w:pStyle w:val="FirstParagraph"/>
      </w:pPr>
      <w:r>
        <w:t xml:space="preserve">While Free and Open Source Software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hyperlink r:id="rId29">
        <w:r>
          <w:rPr>
            <w:rStyle w:val="Hyperlink"/>
          </w:rPr>
          <w:t xml:space="preserve">WMO Unified Data Policy</w:t>
        </w:r>
      </w:hyperlink>
      <w:r>
        <w:t xml:space="preserve"> </w:t>
      </w:r>
      <w:r>
        <w:t xml:space="preserve">by helping Members expand access to</w:t>
      </w:r>
      <w:r>
        <w:t xml:space="preserve"> </w:t>
      </w:r>
      <w:r>
        <w:t xml:space="preserve">Earth system data, strengthen international collaboration and contribute to broader open science practices.</w:t>
      </w:r>
    </w:p>
    <w:bookmarkStart w:id="30"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1"/>
        </w:numPr>
      </w:pPr>
      <w:r>
        <w:rPr>
          <w:bCs/>
          <w:b/>
        </w:rPr>
        <w:t xml:space="preserve">Findable</w:t>
      </w:r>
      <w:r>
        <w:t xml:space="preserve"> </w:t>
      </w:r>
      <w:r>
        <w:t xml:space="preserve">through clear metadata and catalogues</w:t>
      </w:r>
    </w:p>
    <w:p>
      <w:pPr>
        <w:numPr>
          <w:ilvl w:val="0"/>
          <w:numId w:val="1001"/>
        </w:numPr>
      </w:pPr>
      <w:r>
        <w:rPr>
          <w:bCs/>
          <w:b/>
        </w:rPr>
        <w:t xml:space="preserve">Accessible</w:t>
      </w:r>
      <w:r>
        <w:t xml:space="preserve"> </w:t>
      </w:r>
      <w:r>
        <w:t xml:space="preserve">through reliable services and standard interfaces</w:t>
      </w:r>
    </w:p>
    <w:p>
      <w:pPr>
        <w:numPr>
          <w:ilvl w:val="0"/>
          <w:numId w:val="1001"/>
        </w:numPr>
      </w:pPr>
      <w:r>
        <w:rPr>
          <w:bCs/>
          <w:b/>
        </w:rPr>
        <w:t xml:space="preserve">Interoperable</w:t>
      </w:r>
      <w:r>
        <w:t xml:space="preserve"> </w:t>
      </w:r>
      <w:r>
        <w:t xml:space="preserve">across institutions and systems</w:t>
      </w:r>
    </w:p>
    <w:p>
      <w:pPr>
        <w:numPr>
          <w:ilvl w:val="0"/>
          <w:numId w:val="1001"/>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30"/>
    <w:bookmarkStart w:id="32"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2"/>
        </w:numPr>
      </w:pPr>
      <w:r>
        <w:t xml:space="preserve">what data should be shared,</w:t>
      </w:r>
    </w:p>
    <w:p>
      <w:pPr>
        <w:numPr>
          <w:ilvl w:val="0"/>
          <w:numId w:val="1002"/>
        </w:numPr>
      </w:pPr>
      <w:r>
        <w:t xml:space="preserve">under what conditions,</w:t>
      </w:r>
    </w:p>
    <w:p>
      <w:pPr>
        <w:numPr>
          <w:ilvl w:val="0"/>
          <w:numId w:val="1002"/>
        </w:numPr>
      </w:pPr>
      <w:r>
        <w:t xml:space="preserve">who is responsible for stewardship,</w:t>
      </w:r>
    </w:p>
    <w:p>
      <w:pPr>
        <w:numPr>
          <w:ilvl w:val="0"/>
          <w:numId w:val="1002"/>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31">
        <w:r>
          <w:rPr>
            <w:rStyle w:val="Hyperlink"/>
          </w:rPr>
          <w:t xml:space="preserve">https://opendefinition.org/licenses/</w:t>
        </w:r>
      </w:hyperlink>
      <w:r>
        <w:t xml:space="preserve">.</w:t>
      </w:r>
    </w:p>
    <w:bookmarkEnd w:id="32"/>
    <w:bookmarkStart w:id="33"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3"/>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3"/>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3"/>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3"/>
        </w:numPr>
      </w:pPr>
      <w:r>
        <w:rPr>
          <w:bCs/>
          <w:b/>
        </w:rPr>
        <w:t xml:space="preserve">Enabling innovation</w:t>
      </w:r>
      <w:r>
        <w:t xml:space="preserve">: When open data is combined with open software, organisations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33"/>
    <w:bookmarkStart w:id="34"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34"/>
    <w:bookmarkEnd w:id="35"/>
    <w:bookmarkStart w:id="36" w:name="impact-of-ai"/>
    <w:p>
      <w:pPr>
        <w:pStyle w:val="Heading2"/>
      </w:pPr>
      <w:r>
        <w:t xml:space="preserve">Impact of AI on FOSS Projects</w:t>
      </w:r>
    </w:p>
    <w:p>
      <w:pPr>
        <w:pStyle w:val="FirstParagraph"/>
      </w:pPr>
      <w:r>
        <w:t xml:space="preserve">The capabilities of AI/LLM/Agentic tools and workflows are evolving rapidly and increasingly used to contribute to and manage FOSS projects.</w:t>
      </w:r>
      <w:r>
        <w:t xml:space="preserve"> </w:t>
      </w:r>
      <w:r>
        <w:t xml:space="preserve">FOSS projects can be impacted in a variety of ways including dramatic increases in the number, size, and complexity of contributions.</w:t>
      </w:r>
      <w:r>
        <w:t xml:space="preserve"> </w:t>
      </w:r>
      <w:r>
        <w:t xml:space="preserve">Many FOSS projects have responded by developing AI Tool Use Policies or Guidelines, often focused on the importance of maintaining a project’s community and culture.</w:t>
      </w:r>
      <w:r>
        <w:t xml:space="preserve"> </w:t>
      </w:r>
      <w:r>
        <w:t xml:space="preserve">(See the</w:t>
      </w:r>
      <w:r>
        <w:t xml:space="preserve"> </w:t>
      </w:r>
      <w:hyperlink w:anchor="annex-ai-tool-use">
        <w:r>
          <w:rPr>
            <w:rStyle w:val="Hyperlink"/>
          </w:rPr>
          <w:t xml:space="preserve">appendix_title</w:t>
        </w:r>
      </w:hyperlink>
      <w:r>
        <w:t xml:space="preserve"> </w:t>
      </w:r>
      <w:r>
        <w:t xml:space="preserve">Annex for references to AI in FOSS overview articles and example AI use policies.)</w:t>
      </w:r>
    </w:p>
    <w:p>
      <w:pPr>
        <w:pStyle w:val="BodyText"/>
      </w:pPr>
      <w:r>
        <w:t xml:space="preserve">The guidelines tend to focus on the need for human communication around contributions, the value of contributions relative to the effort required by maintainers, and transparency with type and amount of AI tool use indicated.</w:t>
      </w:r>
      <w:r>
        <w:t xml:space="preserve"> </w:t>
      </w:r>
      <w:r>
        <w:t xml:space="preserve">(Contributions of low value-to-effort are sometimes called "extractive contributions".)</w:t>
      </w:r>
    </w:p>
    <w:p>
      <w:pPr>
        <w:pStyle w:val="BodyText"/>
      </w:pPr>
      <w:r>
        <w:t xml:space="preserve">The speed and scale at which AI tools can generate possible fixes and enhancements, as well as exploits to security vulnerabilities, necessitates strong culture, process, and communication around human decision making on discussions and issues.</w:t>
      </w:r>
      <w:r>
        <w:t xml:space="preserve"> </w:t>
      </w:r>
      <w:r>
        <w:t xml:space="preserve">AI has also be used for reputation building through AI-generated discussions and Q&amp;A which, along with requiring maintainer effort, can impact an OSS project’s ability to provide support to the user and developer community.</w:t>
      </w:r>
    </w:p>
    <w:bookmarkEnd w:id="36"/>
    <w:bookmarkEnd w:id="37"/>
    <w:bookmarkStart w:id="125" w:name="X3148c62ae8380655b8c29f1e8f24835e28abe42"/>
    <w:p>
      <w:pPr>
        <w:pStyle w:val="Heading1"/>
      </w:pPr>
      <w:r>
        <w:t xml:space="preserve">Guidelines</w:t>
      </w:r>
    </w:p>
    <w:bookmarkStart w:id="81" w:name="Xafc3c35aae3bdfeb1706aa82a2c86b245796cb3"/>
    <w:p>
      <w:pPr>
        <w:pStyle w:val="Heading2"/>
      </w:pPr>
      <w:r>
        <w:t xml:space="preserve">WMO Members</w:t>
      </w:r>
    </w:p>
    <w:bookmarkStart w:id="40" w:name="X6e6120c13b4fdf0aca0a8db50173eb0f817f9bb"/>
    <w:p>
      <w:pPr>
        <w:pStyle w:val="Heading3"/>
      </w:pPr>
      <w:r>
        <w:t xml:space="preserve">Using FOSS</w:t>
      </w:r>
    </w:p>
    <w:bookmarkStart w:id="38" w:name="X9f39c0194175d17a1927980a996db60f4864ec7"/>
    <w:p>
      <w:pPr>
        <w:pStyle w:val="Heading4"/>
      </w:pPr>
      <w:r>
        <w:t xml:space="preserve">Risks</w:t>
      </w:r>
    </w:p>
    <w:p>
      <w:pPr>
        <w:numPr>
          <w:ilvl w:val="0"/>
          <w:numId w:val="1004"/>
        </w:numPr>
      </w:pPr>
      <w:r>
        <w:rPr>
          <w:bCs/>
          <w:b/>
        </w:rPr>
        <w:t xml:space="preserve">Licence compliance risks</w:t>
      </w:r>
      <w:r>
        <w:t xml:space="preserve"> </w:t>
      </w:r>
      <w:r>
        <w:t xml:space="preserve">Open-source licences often have widely varying requirements regarding commercial use, redistribution, and code modification. Certain licences include restrictive clauses, such as mandating that derivative works be made open source or that original copyright notices be preserved in full. Violations may lead to legal disputes and intellectual property issues.</w:t>
      </w:r>
    </w:p>
    <w:p>
      <w:pPr>
        <w:numPr>
          <w:ilvl w:val="0"/>
          <w:numId w:val="1004"/>
        </w:numPr>
      </w:pPr>
      <w:r>
        <w:rPr>
          <w:bCs/>
          <w:b/>
        </w:rPr>
        <w:t xml:space="preserve">Security and continuity risks</w:t>
      </w:r>
      <w:r>
        <w:t xml:space="preserve">: Open-source software from niche or less-established projects may pose security risks due to limited formal code audits. Additionally, the complexity of open-source software supply chains creates vulnerabilities that could be exploited to implant malicious code. These risks are amplified in meteorological applications, especially when handling sensitive observational data or real-time forecasting models.</w:t>
      </w:r>
    </w:p>
    <w:p>
      <w:pPr>
        <w:numPr>
          <w:ilvl w:val="0"/>
          <w:numId w:val="1004"/>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4"/>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4"/>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38"/>
    <w:bookmarkStart w:id="39" w:name="X96fe6307f54f8490e649c5bdcc4c76a3d6f608b"/>
    <w:p>
      <w:pPr>
        <w:pStyle w:val="Heading4"/>
      </w:pPr>
      <w:r>
        <w:t xml:space="preserve">Hidden costs</w:t>
      </w:r>
    </w:p>
    <w:p>
      <w:pPr>
        <w:numPr>
          <w:ilvl w:val="0"/>
          <w:numId w:val="1005"/>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5"/>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5"/>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5"/>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bookmarkEnd w:id="39"/>
    <w:bookmarkEnd w:id="40"/>
    <w:bookmarkStart w:id="61" w:name="Xc3643c74377f85c9a4aa3b901502d228a87a410"/>
    <w:p>
      <w:pPr>
        <w:pStyle w:val="Heading3"/>
      </w:pPr>
      <w:r>
        <w:t xml:space="preserve">Contributing to FOSS</w:t>
      </w:r>
    </w:p>
    <w:bookmarkStart w:id="60"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41"/>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6"/>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44"/>
      </w:r>
      <w:r>
        <w:t xml:space="preserve"> </w:t>
      </w:r>
      <w:r>
        <w:t xml:space="preserve">the Government of Canada Open First approach,</w:t>
      </w:r>
      <w:r>
        <w:rPr>
          <w:rStyle w:val="FootnoteReference"/>
        </w:rPr>
        <w:footnoteReference w:id="46"/>
      </w:r>
      <w:r>
        <w:t xml:space="preserve"> </w:t>
      </w:r>
      <w:r>
        <w:t xml:space="preserve">Australia’s Digital Service Standard (Criterion 8: Make source code open),</w:t>
      </w:r>
      <w:r>
        <w:rPr>
          <w:rStyle w:val="FootnoteReference"/>
        </w:rPr>
        <w:footnoteReference w:id="48"/>
      </w:r>
      <w:r>
        <w:t xml:space="preserve"> </w:t>
      </w:r>
      <w:r>
        <w:t xml:space="preserve">New Zealand’s NZGOAL-SE framework,</w:t>
      </w:r>
      <w:r>
        <w:rPr>
          <w:rStyle w:val="FootnoteReference"/>
        </w:rPr>
        <w:footnoteReference w:id="50"/>
      </w:r>
      <w:r>
        <w:t xml:space="preserve"> </w:t>
      </w:r>
      <w:r>
        <w:t xml:space="preserve">India’s Policy on Adoption of Open Source Software,</w:t>
      </w:r>
      <w:r>
        <w:rPr>
          <w:rStyle w:val="FootnoteReference"/>
        </w:rPr>
        <w:footnoteReference w:id="52"/>
      </w:r>
      <w:r>
        <w:t xml:space="preserve"> </w:t>
      </w:r>
      <w:r>
        <w:t xml:space="preserve">and Japan’s Open Source Promotion Report.</w:t>
      </w:r>
      <w:r>
        <w:rPr>
          <w:rStyle w:val="FootnoteReference"/>
        </w:rPr>
        <w:footnoteReference w:id="54"/>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06"/>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56"/>
      </w:r>
    </w:p>
    <w:p>
      <w:pPr>
        <w:numPr>
          <w:ilvl w:val="0"/>
          <w:numId w:val="1006"/>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58"/>
      </w:r>
      <w:r>
        <w:t xml:space="preserve"> </w:t>
      </w:r>
      <w:r>
        <w:t xml:space="preserve">(in force from April 2024) requires public sector bodies to conduct interoperability assessments and share open source solutions for cross-border digital services.</w:t>
      </w:r>
    </w:p>
    <w:p>
      <w:pPr>
        <w:numPr>
          <w:ilvl w:val="0"/>
          <w:numId w:val="1006"/>
        </w:numPr>
      </w:pPr>
      <w:r>
        <w:t xml:space="preserve">Capacity-building programmes that enable staff to acquire skills for maintaining and developing open-source tools, reducing long-term operational dependency on external vendors.</w:t>
      </w:r>
    </w:p>
    <w:p>
      <w:pPr>
        <w:numPr>
          <w:ilvl w:val="0"/>
          <w:numId w:val="1006"/>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7"/>
        </w:numPr>
      </w:pPr>
      <w:r>
        <w:t xml:space="preserve">Establish internal rules for licensing, contribution approval and repository management.</w:t>
      </w:r>
    </w:p>
    <w:p>
      <w:pPr>
        <w:numPr>
          <w:ilvl w:val="0"/>
          <w:numId w:val="1007"/>
        </w:numPr>
      </w:pPr>
      <w:r>
        <w:t xml:space="preserve">Define procedures for evaluating FOSS components (governance, community health, maintenance model).</w:t>
      </w:r>
    </w:p>
    <w:p>
      <w:pPr>
        <w:numPr>
          <w:ilvl w:val="0"/>
          <w:numId w:val="1007"/>
        </w:numPr>
      </w:pPr>
      <w:r>
        <w:t xml:space="preserve">Incorporate sustainability planning (including contribution back to upstream projects when fixes or new features are developed internally).</w:t>
      </w:r>
    </w:p>
    <w:p>
      <w:pPr>
        <w:numPr>
          <w:ilvl w:val="0"/>
          <w:numId w:val="1007"/>
        </w:numPr>
      </w:pPr>
      <w:r>
        <w:t xml:space="preserve">Promote transparency by adopting open repositories for research software and operational tools.</w:t>
      </w:r>
    </w:p>
    <w:p>
      <w:pPr>
        <w:numPr>
          <w:ilvl w:val="0"/>
          <w:numId w:val="1007"/>
        </w:numPr>
      </w:pPr>
      <w:r>
        <w:t xml:space="preserve">Events/hackathons (e.g. OGC/OSGeo/ASF Joint Sprints) TODO Vasile</w:t>
      </w:r>
    </w:p>
    <w:p>
      <w:pPr>
        <w:numPr>
          <w:ilvl w:val="1"/>
          <w:numId w:val="1008"/>
        </w:numPr>
      </w:pPr>
      <w:r>
        <w:t xml:space="preserve">By product: connection/collab</w:t>
      </w:r>
    </w:p>
    <w:p>
      <w:pPr>
        <w:numPr>
          <w:ilvl w:val="0"/>
          <w:numId w:val="1007"/>
        </w:numPr>
      </w:pPr>
      <w:r>
        <w:t xml:space="preserve">Regulations / risk / constraints / considerations</w:t>
      </w:r>
    </w:p>
    <w:p>
      <w:pPr>
        <w:numPr>
          <w:ilvl w:val="1"/>
          <w:numId w:val="1009"/>
        </w:numPr>
      </w:pPr>
      <w:r>
        <w:t xml:space="preserve">Features, maintenance, project</w:t>
      </w:r>
    </w:p>
    <w:bookmarkEnd w:id="60"/>
    <w:bookmarkEnd w:id="61"/>
    <w:bookmarkStart w:id="65"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62">
        <w:r>
          <w:rPr>
            <w:rStyle w:val="Hyperlink"/>
          </w:rPr>
          <w:t xml:space="preserve">GitHub</w:t>
        </w:r>
      </w:hyperlink>
      <w:r>
        <w:t xml:space="preserve">,</w:t>
      </w:r>
      <w:r>
        <w:t xml:space="preserve"> </w:t>
      </w:r>
      <w:hyperlink r:id="rId63">
        <w:r>
          <w:rPr>
            <w:rStyle w:val="Hyperlink"/>
          </w:rPr>
          <w:t xml:space="preserve">GitLab</w:t>
        </w:r>
      </w:hyperlink>
      <w:r>
        <w:t xml:space="preserve">,</w:t>
      </w:r>
      <w:r>
        <w:t xml:space="preserve"> </w:t>
      </w:r>
      <w:hyperlink r:id="rId64">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0"/>
        </w:numPr>
      </w:pPr>
      <w:r>
        <w:t xml:space="preserve">Establish an "architecture of participation":</w:t>
      </w:r>
    </w:p>
    <w:p>
      <w:pPr>
        <w:numPr>
          <w:ilvl w:val="1"/>
          <w:numId w:val="1011"/>
        </w:numPr>
      </w:pPr>
      <w:r>
        <w:t xml:space="preserve">Who will be responsible for development, release management, and accepting external contributions?</w:t>
      </w:r>
    </w:p>
    <w:p>
      <w:pPr>
        <w:numPr>
          <w:ilvl w:val="1"/>
          <w:numId w:val="1011"/>
        </w:numPr>
      </w:pPr>
      <w:r>
        <w:t xml:space="preserve">How will commit access be governed and managed? Does the project need a project steering committee or group of stakeholders to help drive the project?</w:t>
      </w:r>
    </w:p>
    <w:p>
      <w:pPr>
        <w:numPr>
          <w:ilvl w:val="1"/>
          <w:numId w:val="1011"/>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1"/>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1"/>
        </w:numPr>
      </w:pPr>
      <w:r>
        <w:t xml:space="preserve">Having a strong process for managing contributions can help ensure a strong culture of collaboration and cooperation. (This applies to both open projects and more restricted, small group projects). Consider addressing whether and how contributors can use AI Tools, if at all (see the</w:t>
      </w:r>
      <w:r>
        <w:t xml:space="preserve"> </w:t>
      </w:r>
      <w:hyperlink w:anchor="impact-of-ai">
        <w:r>
          <w:rPr>
            <w:rStyle w:val="Hyperlink"/>
          </w:rPr>
          <w:t xml:space="preserve">Impact of AI on FOSS Projects</w:t>
        </w:r>
      </w:hyperlink>
      <w:r>
        <w:t xml:space="preserve"> </w:t>
      </w:r>
      <w:r>
        <w:t xml:space="preserve">section and</w:t>
      </w:r>
      <w:r>
        <w:t xml:space="preserve"> </w:t>
      </w:r>
      <w:hyperlink w:anchor="annex-ai-tool-use">
        <w:r>
          <w:rPr>
            <w:rStyle w:val="Hyperlink"/>
          </w:rPr>
          <w:t xml:space="preserve">appendix_title</w:t>
        </w:r>
      </w:hyperlink>
      <w:r>
        <w:t xml:space="preserve"> </w:t>
      </w:r>
      <w:r>
        <w:t xml:space="preserve">Annex).</w:t>
      </w:r>
    </w:p>
    <w:p>
      <w:pPr>
        <w:numPr>
          <w:ilvl w:val="1"/>
          <w:numId w:val="1011"/>
        </w:numPr>
      </w:pPr>
      <w:r>
        <w:t xml:space="preserve">Make clear how security issues should be addressed (mitigation/release policies/timelines, contact points, etc.)</w:t>
      </w:r>
    </w:p>
    <w:p>
      <w:pPr>
        <w:numPr>
          <w:ilvl w:val="1"/>
          <w:numId w:val="1011"/>
        </w:numPr>
      </w:pPr>
      <w:r>
        <w:t xml:space="preserve">What is the release schedule for new versions?</w:t>
      </w:r>
    </w:p>
    <w:p>
      <w:pPr>
        <w:numPr>
          <w:ilvl w:val="0"/>
          <w:numId w:val="1010"/>
        </w:numPr>
      </w:pPr>
      <w:r>
        <w:t xml:space="preserve">Choose a licence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0"/>
        </w:numPr>
      </w:pPr>
      <w:r>
        <w:t xml:space="preserve">Choose the mechanism by which the software will be made available (GitHub, GitLab, Codeberg, organizational website, etc.)</w:t>
      </w:r>
    </w:p>
    <w:p>
      <w:pPr>
        <w:numPr>
          <w:ilvl w:val="0"/>
          <w:numId w:val="1010"/>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0"/>
        </w:numPr>
      </w:pPr>
      <w:r>
        <w:t xml:space="preserve">Identify any supported WMO Technical Regulations</w:t>
      </w:r>
    </w:p>
    <w:p>
      <w:pPr>
        <w:numPr>
          <w:ilvl w:val="0"/>
          <w:numId w:val="1010"/>
        </w:numPr>
      </w:pPr>
      <w:r>
        <w:t xml:space="preserve">Ensure that the project has proper documentation for users (downloading, installing, configuring, running), as well as additional documentation for developer or other audience types (administrators, etc.)</w:t>
      </w:r>
    </w:p>
    <w:p>
      <w:pPr>
        <w:numPr>
          <w:ilvl w:val="0"/>
          <w:numId w:val="1010"/>
        </w:numPr>
      </w:pPr>
      <w:r>
        <w:t xml:space="preserve">Ensure the code is versioned (for example using Git as a version control system)</w:t>
      </w:r>
    </w:p>
    <w:bookmarkEnd w:id="65"/>
    <w:bookmarkStart w:id="70" w:name="X5e97a5d281ba6a758b387b0601e11cbe2101597"/>
    <w:p>
      <w:pPr>
        <w:pStyle w:val="Heading3"/>
      </w:pPr>
      <w:r>
        <w:t xml:space="preserve">Benefits of FOSS</w:t>
      </w:r>
    </w:p>
    <w:p>
      <w:pPr>
        <w:pStyle w:val="FirstParagraph"/>
      </w:pPr>
      <w:r>
        <w:t xml:space="preserve">The benefits of FOSS can be summarized across three dimensions: autonomy and control, cost optimization, and ecosystem flexibility.</w:t>
      </w:r>
    </w:p>
    <w:p>
      <w:pPr>
        <w:numPr>
          <w:ilvl w:val="0"/>
          <w:numId w:val="1012"/>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(e.g., regional weather forecasting adjustments). This level of access also allows them to independently identify and fix vulnerabilities, optimize performance for large meteorological data workloads, and control the technical roadmap of core systems. Certain permissive licences (e.g., MIT License, Apache License 2.0) even permit using modified code as closed source in commercial products, balancing customization needs with operational requirements.</w:t>
      </w:r>
    </w:p>
    <w:p>
      <w:pPr>
        <w:numPr>
          <w:ilvl w:val="0"/>
          <w:numId w:val="1012"/>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that EUR 1 billion of investment in open source generated EUR 65–95 billion in economic impact, characterizing FOSS as a global public good.</w:t>
      </w:r>
      <w:r>
        <w:rPr>
          <w:rStyle w:val="FootnoteReference"/>
        </w:rPr>
        <w:footnoteReference w:id="66"/>
      </w:r>
      <w:r>
        <w:t xml:space="preserve"> </w:t>
      </w:r>
      <w:r>
        <w:t xml:space="preserve">A World Bank study of institutional investment in open-source geospatial software found a conservatively estimated 200% return on investment over seven years.</w:t>
      </w:r>
      <w:r>
        <w:rPr>
          <w:rStyle w:val="FootnoteReference"/>
        </w:rPr>
        <w:footnoteReference w:id="68"/>
      </w:r>
    </w:p>
    <w:p>
      <w:pPr>
        <w:numPr>
          <w:ilvl w:val="0"/>
          <w:numId w:val="1012"/>
        </w:numPr>
      </w:pPr>
      <w:r>
        <w:rPr>
          <w:bCs/>
          <w:b/>
        </w:rPr>
        <w:t xml:space="preserve">Avoiding vendor lock-in</w:t>
      </w:r>
      <w:r>
        <w:t xml:space="preserve">: Free from proprietary interfaces and data format dependencies, enabling free choice of deployment environments (e.g., 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12"/>
        </w:numPr>
      </w:pPr>
      <w:r>
        <w:rPr>
          <w:bCs/>
          <w:b/>
        </w:rPr>
        <w:t xml:space="preserve">Cross-platform portability</w:t>
      </w:r>
      <w:r>
        <w:t xml:space="preserve">: Most open-source tools run on multiple operating systems (e.g., Windows and Linux). Adherence to common technical standards (e.g., WMO GRIB data formats) lowers system integration difficulty. Modular design facilitates containerized deployment and cross-cluster migration, adapting to architectural upgrades in meteorological data centres.</w:t>
      </w:r>
    </w:p>
    <w:p>
      <w:pPr>
        <w:numPr>
          <w:ilvl w:val="0"/>
          <w:numId w:val="1012"/>
        </w:numPr>
      </w:pPr>
      <w:r>
        <w:rPr>
          <w:bCs/>
          <w:b/>
        </w:rPr>
        <w:t xml:space="preserve">Technical capacity development</w:t>
      </w:r>
      <w:r>
        <w:t xml:space="preserve">: Community involvement within FOSS projects can foster career growth, professional recognition, networking and collaboration. In turn this can lead to increased techical capacity within the Members NMHSs and other organisations.</w:t>
      </w:r>
    </w:p>
    <w:bookmarkEnd w:id="70"/>
    <w:bookmarkStart w:id="71"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71"/>
    <w:bookmarkStart w:id="80"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75"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62">
        <w:r>
          <w:rPr>
            <w:rStyle w:val="Hyperlink"/>
          </w:rPr>
          <w:t xml:space="preserve">GitHub</w:t>
        </w:r>
      </w:hyperlink>
      <w:r>
        <w:t xml:space="preserve">,</w:t>
      </w:r>
      <w:r>
        <w:t xml:space="preserve"> </w:t>
      </w:r>
      <w:hyperlink r:id="rId72">
        <w:r>
          <w:rPr>
            <w:rStyle w:val="Hyperlink"/>
          </w:rPr>
          <w:t xml:space="preserve">GitLab</w:t>
        </w:r>
      </w:hyperlink>
      <w:r>
        <w:t xml:space="preserve">, and</w:t>
      </w:r>
      <w:r>
        <w:t xml:space="preserve"> </w:t>
      </w:r>
      <w:hyperlink r:id="rId64">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(e.g. connectivity constraints in some regions), governance (commercial vs.</w:t>
      </w:r>
      <w:r>
        <w:t xml:space="preserve"> </w:t>
      </w:r>
      <w:r>
        <w:t xml:space="preserve">community-run), and data sovereignty when making a choice. Some platforms, notably GitLab (Community Edition),</w:t>
      </w:r>
      <w:r>
        <w:t xml:space="preserve"> </w:t>
      </w:r>
      <w:hyperlink r:id="rId73">
        <w:r>
          <w:rPr>
            <w:rStyle w:val="Hyperlink"/>
          </w:rPr>
          <w:t xml:space="preserve">Gitea</w:t>
        </w:r>
      </w:hyperlink>
      <w:r>
        <w:t xml:space="preserve">, and</w:t>
      </w:r>
      <w:r>
        <w:t xml:space="preserve"> </w:t>
      </w:r>
      <w:hyperlink r:id="rId74">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75"/>
    <w:bookmarkStart w:id="76" w:name="X0cb5d5d510c6036ae660cfd944dedaa190b13c3"/>
    <w:p>
      <w:pPr>
        <w:pStyle w:val="Heading4"/>
      </w:pPr>
      <w:r>
        <w:t xml:space="preserve">Continuous integration and delivery (CI/CD)</w:t>
      </w:r>
    </w:p>
    <w:p>
      <w:pPr>
        <w:pStyle w:val="FirstParagraph"/>
      </w:pPr>
      <w:r>
        <w:t xml:space="preserve">Most major hosting platforms include integrated CI/CD tooling (e.g. 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76"/>
    <w:bookmarkStart w:id="78"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77">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78"/>
    <w:bookmarkStart w:id="79"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(e.g. Matrix, Slack, Discourse), and documentation sites. When evaluating or adopting a FOSS</w:t>
      </w:r>
      <w:r>
        <w:t xml:space="preserve"> </w:t>
      </w:r>
      <w:r>
        <w:t xml:space="preserve">project, the health and accessibility of these channels is a useful indicator of community activity and support.</w:t>
      </w:r>
    </w:p>
    <w:bookmarkEnd w:id="79"/>
    <w:bookmarkEnd w:id="80"/>
    <w:bookmarkEnd w:id="81"/>
    <w:bookmarkStart w:id="124" w:name="X6bcf1cf9c376d92376d2e0d9f96c3afb74e806b"/>
    <w:p>
      <w:pPr>
        <w:pStyle w:val="Heading2"/>
      </w:pPr>
      <w:r>
        <w:t xml:space="preserve">WMO Activities</w:t>
      </w:r>
    </w:p>
    <w:bookmarkStart w:id="102"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unmaintained or insecure software that puts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the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82"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 as essential:</w:t>
      </w:r>
    </w:p>
    <w:p>
      <w:pPr>
        <w:numPr>
          <w:ilvl w:val="0"/>
          <w:numId w:val="1013"/>
        </w:numPr>
      </w:pPr>
      <w:r>
        <w:rPr>
          <w:bCs/>
          <w:b/>
        </w:rPr>
        <w:t xml:space="preserve">Software evaluation and review</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3"/>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3"/>
        </w:numPr>
      </w:pPr>
      <w:r>
        <w:rPr>
          <w:bCs/>
          <w:b/>
        </w:rPr>
        <w:t xml:space="preserve">Standards alignment</w:t>
      </w:r>
      <w:r>
        <w:t xml:space="preserve">: Ensuring that FOSS developed or endorsed within WMO implements relevant Technical Regulations and open standards correctly and consistently.</w:t>
      </w:r>
    </w:p>
    <w:p>
      <w:pPr>
        <w:numPr>
          <w:ilvl w:val="0"/>
          <w:numId w:val="1013"/>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 and release management.</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 Alternatively, a dedicated software review function, such as through an Open Source Program Office (OSPO), could be established. Regardless of the organizational form, there is a clear requirement for software governance to be systematic rather than ad-hoc, and that clear, objective criteria exist for evaluating and endorsing FOSS within WMO.</w:t>
      </w:r>
    </w:p>
    <w:p>
      <w:pPr>
        <w:pStyle w:val="BodyText"/>
      </w:pPr>
      <w:r>
        <w:t xml:space="preserve">It is important to note that WMO should not seek to develop its own registry of open-source software.</w:t>
      </w:r>
    </w:p>
    <w:p>
      <w:pPr>
        <w:pStyle w:val="BodyText"/>
      </w:pPr>
      <w:r>
        <w:t xml:space="preserve">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82"/>
    <w:bookmarkStart w:id="83"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4"/>
        </w:numPr>
      </w:pPr>
      <w:r>
        <w:rPr>
          <w:bCs/>
          <w:b/>
        </w:rPr>
        <w:t xml:space="preserve">WMO Secretariat</w:t>
      </w:r>
      <w:r>
        <w:t xml:space="preserve">: Facilitates coordination across programmes and projects, supports the development and maintenance of FOSS guidance, and manages relationships with external FOSS organizations. The Secretariat also provides continuity and institutional memory for FOSS initiatives that span multiple constituent body sessions.</w:t>
      </w:r>
    </w:p>
    <w:p>
      <w:pPr>
        <w:numPr>
          <w:ilvl w:val="0"/>
          <w:numId w:val="1014"/>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4"/>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4"/>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the WMO’s framework and constituent bodies, instead operating on an informal basis. Strengthening and formally recognizing these communities would have significant benefit.</w:t>
      </w:r>
    </w:p>
    <w:bookmarkEnd w:id="83"/>
    <w:bookmarkStart w:id="86"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5"/>
        </w:numPr>
      </w:pPr>
      <w:r>
        <w:rPr>
          <w:bCs/>
          <w:b/>
        </w:rPr>
        <w:t xml:space="preserve">Concept and prototyping</w:t>
      </w:r>
      <w:r>
        <w:t xml:space="preserve">: An initial requirement is identified and ideas are explored. These may often be part of the development of a new standard, such as the WIS2.0 standards, or in response to an operational need. At this stage, the software may be experimental and maintained by a small number of developers.</w:t>
      </w:r>
    </w:p>
    <w:p>
      <w:pPr>
        <w:numPr>
          <w:ilvl w:val="0"/>
          <w:numId w:val="1015"/>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5"/>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5"/>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84"/>
      </w:r>
      <w:r>
        <w:t xml:space="preserve"> </w:t>
      </w:r>
      <w:r>
        <w:t xml:space="preserve">provide a useful model for structuring such a lifecycle within the WMO.</w:t>
      </w:r>
    </w:p>
    <w:bookmarkEnd w:id="86"/>
    <w:bookmarkStart w:id="87"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6"/>
        </w:numPr>
      </w:pPr>
      <w:r>
        <w:rPr>
          <w:bCs/>
          <w:b/>
        </w:rPr>
        <w:t xml:space="preserve">Bus / retirement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6"/>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Unlike proprietary software, where support obligations are contractually defined, FOSS maintenance relies on community goodwill, institutional backing, or commercial arrangements — none of which are guaranteed. Members should assess the long-term support model of any FOSS solution prior to operational adoption and have contingency plans in place should maintenance cease.</w:t>
      </w:r>
    </w:p>
    <w:p>
      <w:pPr>
        <w:numPr>
          <w:ilvl w:val="0"/>
          <w:numId w:val="1016"/>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6"/>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6"/>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87"/>
    <w:bookmarkStart w:id="88"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17"/>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 Open Geospatial Consortium (OGC).</w:t>
      </w:r>
    </w:p>
    <w:p>
      <w:pPr>
        <w:numPr>
          <w:ilvl w:val="0"/>
          <w:numId w:val="1017"/>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88"/>
    <w:bookmarkStart w:id="89"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18"/>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18"/>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18"/>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89"/>
    <w:bookmarkStart w:id="101"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90">
        <w:r>
          <w:rPr>
            <w:rStyle w:val="Hyperlink"/>
          </w:rPr>
          <w:t xml:space="preserve">Open Source Geospatial Foundation (OSGeo)</w:t>
        </w:r>
      </w:hyperlink>
      <w:r>
        <w:t xml:space="preserve">, the</w:t>
      </w:r>
      <w:r>
        <w:t xml:space="preserve"> </w:t>
      </w:r>
      <w:hyperlink r:id="rId91">
        <w:r>
          <w:rPr>
            <w:rStyle w:val="Hyperlink"/>
          </w:rPr>
          <w:t xml:space="preserve">Digital Public Goods Alliance (DPGA)</w:t>
        </w:r>
      </w:hyperlink>
      <w:r>
        <w:t xml:space="preserve">, the</w:t>
      </w:r>
      <w:r>
        <w:t xml:space="preserve"> </w:t>
      </w:r>
      <w:hyperlink r:id="rId92">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19"/>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19"/>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w:t>
      </w:r>
      <w:r>
        <w:t xml:space="preserve"> </w:t>
      </w:r>
      <w:hyperlink r:id="rId93">
        <w:r>
          <w:rPr>
            <w:rStyle w:val="Hyperlink"/>
          </w:rPr>
          <w:t xml:space="preserve">DPG Standard</w:t>
        </w:r>
      </w:hyperlink>
      <w:r>
        <w:t xml:space="preserve"> </w:t>
      </w:r>
      <w:r>
        <w:t xml:space="preserve">provides a structured quality framework covering licence compliance, documentation, privacy, and standards adherence.</w:t>
      </w:r>
    </w:p>
    <w:p>
      <w:pPr>
        <w:numPr>
          <w:ilvl w:val="0"/>
          <w:numId w:val="1019"/>
        </w:numPr>
      </w:pPr>
      <w:r>
        <w:rPr>
          <w:bCs/>
          <w:b/>
        </w:rPr>
        <w:t xml:space="preserve">Multilateral development partners:</w:t>
      </w:r>
      <w:r>
        <w:t xml:space="preserve"> </w:t>
      </w:r>
      <w:r>
        <w:t xml:space="preserve">The</w:t>
      </w:r>
      <w:r>
        <w:t xml:space="preserve"> </w:t>
      </w:r>
      <w:hyperlink r:id="rId94">
        <w:r>
          <w:rPr>
            <w:rStyle w:val="Hyperlink"/>
          </w:rPr>
          <w:t xml:space="preserve">UNDP</w:t>
        </w:r>
      </w:hyperlink>
      <w:r>
        <w:t xml:space="preserve"> </w:t>
      </w:r>
      <w:r>
        <w:t xml:space="preserve">and</w:t>
      </w:r>
      <w:r>
        <w:t xml:space="preserve"> </w:t>
      </w:r>
      <w:hyperlink r:id="rId95">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Programme Offices (OSPOs). The</w:t>
      </w:r>
      <w:r>
        <w:t xml:space="preserve"> </w:t>
      </w:r>
      <w:hyperlink r:id="rId96">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97"/>
      </w:r>
    </w:p>
    <w:p>
      <w:pPr>
        <w:numPr>
          <w:ilvl w:val="0"/>
          <w:numId w:val="1019"/>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98">
        <w:r>
          <w:rPr>
            <w:rStyle w:val="Hyperlink"/>
          </w:rPr>
          <w:t xml:space="preserve">FOSS4G conferences</w:t>
        </w:r>
      </w:hyperlink>
      <w:r>
        <w:t xml:space="preserve">) provide valuable opportunities for capacity building, community engagement and collaborative development.</w:t>
      </w:r>
    </w:p>
    <w:p>
      <w:pPr>
        <w:numPr>
          <w:ilvl w:val="0"/>
          <w:numId w:val="1019"/>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99"/>
      </w:r>
      <w:r>
        <w:t xml:space="preserve"> </w:t>
      </w:r>
      <w:r>
        <w:t xml:space="preserve">demonstrating how a major operational meteorological institution can embed FOSS practice as a core activity.</w:t>
      </w:r>
    </w:p>
    <w:p>
      <w:pPr>
        <w:numPr>
          <w:ilvl w:val="0"/>
          <w:numId w:val="1019"/>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w:t>
      </w:r>
    </w:p>
    <w:bookmarkEnd w:id="101"/>
    <w:bookmarkEnd w:id="102"/>
    <w:bookmarkStart w:id="103"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03"/>
    <w:bookmarkStart w:id="105"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0"/>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20"/>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20"/>
        </w:numPr>
      </w:pPr>
      <w:r>
        <w:t xml:space="preserve">Licensing and policy compatibility.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0"/>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20"/>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0"/>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20"/>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104">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05"/>
    <w:bookmarkStart w:id="111"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1"/>
        </w:numPr>
      </w:pPr>
      <w:r>
        <w:t xml:space="preserve">validating the functionality and capability of a given standard (for example, for data encodings or interfaces)</w:t>
      </w:r>
    </w:p>
    <w:p>
      <w:pPr>
        <w:numPr>
          <w:ilvl w:val="0"/>
          <w:numId w:val="1021"/>
        </w:numPr>
      </w:pPr>
      <w:r>
        <w:t xml:space="preserve">providing a publicly available FOSS resource that is definitive and can be studied to better understand and/or implement a standard</w:t>
      </w:r>
    </w:p>
    <w:p>
      <w:pPr>
        <w:numPr>
          <w:ilvl w:val="0"/>
          <w:numId w:val="1021"/>
        </w:numPr>
      </w:pPr>
      <w:r>
        <w:t xml:space="preserve">providing an implementation that may be used by Members as desired</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It is therefore strongly recommended to develop RIs as part of WMO Technical Regulation development to ensure fit for purpose and functionality. Citing a RI as part of a WMO Technical Regulation should not be required, but allowed if applicable.</w:t>
      </w:r>
    </w:p>
    <w:p>
      <w:pPr>
        <w:pStyle w:val="BodyText"/>
      </w:pPr>
      <w:r>
        <w:t xml:space="preserve">They key purpose of an RI is functionality coverage. They need not be suitable for mission critical or production environments.</w:t>
      </w:r>
    </w:p>
    <w:bookmarkStart w:id="106" w:name="X70a6559818b95fce2bd9ae81c00ef1d1cefaa26"/>
    <w:p>
      <w:pPr>
        <w:pStyle w:val="Heading4"/>
      </w:pPr>
      <w:r>
        <w:t xml:space="preserve">Compliance (data exchange)</w:t>
      </w:r>
    </w:p>
    <w:p>
      <w:pPr>
        <w:numPr>
          <w:ilvl w:val="0"/>
          <w:numId w:val="1022"/>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2"/>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2"/>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106"/>
    <w:bookmarkStart w:id="107" w:name="Xd6aa053202d81f998ac3c471b2c3701964feada"/>
    <w:p>
      <w:pPr>
        <w:pStyle w:val="Heading4"/>
      </w:pPr>
      <w:r>
        <w:t xml:space="preserve">Software evaluation</w:t>
      </w:r>
    </w:p>
    <w:p>
      <w:pPr>
        <w:numPr>
          <w:ilvl w:val="0"/>
          <w:numId w:val="1023"/>
        </w:numPr>
      </w:pPr>
      <w:r>
        <w:rPr>
          <w:bCs/>
          <w:b/>
        </w:rPr>
        <w:t xml:space="preserve">Core Evaluation Checklist</w:t>
      </w:r>
      <w:r>
        <w:t xml:space="preserve">:</w:t>
      </w:r>
    </w:p>
    <w:p>
      <w:pPr>
        <w:numPr>
          <w:ilvl w:val="1"/>
          <w:numId w:val="1024"/>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4"/>
        </w:numPr>
      </w:pPr>
      <w:r>
        <w:rPr>
          <w:iCs/>
          <w:i/>
        </w:rPr>
        <w:t xml:space="preserve">Compliance</w:t>
      </w:r>
      <w:r>
        <w:t xml:space="preserve">: Licence is OSI-approved with no licence conflicts, and complies with WMO data policies and relevant regulations.</w:t>
      </w:r>
    </w:p>
    <w:p>
      <w:pPr>
        <w:numPr>
          <w:ilvl w:val="1"/>
          <w:numId w:val="1024"/>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4"/>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4"/>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3"/>
        </w:numPr>
      </w:pPr>
      <w:r>
        <w:rPr>
          <w:bCs/>
          <w:b/>
        </w:rPr>
        <w:t xml:space="preserve">Confidence Assurance:</w:t>
      </w:r>
    </w:p>
    <w:p>
      <w:pPr>
        <w:numPr>
          <w:ilvl w:val="1"/>
          <w:numId w:val="1025"/>
        </w:numPr>
      </w:pPr>
      <w:r>
        <w:t xml:space="preserve">Adopt standardized evaluation processes and quantifiable metrics to ensure objectivity and repeatability of results.</w:t>
      </w:r>
    </w:p>
    <w:p>
      <w:pPr>
        <w:numPr>
          <w:ilvl w:val="1"/>
          <w:numId w:val="1025"/>
        </w:numPr>
      </w:pPr>
      <w:r>
        <w:t xml:space="preserve">Validate core functionality through a Proof-of-Concept (PoC) approach, incorporating feedback collected from real-world operational scenarios.</w:t>
      </w:r>
    </w:p>
    <w:p>
      <w:pPr>
        <w:numPr>
          <w:ilvl w:val="1"/>
          <w:numId w:val="1025"/>
        </w:numPr>
      </w:pPr>
      <w:r>
        <w:t xml:space="preserve">Conduct multi-dimensional verification, including code audits, security vulnerability scans, and in-depth open-source community research, to confirm the reliability of the software.</w:t>
      </w:r>
    </w:p>
    <w:bookmarkEnd w:id="107"/>
    <w:bookmarkStart w:id="108"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108"/>
    <w:bookmarkStart w:id="109" w:name="X7ac9eb2de0a58765e5e1d02a37aa10e96708288"/>
    <w:p>
      <w:pPr>
        <w:pStyle w:val="Heading4"/>
      </w:pPr>
      <w:r>
        <w:t xml:space="preserve">Bus/retirement factor</w:t>
      </w:r>
    </w:p>
    <w:bookmarkEnd w:id="109"/>
    <w:bookmarkStart w:id="110" w:name="Xfb9753c7dbd15fe1ef39b415a291554b843dc57"/>
    <w:p>
      <w:pPr>
        <w:pStyle w:val="Heading4"/>
      </w:pPr>
      <w:r>
        <w:t xml:space="preserve">Business Fit and Retirement Considerations</w:t>
      </w:r>
    </w:p>
    <w:p>
      <w:pPr>
        <w:numPr>
          <w:ilvl w:val="0"/>
          <w:numId w:val="1026"/>
        </w:numPr>
      </w:pPr>
      <w:r>
        <w:t xml:space="preserve">Business Fit</w:t>
      </w:r>
    </w:p>
    <w:p>
      <w:pPr>
        <w:numPr>
          <w:ilvl w:val="1"/>
          <w:numId w:val="1027"/>
        </w:numPr>
      </w:pPr>
      <w:r>
        <w:t xml:space="preserve">Offers seamless integration with existing meteorological operational processes, minimizing the need for process adjustments.</w:t>
      </w:r>
    </w:p>
    <w:p>
      <w:pPr>
        <w:numPr>
          <w:ilvl w:val="1"/>
          <w:numId w:val="1027"/>
        </w:numPr>
      </w:pPr>
      <w:r>
        <w:t xml:space="preserve">Supports custom development and feature expansion to meet evolving needs (such as business scaling and new scenario integration).</w:t>
      </w:r>
    </w:p>
    <w:p>
      <w:pPr>
        <w:numPr>
          <w:ilvl w:val="1"/>
          <w:numId w:val="1027"/>
        </w:numPr>
      </w:pPr>
      <w:r>
        <w:t xml:space="preserve">Aligns with users’ habits in meteorological operations by providing a user-friendly interface and flexible configuration options.</w:t>
      </w:r>
    </w:p>
    <w:p>
      <w:pPr>
        <w:numPr>
          <w:ilvl w:val="0"/>
          <w:numId w:val="1026"/>
        </w:numPr>
      </w:pPr>
      <w:r>
        <w:t xml:space="preserve">Retirement Planning</w:t>
      </w:r>
    </w:p>
    <w:p>
      <w:pPr>
        <w:numPr>
          <w:ilvl w:val="1"/>
          <w:numId w:val="1028"/>
        </w:numPr>
      </w:pPr>
      <w:r>
        <w:t xml:space="preserve">Establish a clear data archiving plan to ensure secure storage and traceability of historical meteorological data after the software is decommissioned.</w:t>
      </w:r>
    </w:p>
    <w:p>
      <w:pPr>
        <w:numPr>
          <w:ilvl w:val="1"/>
          <w:numId w:val="1028"/>
        </w:numPr>
      </w:pPr>
      <w:r>
        <w:t xml:space="preserve">Proactively assess the costs of migrating to new systems, and establish a smooth migration path to ensure business continuity.</w:t>
      </w:r>
    </w:p>
    <w:p>
      <w:pPr>
        <w:numPr>
          <w:ilvl w:val="1"/>
          <w:numId w:val="1028"/>
        </w:numPr>
      </w:pPr>
      <w:r>
        <w:t xml:space="preserve">Define clear responsibilities and standardized procedures for software retirement to mitigate potential risks (e.g., data leakage, system conflicts, and service disruptions).</w:t>
      </w:r>
    </w:p>
    <w:bookmarkEnd w:id="110"/>
    <w:bookmarkEnd w:id="111"/>
    <w:bookmarkStart w:id="123"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112"/>
      </w:r>
    </w:p>
    <w:p>
      <w:pPr>
        <w:pStyle w:val="BodyText"/>
      </w:pPr>
      <w:r>
        <w:t xml:space="preserve">The WMO Executive Council, through</w:t>
      </w:r>
      <w:r>
        <w:t xml:space="preserve"> </w:t>
      </w:r>
      <w:hyperlink r:id="rId114">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15"/>
      </w:r>
    </w:p>
    <w:p>
      <w:pPr>
        <w:pStyle w:val="BodyText"/>
      </w:pPr>
      <w:r>
        <w:t xml:space="preserve">WIS2 is comprised of a number of key standards, including (but are not limited to):</w:t>
      </w:r>
    </w:p>
    <w:p>
      <w:pPr>
        <w:numPr>
          <w:ilvl w:val="0"/>
          <w:numId w:val="1029"/>
        </w:numPr>
      </w:pPr>
      <w:r>
        <w:t xml:space="preserve">Internet and messaging protocols for data and metadata transmission (HTTP, MQTT)</w:t>
      </w:r>
    </w:p>
    <w:p>
      <w:pPr>
        <w:numPr>
          <w:ilvl w:val="0"/>
          <w:numId w:val="1029"/>
        </w:numPr>
      </w:pPr>
      <w:r>
        <w:t xml:space="preserve">metadata encodings for dataset descriptions (WMO Core Metadata Profile) and notifications (WIS2 Notification Message)</w:t>
      </w:r>
    </w:p>
    <w:p>
      <w:pPr>
        <w:numPr>
          <w:ilvl w:val="0"/>
          <w:numId w:val="1029"/>
        </w:numPr>
      </w:pPr>
      <w:r>
        <w:t xml:space="preserve">topic structures for real-time notifications (WIS2 Topic Hierarchy)</w:t>
      </w:r>
    </w:p>
    <w:p>
      <w:pPr>
        <w:numPr>
          <w:ilvl w:val="0"/>
          <w:numId w:val="1029"/>
        </w:numPr>
      </w:pPr>
      <w:r>
        <w:t xml:space="preserve">interfaces and APIs for Global Services (Global Discovery Catalogue)</w:t>
      </w:r>
    </w:p>
    <w:p>
      <w:pPr>
        <w:pStyle w:val="FirstParagraph"/>
      </w:pPr>
      <w:r>
        <w:t xml:space="preserve">Throughout the WIS2 Implementation timeline, the</w:t>
      </w:r>
      <w:r>
        <w:t xml:space="preserve"> </w:t>
      </w:r>
      <w:hyperlink r:id="rId117">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18">
              <w:r>
                <w:rPr>
                  <w:rStyle w:val="Hyperlink"/>
                </w:rPr>
                <w:t xml:space="preserve">wis2box</w:t>
              </w:r>
            </w:hyperlink>
          </w:p>
        </w:tc>
        <w:tc>
          <w:tcPr/>
          <w:p>
            <w:pPr>
              <w:jc w:val="left"/>
            </w:pPr>
            <w:r>
              <w:t xml:space="preserve">WIS2 Node</w:t>
            </w:r>
          </w:p>
        </w:tc>
      </w:tr>
      <w:tr>
        <w:tc>
          <w:tcPr/>
          <w:p>
            <w:pPr>
              <w:jc w:val="left"/>
            </w:pPr>
            <w:hyperlink r:id="rId119">
              <w:r>
                <w:rPr>
                  <w:rStyle w:val="Hyperlink"/>
                </w:rPr>
                <w:t xml:space="preserve">wis2-gdc</w:t>
              </w:r>
            </w:hyperlink>
          </w:p>
        </w:tc>
        <w:tc>
          <w:tcPr/>
          <w:p>
            <w:pPr>
              <w:jc w:val="left"/>
            </w:pPr>
            <w:r>
              <w:t xml:space="preserve">Global Discovery Catalogue</w:t>
            </w:r>
          </w:p>
        </w:tc>
      </w:tr>
      <w:tr>
        <w:tc>
          <w:tcPr/>
          <w:p>
            <w:pPr>
              <w:jc w:val="left"/>
            </w:pPr>
            <w:hyperlink r:id="rId120">
              <w:r>
                <w:rPr>
                  <w:rStyle w:val="Hyperlink"/>
                </w:rPr>
                <w:t xml:space="preserve">csv2bufr</w:t>
              </w:r>
            </w:hyperlink>
          </w:p>
        </w:tc>
        <w:tc>
          <w:tcPr/>
          <w:p>
            <w:pPr>
              <w:jc w:val="left"/>
            </w:pPr>
            <w:r>
              <w:t xml:space="preserve">CSV to BUFR encoding tool for station data</w:t>
            </w:r>
          </w:p>
        </w:tc>
      </w:tr>
      <w:tr>
        <w:tc>
          <w:tcPr/>
          <w:p>
            <w:pPr>
              <w:jc w:val="left"/>
            </w:pPr>
            <w:hyperlink r:id="rId121">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22">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23"/>
    <w:bookmarkEnd w:id="124"/>
    <w:bookmarkEnd w:id="125"/>
    <w:bookmarkStart w:id="194" w:name="X7dc5ec89ace04afa0dfcc5c2c63a457bc733b57"/>
    <w:p>
      <w:pPr>
        <w:pStyle w:val="Heading1"/>
      </w:pPr>
      <w:r>
        <w:t xml:space="preserve">References</w:t>
      </w:r>
    </w:p>
    <w:bookmarkStart w:id="137" w:name="X60dcd05f0a94584f5e7ae2f945ca5f575416e69"/>
    <w:p>
      <w:pPr>
        <w:pStyle w:val="Heading2"/>
      </w:pPr>
      <w:r>
        <w:t xml:space="preserve">FOSS practice and governance</w:t>
      </w:r>
    </w:p>
    <w:p>
      <w:pPr>
        <w:numPr>
          <w:ilvl w:val="0"/>
          <w:numId w:val="1030"/>
        </w:numPr>
      </w:pPr>
      <w:bookmarkStart w:id="126" w:name="producing-oss"/>
      <w:bookmarkEnd w:id="126"/>
      <w:r>
        <w:t xml:space="preserve"> </w:t>
      </w:r>
      <w:r>
        <w:t xml:space="preserve">Fogel, Karl: Producing Open Source Software: How to Run a Successful Free Software Project (2024)</w:t>
      </w:r>
      <w:r>
        <w:t xml:space="preserve"> </w:t>
      </w:r>
      <w:r>
        <w:rPr>
          <w:rStyle w:val="FootnoteReference"/>
        </w:rPr>
        <w:footnoteReference w:id="127"/>
      </w:r>
    </w:p>
    <w:p>
      <w:pPr>
        <w:numPr>
          <w:ilvl w:val="0"/>
          <w:numId w:val="1030"/>
        </w:numPr>
      </w:pPr>
      <w:bookmarkStart w:id="129" w:name="osor-handbook"/>
      <w:bookmarkEnd w:id="129"/>
      <w:r>
        <w:t xml:space="preserve"> </w:t>
      </w:r>
      <w:r>
        <w:t xml:space="preserve">European Commission / Open Source Observatory: OSOR Handbook on Open Source Software in Public Administration (2026)</w:t>
      </w:r>
      <w:r>
        <w:t xml:space="preserve"> </w:t>
      </w:r>
      <w:r>
        <w:rPr>
          <w:rStyle w:val="FootnoteReference"/>
        </w:rPr>
        <w:footnoteReference w:id="130"/>
      </w:r>
    </w:p>
    <w:p>
      <w:pPr>
        <w:numPr>
          <w:ilvl w:val="0"/>
          <w:numId w:val="1030"/>
        </w:numPr>
      </w:pPr>
      <w:bookmarkStart w:id="132" w:name="public-digital"/>
      <w:bookmarkEnd w:id="132"/>
      <w:r>
        <w:t xml:space="preserve"> </w:t>
      </w:r>
      <w:r>
        <w:t xml:space="preserve">Public Digital: Open Source in Government (2021)</w:t>
      </w:r>
      <w:r>
        <w:t xml:space="preserve"> </w:t>
      </w:r>
      <w:r>
        <w:rPr>
          <w:rStyle w:val="FootnoteReference"/>
        </w:rPr>
        <w:footnoteReference w:id="133"/>
      </w:r>
    </w:p>
    <w:p>
      <w:pPr>
        <w:numPr>
          <w:ilvl w:val="0"/>
          <w:numId w:val="1030"/>
        </w:numPr>
      </w:pPr>
      <w:bookmarkStart w:id="135" w:name="public-money-public-code"/>
      <w:bookmarkEnd w:id="135"/>
      <w:r>
        <w:t xml:space="preserve"> </w:t>
      </w:r>
      <w:r>
        <w:t xml:space="preserve">Free Software Foundation Europe: Public Money? Public Code!</w:t>
      </w:r>
      <w:r>
        <w:t xml:space="preserve"> </w:t>
      </w:r>
      <w:r>
        <w:rPr>
          <w:rStyle w:val="FootnoteReference"/>
        </w:rPr>
        <w:footnoteReference w:id="136"/>
      </w:r>
    </w:p>
    <w:bookmarkEnd w:id="137"/>
    <w:bookmarkStart w:id="145" w:name="X8474ffd35f348d5ae6783f3fe284806fdb3105a"/>
    <w:p>
      <w:pPr>
        <w:pStyle w:val="Heading2"/>
      </w:pPr>
      <w:r>
        <w:t xml:space="preserve">Economic impact studies</w:t>
      </w:r>
    </w:p>
    <w:p>
      <w:pPr>
        <w:numPr>
          <w:ilvl w:val="0"/>
          <w:numId w:val="1031"/>
        </w:numPr>
      </w:pPr>
      <w:bookmarkStart w:id="138" w:name="ec-oss-impact"/>
      <w:bookmarkEnd w:id="138"/>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39"/>
      </w:r>
    </w:p>
    <w:p>
      <w:pPr>
        <w:numPr>
          <w:ilvl w:val="0"/>
          <w:numId w:val="1031"/>
        </w:numPr>
      </w:pPr>
      <w:bookmarkStart w:id="140" w:name="wb-geonode-roi"/>
      <w:bookmarkEnd w:id="140"/>
      <w:r>
        <w:t xml:space="preserve"> </w:t>
      </w:r>
      <w:r>
        <w:t xml:space="preserve">GFDRR/World Bank: OpenDRI and GeoNode — A Case Study for Institutional Investment in Open Source</w:t>
      </w:r>
      <w:r>
        <w:t xml:space="preserve"> </w:t>
      </w:r>
      <w:r>
        <w:rPr>
          <w:rStyle w:val="FootnoteReference"/>
        </w:rPr>
        <w:footnoteReference w:id="141"/>
      </w:r>
    </w:p>
    <w:p>
      <w:pPr>
        <w:numPr>
          <w:ilvl w:val="0"/>
          <w:numId w:val="1031"/>
        </w:numPr>
      </w:pPr>
      <w:bookmarkStart w:id="142" w:name="lf-roi"/>
      <w:bookmarkEnd w:id="142"/>
      <w:r>
        <w:t xml:space="preserve"> </w:t>
      </w:r>
      <w:r>
        <w:t xml:space="preserve">Linux Foundation: Active Open Source Contribution Delivers 2–5x ROI (2025)</w:t>
      </w:r>
      <w:r>
        <w:t xml:space="preserve"> </w:t>
      </w:r>
      <w:r>
        <w:rPr>
          <w:rStyle w:val="FootnoteReference"/>
        </w:rPr>
        <w:footnoteReference w:id="143"/>
      </w:r>
    </w:p>
    <w:bookmarkEnd w:id="145"/>
    <w:bookmarkStart w:id="174" w:name="Xc896f75200517b843631aaf28651998d53f808f"/>
    <w:p>
      <w:pPr>
        <w:pStyle w:val="Heading2"/>
      </w:pPr>
      <w:r>
        <w:t xml:space="preserve">National and regional policies</w:t>
      </w:r>
    </w:p>
    <w:p>
      <w:pPr>
        <w:numPr>
          <w:ilvl w:val="0"/>
          <w:numId w:val="1032"/>
        </w:numPr>
      </w:pPr>
      <w:bookmarkStart w:id="146" w:name="ec-oss-strategy"/>
      <w:bookmarkEnd w:id="146"/>
      <w:r>
        <w:t xml:space="preserve"> </w:t>
      </w:r>
      <w:r>
        <w:t xml:space="preserve">European Commission: Open Source Software Strategy 2020–2023 — Think Open (2020)</w:t>
      </w:r>
      <w:r>
        <w:t xml:space="preserve"> </w:t>
      </w:r>
      <w:r>
        <w:rPr>
          <w:rStyle w:val="FootnoteReference"/>
        </w:rPr>
        <w:footnoteReference w:id="147"/>
      </w:r>
    </w:p>
    <w:p>
      <w:pPr>
        <w:numPr>
          <w:ilvl w:val="0"/>
          <w:numId w:val="1032"/>
        </w:numPr>
      </w:pPr>
      <w:bookmarkStart w:id="149" w:name="interoperable-europe-act"/>
      <w:bookmarkEnd w:id="149"/>
      <w:r>
        <w:t xml:space="preserve"> </w:t>
      </w:r>
      <w:r>
        <w:t xml:space="preserve">Regulation (EU) 2024/903: Interoperable Europe Act</w:t>
      </w:r>
      <w:r>
        <w:t xml:space="preserve"> </w:t>
      </w:r>
      <w:r>
        <w:rPr>
          <w:rStyle w:val="FootnoteReference"/>
        </w:rPr>
        <w:footnoteReference w:id="150"/>
      </w:r>
    </w:p>
    <w:p>
      <w:pPr>
        <w:numPr>
          <w:ilvl w:val="0"/>
          <w:numId w:val="1032"/>
        </w:numPr>
      </w:pPr>
      <w:bookmarkStart w:id="151" w:name="eu-cra"/>
      <w:bookmarkEnd w:id="151"/>
      <w:r>
        <w:t xml:space="preserve"> </w:t>
      </w:r>
      <w:r>
        <w:t xml:space="preserve">Regulation (EU) 2024/2847: Cyber Resilience Act — open source implications</w:t>
      </w:r>
      <w:r>
        <w:t xml:space="preserve"> </w:t>
      </w:r>
      <w:r>
        <w:rPr>
          <w:rStyle w:val="FootnoteReference"/>
        </w:rPr>
        <w:footnoteReference w:id="152"/>
      </w:r>
    </w:p>
    <w:p>
      <w:pPr>
        <w:numPr>
          <w:ilvl w:val="0"/>
          <w:numId w:val="1032"/>
        </w:numPr>
      </w:pPr>
      <w:bookmarkStart w:id="154" w:name="us-fsc-policy"/>
      <w:bookmarkEnd w:id="154"/>
      <w:r>
        <w:t xml:space="preserve"> </w:t>
      </w:r>
      <w:r>
        <w:t xml:space="preserve">United States Office of Management and Budget: Federal Source Code Policy (OMB M-16-21, 2016)</w:t>
      </w:r>
      <w:r>
        <w:t xml:space="preserve"> </w:t>
      </w:r>
      <w:r>
        <w:rPr>
          <w:rStyle w:val="FootnoteReference"/>
        </w:rPr>
        <w:footnoteReference w:id="155"/>
      </w:r>
    </w:p>
    <w:p>
      <w:pPr>
        <w:numPr>
          <w:ilvl w:val="0"/>
          <w:numId w:val="1032"/>
        </w:numPr>
      </w:pPr>
      <w:bookmarkStart w:id="156" w:name="ca-open-first"/>
      <w:bookmarkEnd w:id="156"/>
      <w:r>
        <w:t xml:space="preserve"> </w:t>
      </w:r>
      <w:r>
        <w:t xml:space="preserve">Government of Canada: Open First Whitepaper (2020)</w:t>
      </w:r>
      <w:r>
        <w:t xml:space="preserve"> </w:t>
      </w:r>
      <w:r>
        <w:rPr>
          <w:rStyle w:val="FootnoteReference"/>
        </w:rPr>
        <w:footnoteReference w:id="157"/>
      </w:r>
    </w:p>
    <w:p>
      <w:pPr>
        <w:numPr>
          <w:ilvl w:val="0"/>
          <w:numId w:val="1032"/>
        </w:numPr>
      </w:pPr>
      <w:bookmarkStart w:id="158" w:name="au-dss"/>
      <w:bookmarkEnd w:id="158"/>
      <w:r>
        <w:t xml:space="preserve"> </w:t>
      </w:r>
      <w:r>
        <w:t xml:space="preserve">Australian Government Digital Transformation Agency: Digital Service Standard — Criterion 8: Make source code open</w:t>
      </w:r>
      <w:r>
        <w:t xml:space="preserve"> </w:t>
      </w:r>
      <w:r>
        <w:rPr>
          <w:rStyle w:val="FootnoteReference"/>
        </w:rPr>
        <w:footnoteReference w:id="159"/>
      </w:r>
    </w:p>
    <w:p>
      <w:pPr>
        <w:numPr>
          <w:ilvl w:val="0"/>
          <w:numId w:val="1032"/>
        </w:numPr>
      </w:pPr>
      <w:bookmarkStart w:id="160" w:name="nz-nzgoal-se"/>
      <w:bookmarkEnd w:id="160"/>
      <w:r>
        <w:t xml:space="preserve"> </w:t>
      </w:r>
      <w:r>
        <w:t xml:space="preserve">New Zealand Government: NZGOAL Software Extension (NZGOAL-SE)</w:t>
      </w:r>
      <w:r>
        <w:t xml:space="preserve"> </w:t>
      </w:r>
      <w:r>
        <w:rPr>
          <w:rStyle w:val="FootnoteReference"/>
        </w:rPr>
        <w:footnoteReference w:id="161"/>
      </w:r>
    </w:p>
    <w:p>
      <w:pPr>
        <w:numPr>
          <w:ilvl w:val="0"/>
          <w:numId w:val="1032"/>
        </w:numPr>
      </w:pPr>
      <w:bookmarkStart w:id="162" w:name="india-oss-policy"/>
      <w:bookmarkEnd w:id="162"/>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63"/>
      </w:r>
    </w:p>
    <w:p>
      <w:pPr>
        <w:numPr>
          <w:ilvl w:val="0"/>
          <w:numId w:val="1032"/>
        </w:numPr>
      </w:pPr>
      <w:bookmarkStart w:id="164" w:name="japan-ipa-2024"/>
      <w:bookmarkEnd w:id="164"/>
      <w:r>
        <w:t xml:space="preserve"> </w:t>
      </w:r>
      <w:r>
        <w:t xml:space="preserve">Information-technology Promotion Agency (IPA), Japan: 2024 Open Source Promotion Report</w:t>
      </w:r>
      <w:r>
        <w:t xml:space="preserve"> </w:t>
      </w:r>
      <w:r>
        <w:rPr>
          <w:rStyle w:val="FootnoteReference"/>
        </w:rPr>
        <w:footnoteReference w:id="165"/>
      </w:r>
    </w:p>
    <w:p>
      <w:pPr>
        <w:numPr>
          <w:ilvl w:val="0"/>
          <w:numId w:val="1032"/>
        </w:numPr>
      </w:pPr>
      <w:bookmarkStart w:id="166" w:name="brazil-spb"/>
      <w:bookmarkEnd w:id="166"/>
      <w:r>
        <w:t xml:space="preserve"> </w:t>
      </w:r>
      <w:r>
        <w:t xml:space="preserve">Government of Brazil: Portal do Software Público Brasileiro</w:t>
      </w:r>
      <w:r>
        <w:t xml:space="preserve"> </w:t>
      </w:r>
      <w:r>
        <w:rPr>
          <w:rStyle w:val="FootnoteReference"/>
        </w:rPr>
        <w:footnoteReference w:id="167"/>
      </w:r>
    </w:p>
    <w:p>
      <w:pPr>
        <w:numPr>
          <w:ilvl w:val="0"/>
          <w:numId w:val="1032"/>
        </w:numPr>
      </w:pPr>
      <w:bookmarkStart w:id="169" w:name="au-digital-transformation"/>
      <w:bookmarkEnd w:id="169"/>
      <w:r>
        <w:t xml:space="preserve"> </w:t>
      </w:r>
      <w:r>
        <w:t xml:space="preserve">African Union Commission: Digital Transformation Strategy for Africa 2020–2030</w:t>
      </w:r>
      <w:r>
        <w:t xml:space="preserve"> </w:t>
      </w:r>
      <w:r>
        <w:rPr>
          <w:rStyle w:val="FootnoteReference"/>
        </w:rPr>
        <w:footnoteReference w:id="170"/>
      </w:r>
    </w:p>
    <w:p>
      <w:pPr>
        <w:numPr>
          <w:ilvl w:val="0"/>
          <w:numId w:val="1032"/>
        </w:numPr>
      </w:pPr>
      <w:bookmarkStart w:id="172" w:name="csis-oss-policies"/>
      <w:bookmarkEnd w:id="172"/>
      <w:r>
        <w:t xml:space="preserve"> </w:t>
      </w:r>
      <w:r>
        <w:t xml:space="preserve">Center for Strategic and International Studies (CSIS): Government Open Source Software Policies database</w:t>
      </w:r>
      <w:r>
        <w:t xml:space="preserve"> </w:t>
      </w:r>
      <w:r>
        <w:rPr>
          <w:rStyle w:val="FootnoteReference"/>
        </w:rPr>
        <w:footnoteReference w:id="173"/>
      </w:r>
    </w:p>
    <w:bookmarkEnd w:id="174"/>
    <w:bookmarkStart w:id="187" w:name="X18ff0ed8f6a1232271ed94da238c01a3f2eef14"/>
    <w:p>
      <w:pPr>
        <w:pStyle w:val="Heading2"/>
      </w:pPr>
      <w:r>
        <w:t xml:space="preserve">Multilateral and international resources</w:t>
      </w:r>
    </w:p>
    <w:p>
      <w:pPr>
        <w:numPr>
          <w:ilvl w:val="0"/>
          <w:numId w:val="1033"/>
        </w:numPr>
      </w:pPr>
      <w:bookmarkStart w:id="175" w:name="dpga-standard"/>
      <w:bookmarkEnd w:id="175"/>
      <w:r>
        <w:t xml:space="preserve"> </w:t>
      </w:r>
      <w:r>
        <w:t xml:space="preserve">Digital Public Goods Alliance: Digital Public Goods Standard</w:t>
      </w:r>
      <w:r>
        <w:t xml:space="preserve"> </w:t>
      </w:r>
      <w:r>
        <w:rPr>
          <w:rStyle w:val="FootnoteReference"/>
        </w:rPr>
        <w:footnoteReference w:id="176"/>
      </w:r>
    </w:p>
    <w:p>
      <w:pPr>
        <w:numPr>
          <w:ilvl w:val="0"/>
          <w:numId w:val="1033"/>
        </w:numPr>
      </w:pPr>
      <w:bookmarkStart w:id="177" w:name="undp-osee"/>
      <w:bookmarkEnd w:id="177"/>
      <w:r>
        <w:t xml:space="preserve"> </w:t>
      </w:r>
      <w:r>
        <w:t xml:space="preserve">UNDP / ITU: Open Source Ecosystem Enabler (OSEE)</w:t>
      </w:r>
      <w:r>
        <w:t xml:space="preserve"> </w:t>
      </w:r>
      <w:r>
        <w:rPr>
          <w:rStyle w:val="FootnoteReference"/>
        </w:rPr>
        <w:footnoteReference w:id="178"/>
      </w:r>
    </w:p>
    <w:p>
      <w:pPr>
        <w:numPr>
          <w:ilvl w:val="0"/>
          <w:numId w:val="1033"/>
        </w:numPr>
      </w:pPr>
      <w:bookmarkStart w:id="179" w:name="undp-default-open"/>
      <w:bookmarkEnd w:id="179"/>
      <w:r>
        <w:t xml:space="preserve"> </w:t>
      </w:r>
      <w:r>
        <w:t xml:space="preserve">UNDP Digital Standards — Standard 9: Default to Open</w:t>
      </w:r>
      <w:r>
        <w:t xml:space="preserve"> </w:t>
      </w:r>
      <w:r>
        <w:rPr>
          <w:rStyle w:val="FootnoteReference"/>
        </w:rPr>
        <w:footnoteReference w:id="180"/>
      </w:r>
    </w:p>
    <w:p>
      <w:pPr>
        <w:numPr>
          <w:ilvl w:val="0"/>
          <w:numId w:val="1033"/>
        </w:numPr>
      </w:pPr>
      <w:bookmarkStart w:id="182" w:name="wb-oss-global"/>
      <w:bookmarkEnd w:id="182"/>
      <w:r>
        <w:t xml:space="preserve"> </w:t>
      </w:r>
      <w:r>
        <w:t xml:space="preserve">World Bank: Open Source for Global Public Goods (2020)</w:t>
      </w:r>
      <w:r>
        <w:t xml:space="preserve"> </w:t>
      </w:r>
      <w:r>
        <w:rPr>
          <w:rStyle w:val="FootnoteReference"/>
        </w:rPr>
        <w:footnoteReference w:id="183"/>
      </w:r>
    </w:p>
    <w:p>
      <w:pPr>
        <w:numPr>
          <w:ilvl w:val="0"/>
          <w:numId w:val="1033"/>
        </w:numPr>
      </w:pPr>
      <w:bookmarkStart w:id="185" w:name="osor-country-intel"/>
      <w:bookmarkEnd w:id="185"/>
      <w:r>
        <w:t xml:space="preserve"> </w:t>
      </w:r>
      <w:r>
        <w:t xml:space="preserve">EU Open Source Observatory: Open Source Software Country Intelligence (60+ countries)</w:t>
      </w:r>
      <w:r>
        <w:t xml:space="preserve"> </w:t>
      </w:r>
      <w:r>
        <w:rPr>
          <w:rStyle w:val="FootnoteReference"/>
        </w:rPr>
        <w:footnoteReference w:id="186"/>
      </w:r>
    </w:p>
    <w:bookmarkEnd w:id="187"/>
    <w:bookmarkStart w:id="193" w:name="X1bc7e6b4fc0225a0d72d26b79f533628acb17c9"/>
    <w:p>
      <w:pPr>
        <w:pStyle w:val="Heading2"/>
      </w:pPr>
      <w:r>
        <w:t xml:space="preserve">Meteorological sector</w:t>
      </w:r>
    </w:p>
    <w:p>
      <w:pPr>
        <w:numPr>
          <w:ilvl w:val="0"/>
          <w:numId w:val="1034"/>
        </w:numPr>
      </w:pPr>
      <w:bookmarkStart w:id="188" w:name="ecmwf-code-for-earth"/>
      <w:bookmarkEnd w:id="188"/>
      <w:r>
        <w:t xml:space="preserve"> </w:t>
      </w:r>
      <w:r>
        <w:t xml:space="preserve">ECMWF / Copernicus Climate Change Service: Code for Earth</w:t>
      </w:r>
      <w:r>
        <w:t xml:space="preserve"> </w:t>
      </w:r>
      <w:r>
        <w:rPr>
          <w:rStyle w:val="FootnoteReference"/>
        </w:rPr>
        <w:footnoteReference w:id="189"/>
      </w:r>
    </w:p>
    <w:p>
      <w:pPr>
        <w:numPr>
          <w:ilvl w:val="0"/>
          <w:numId w:val="1034"/>
        </w:numPr>
      </w:pPr>
      <w:bookmarkStart w:id="190" w:name="wis2-transition"/>
      <w:bookmarkEnd w:id="190"/>
      <w:r>
        <w:t xml:space="preserve"> </w:t>
      </w:r>
      <w:r>
        <w:t xml:space="preserve">WMO: WIS2 Transition Guide</w:t>
      </w:r>
      <w:r>
        <w:t xml:space="preserve"> </w:t>
      </w:r>
      <w:r>
        <w:rPr>
          <w:rStyle w:val="FootnoteReference"/>
        </w:rPr>
        <w:footnoteReference w:id="191"/>
      </w:r>
    </w:p>
    <w:bookmarkEnd w:id="193"/>
    <w:bookmarkEnd w:id="194"/>
    <w:bookmarkStart w:id="195"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195"/>
    <w:bookmarkStart w:id="206" w:name="annex-data-policies"/>
    <w:p>
      <w:pPr>
        <w:pStyle w:val="Heading1"/>
      </w:pPr>
      <w:r>
        <w:t xml:space="preserve">Data policies</w:t>
      </w:r>
    </w:p>
    <w:bookmarkStart w:id="196" w:name="Xf8e6d9ee3bd441760d5e204de320a5d72770405"/>
    <w:p>
      <w:pPr>
        <w:pStyle w:val="Heading2"/>
      </w:pPr>
      <w:r>
        <w:t xml:space="preserve">Global</w:t>
      </w:r>
    </w:p>
    <w:p>
      <w:pPr>
        <w:numPr>
          <w:ilvl w:val="0"/>
          <w:numId w:val="1035"/>
        </w:numPr>
      </w:pPr>
      <w:r>
        <w:t xml:space="preserve">World Meteorological Organisation (WMO)</w:t>
      </w:r>
    </w:p>
    <w:p>
      <w:pPr>
        <w:numPr>
          <w:ilvl w:val="1"/>
          <w:numId w:val="1036"/>
        </w:numPr>
      </w:pPr>
      <w:hyperlink r:id="rId29">
        <w:r>
          <w:rPr>
            <w:rStyle w:val="Hyperlink"/>
          </w:rPr>
          <w:t xml:space="preserve">https://wmo.int/wmo-unified-data-policy-resolution-res1</w:t>
        </w:r>
      </w:hyperlink>
    </w:p>
    <w:bookmarkEnd w:id="196"/>
    <w:bookmarkStart w:id="201" w:name="X9541bc49e02a401f01921082827d3ca0aae0ff4"/>
    <w:p>
      <w:pPr>
        <w:pStyle w:val="Heading2"/>
      </w:pPr>
      <w:r>
        <w:t xml:space="preserve">Regional</w:t>
      </w:r>
    </w:p>
    <w:p>
      <w:pPr>
        <w:numPr>
          <w:ilvl w:val="0"/>
          <w:numId w:val="1037"/>
        </w:numPr>
      </w:pPr>
      <w:r>
        <w:t xml:space="preserve">European Union (EU)</w:t>
      </w:r>
    </w:p>
    <w:p>
      <w:pPr>
        <w:numPr>
          <w:ilvl w:val="1"/>
          <w:numId w:val="1038"/>
        </w:numPr>
      </w:pPr>
      <w:hyperlink r:id="rId197">
        <w:r>
          <w:rPr>
            <w:rStyle w:val="Hyperlink"/>
          </w:rPr>
          <w:t xml:space="preserve">https://digital-strategy.ec.europa.eu/en/policies/legislation-open-data</w:t>
        </w:r>
      </w:hyperlink>
    </w:p>
    <w:p>
      <w:pPr>
        <w:numPr>
          <w:ilvl w:val="0"/>
          <w:numId w:val="1037"/>
        </w:numPr>
      </w:pPr>
      <w:r>
        <w:t xml:space="preserve">European Centre for Medium-Range Weather Forecasts (ECMWF)</w:t>
      </w:r>
    </w:p>
    <w:p>
      <w:pPr>
        <w:numPr>
          <w:ilvl w:val="1"/>
          <w:numId w:val="1039"/>
        </w:numPr>
      </w:pPr>
      <w:hyperlink r:id="rId198">
        <w:r>
          <w:rPr>
            <w:rStyle w:val="Hyperlink"/>
          </w:rPr>
          <w:t xml:space="preserve">https://www.ecmwf.int/en/forecasts/datasets/open-data</w:t>
        </w:r>
      </w:hyperlink>
    </w:p>
    <w:p>
      <w:pPr>
        <w:numPr>
          <w:ilvl w:val="1"/>
          <w:numId w:val="1039"/>
        </w:numPr>
      </w:pPr>
      <w:hyperlink r:id="rId199">
        <w:r>
          <w:rPr>
            <w:rStyle w:val="Hyperlink"/>
          </w:rPr>
          <w:t xml:space="preserve">https://www.ecmwf.int/en/forecasts/access-forecasts/access-real-time-open-data</w:t>
        </w:r>
      </w:hyperlink>
    </w:p>
    <w:p>
      <w:pPr>
        <w:numPr>
          <w:ilvl w:val="1"/>
          <w:numId w:val="1039"/>
        </w:numPr>
      </w:pPr>
      <w:hyperlink r:id="rId200">
        <w:r>
          <w:rPr>
            <w:rStyle w:val="Hyperlink"/>
          </w:rPr>
          <w:t xml:space="preserve">https://data.ecmwf.int/</w:t>
        </w:r>
      </w:hyperlink>
    </w:p>
    <w:bookmarkEnd w:id="201"/>
    <w:bookmarkStart w:id="205" w:name="X2ed8ed9cb1cd47f820628ba1e070fc45247027d"/>
    <w:p>
      <w:pPr>
        <w:pStyle w:val="Heading2"/>
      </w:pPr>
      <w:r>
        <w:t xml:space="preserve">National</w:t>
      </w:r>
    </w:p>
    <w:p>
      <w:pPr>
        <w:numPr>
          <w:ilvl w:val="0"/>
          <w:numId w:val="1040"/>
        </w:numPr>
      </w:pPr>
      <w:r>
        <w:t xml:space="preserve">Brazil</w:t>
      </w:r>
    </w:p>
    <w:p>
      <w:pPr>
        <w:numPr>
          <w:ilvl w:val="1"/>
          <w:numId w:val="1041"/>
        </w:numPr>
      </w:pPr>
      <w:hyperlink r:id="rId202">
        <w:r>
          <w:rPr>
            <w:rStyle w:val="Hyperlink"/>
          </w:rPr>
          <w:t xml:space="preserve">https://www.planalto.gov.br/ccivil_03/_Ato2015-2018/2016/Decreto/D8777.htm</w:t>
        </w:r>
      </w:hyperlink>
    </w:p>
    <w:p>
      <w:pPr>
        <w:numPr>
          <w:ilvl w:val="0"/>
          <w:numId w:val="1040"/>
        </w:numPr>
      </w:pPr>
      <w:r>
        <w:t xml:space="preserve">Canada</w:t>
      </w:r>
    </w:p>
    <w:p>
      <w:pPr>
        <w:numPr>
          <w:ilvl w:val="1"/>
          <w:numId w:val="1042"/>
        </w:numPr>
      </w:pPr>
      <w:hyperlink r:id="rId203">
        <w:r>
          <w:rPr>
            <w:rStyle w:val="Hyperlink"/>
          </w:rPr>
          <w:t xml:space="preserve">https://www.canada.ca/en/government/system/digital-government/digital-government-innovations/information-management.html</w:t>
        </w:r>
      </w:hyperlink>
    </w:p>
    <w:p>
      <w:pPr>
        <w:numPr>
          <w:ilvl w:val="0"/>
          <w:numId w:val="1040"/>
        </w:numPr>
      </w:pPr>
      <w:r>
        <w:t xml:space="preserve">United Kingdom</w:t>
      </w:r>
    </w:p>
    <w:p>
      <w:pPr>
        <w:numPr>
          <w:ilvl w:val="1"/>
          <w:numId w:val="1043"/>
        </w:numPr>
      </w:pPr>
      <w:hyperlink r:id="rId204">
        <w:r>
          <w:rPr>
            <w:rStyle w:val="Hyperlink"/>
          </w:rPr>
          <w:t xml:space="preserve">https://www.gov.uk/guidance/national-data-strategy</w:t>
        </w:r>
      </w:hyperlink>
    </w:p>
    <w:bookmarkEnd w:id="205"/>
    <w:bookmarkEnd w:id="206"/>
    <w:bookmarkStart w:id="220" w:name="annex-ai-tool-use"/>
    <w:p>
      <w:pPr>
        <w:pStyle w:val="Heading1"/>
      </w:pPr>
      <w:r>
        <w:t xml:space="preserve">AI Tool Use in FOSS</w:t>
      </w:r>
    </w:p>
    <w:bookmarkStart w:id="208" w:name="X6d7eca8cda99880e54958dab5674f746ac10e71"/>
    <w:p>
      <w:pPr>
        <w:pStyle w:val="Heading2"/>
      </w:pPr>
      <w:r>
        <w:t xml:space="preserve">Overview of Issues</w:t>
      </w:r>
    </w:p>
    <w:p>
      <w:pPr>
        <w:pStyle w:val="FirstParagraph"/>
      </w:pPr>
      <w:r>
        <w:t xml:space="preserve">A Scientific Python blog post,</w:t>
      </w:r>
      <w:r>
        <w:t xml:space="preserve"> </w:t>
      </w:r>
      <w:hyperlink r:id="rId207">
        <w:r>
          <w:rPr>
            <w:rStyle w:val="Hyperlink"/>
          </w:rPr>
          <w:t xml:space="preserve">Community Considerations Around AI Contributions</w:t>
        </w:r>
      </w:hyperlink>
      <w:r>
        <w:t xml:space="preserve">, provides a good introduction to concerns and possible benefits of AI tool use.</w:t>
      </w:r>
    </w:p>
    <w:bookmarkEnd w:id="208"/>
    <w:bookmarkStart w:id="216" w:name="X0fd9f6a334a994816a6b65d265b82b3aa5e1c29"/>
    <w:p>
      <w:pPr>
        <w:pStyle w:val="Heading2"/>
      </w:pPr>
      <w:r>
        <w:t xml:space="preserve">Examples of FOSS project AI tool usage policies</w:t>
      </w:r>
    </w:p>
    <w:p>
      <w:pPr>
        <w:numPr>
          <w:ilvl w:val="0"/>
          <w:numId w:val="1044"/>
        </w:numPr>
      </w:pPr>
      <w:r>
        <w:t xml:space="preserve">GDAL:</w:t>
      </w:r>
      <w:r>
        <w:t xml:space="preserve"> </w:t>
      </w:r>
      <w:hyperlink r:id="rId209">
        <w:r>
          <w:rPr>
            <w:rStyle w:val="Hyperlink"/>
          </w:rPr>
          <w:t xml:space="preserve">LLM tool policy</w:t>
        </w:r>
      </w:hyperlink>
    </w:p>
    <w:p>
      <w:pPr>
        <w:numPr>
          <w:ilvl w:val="0"/>
          <w:numId w:val="1044"/>
        </w:numPr>
      </w:pPr>
      <w:r>
        <w:t xml:space="preserve">matplotlib:</w:t>
      </w:r>
      <w:r>
        <w:t xml:space="preserve"> </w:t>
      </w:r>
      <w:hyperlink r:id="rId210">
        <w:r>
          <w:rPr>
            <w:rStyle w:val="Hyperlink"/>
          </w:rPr>
          <w:t xml:space="preserve">Use of Generative AI guidelines</w:t>
        </w:r>
      </w:hyperlink>
    </w:p>
    <w:p>
      <w:pPr>
        <w:numPr>
          <w:ilvl w:val="0"/>
          <w:numId w:val="1044"/>
        </w:numPr>
      </w:pPr>
      <w:r>
        <w:t xml:space="preserve">NumPy:</w:t>
      </w:r>
      <w:r>
        <w:t xml:space="preserve"> </w:t>
      </w:r>
      <w:hyperlink r:id="rId211">
        <w:r>
          <w:rPr>
            <w:rStyle w:val="Hyperlink"/>
          </w:rPr>
          <w:t xml:space="preserve">AI Policy</w:t>
        </w:r>
      </w:hyperlink>
    </w:p>
    <w:p>
      <w:pPr>
        <w:numPr>
          <w:ilvl w:val="0"/>
          <w:numId w:val="1044"/>
        </w:numPr>
      </w:pPr>
      <w:r>
        <w:t xml:space="preserve">OpenJDK:</w:t>
      </w:r>
      <w:r>
        <w:t xml:space="preserve"> </w:t>
      </w:r>
      <w:hyperlink r:id="rId212">
        <w:r>
          <w:rPr>
            <w:rStyle w:val="Hyperlink"/>
          </w:rPr>
          <w:t xml:space="preserve">Interim Policy on Generative AI</w:t>
        </w:r>
      </w:hyperlink>
    </w:p>
    <w:p>
      <w:pPr>
        <w:numPr>
          <w:ilvl w:val="0"/>
          <w:numId w:val="1044"/>
        </w:numPr>
      </w:pPr>
      <w:r>
        <w:t xml:space="preserve">Python:</w:t>
      </w:r>
      <w:r>
        <w:t xml:space="preserve"> </w:t>
      </w:r>
      <w:hyperlink r:id="rId213">
        <w:r>
          <w:rPr>
            <w:rStyle w:val="Hyperlink"/>
          </w:rPr>
          <w:t xml:space="preserve">Generative AI guidelines</w:t>
        </w:r>
      </w:hyperlink>
    </w:p>
    <w:p>
      <w:pPr>
        <w:numPr>
          <w:ilvl w:val="0"/>
          <w:numId w:val="1044"/>
        </w:numPr>
      </w:pPr>
      <w:r>
        <w:t xml:space="preserve">QGIS:</w:t>
      </w:r>
      <w:r>
        <w:t xml:space="preserve"> </w:t>
      </w:r>
      <w:hyperlink r:id="rId214">
        <w:r>
          <w:rPr>
            <w:rStyle w:val="Hyperlink"/>
          </w:rPr>
          <w:t xml:space="preserve">AI tool use policy</w:t>
        </w:r>
      </w:hyperlink>
    </w:p>
    <w:p>
      <w:pPr>
        <w:numPr>
          <w:ilvl w:val="0"/>
          <w:numId w:val="1044"/>
        </w:numPr>
      </w:pPr>
      <w:r>
        <w:t xml:space="preserve">Zarr-Python:</w:t>
      </w:r>
      <w:r>
        <w:t xml:space="preserve"> </w:t>
      </w:r>
      <w:hyperlink r:id="rId215">
        <w:r>
          <w:rPr>
            <w:rStyle w:val="Hyperlink"/>
          </w:rPr>
          <w:t xml:space="preserve">AI-assisted contributions guidelines</w:t>
        </w:r>
      </w:hyperlink>
    </w:p>
    <w:bookmarkEnd w:id="216"/>
    <w:bookmarkStart w:id="219" w:name="X7bda34b8e3c93f3de9fb080bb91dfa6750ce2d4"/>
    <w:p>
      <w:pPr>
        <w:pStyle w:val="Heading2"/>
      </w:pPr>
      <w:r>
        <w:t xml:space="preserve">Overall landscape of FOSS AI tool usage policies</w:t>
      </w:r>
    </w:p>
    <w:p>
      <w:pPr>
        <w:numPr>
          <w:ilvl w:val="0"/>
          <w:numId w:val="1045"/>
        </w:numPr>
      </w:pPr>
      <w:r>
        <w:t xml:space="preserve">Kate Holterhoff, "The Generative AI Policy Landscape in Open Source". RedMonk article, 26 Feb 2026.</w:t>
      </w:r>
      <w:r>
        <w:t xml:space="preserve"> </w:t>
      </w:r>
      <w:hyperlink r:id="rId217">
        <w:r>
          <w:rPr>
            <w:rStyle w:val="Hyperlink"/>
          </w:rPr>
          <w:t xml:space="preserve">https://redmonk.com/kholterhoff/2026/02/26/generative-ai-policy-landscape-in-open-source</w:t>
        </w:r>
      </w:hyperlink>
    </w:p>
    <w:p>
      <w:pPr>
        <w:numPr>
          <w:ilvl w:val="0"/>
          <w:numId w:val="1045"/>
        </w:numPr>
      </w:pPr>
      <w:r>
        <w:t xml:space="preserve">Melissa Weber Mendonça, list of open source AI contribution policies.</w:t>
      </w:r>
      <w:r>
        <w:t xml:space="preserve"> </w:t>
      </w:r>
      <w:hyperlink r:id="rId218">
        <w:r>
          <w:rPr>
            <w:rStyle w:val="Hyperlink"/>
          </w:rPr>
          <w:t xml:space="preserve">https://github.com/melissawm/open-source-ai-contribution-policies</w:t>
        </w:r>
      </w:hyperlink>
      <w:r>
        <w:t xml:space="preserve">]</w:t>
      </w:r>
    </w:p>
    <w:bookmarkEnd w:id="219"/>
    <w:bookmarkEnd w:id="2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1">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42">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43">
        <w:r>
          <w:rPr>
            <w:rStyle w:val="Hyperlink"/>
          </w:rPr>
          <w:t xml:space="preserve">https://interoperable-europe.ec.europa.eu/collection/open-source-observatory-osor/open-source-software-country-intelligence</w:t>
        </w:r>
      </w:hyperlink>
    </w:p>
  </w:footnote>
  <w:footnote w:id="44">
    <w:p>
      <w:pPr>
        <w:pStyle w:val="FootnoteText"/>
      </w:pPr>
      <w:r>
        <w:rPr>
          <w:rStyle w:val="FootnoteReference"/>
        </w:rPr>
        <w:footnoteRef/>
      </w:r>
      <w:r>
        <w:t xml:space="preserve"> </w:t>
      </w:r>
      <w:r>
        <w:t xml:space="preserve">OMB Memorandum M-16-21, August 2016:</w:t>
      </w:r>
      <w:r>
        <w:t xml:space="preserve"> </w:t>
      </w:r>
      <w:hyperlink r:id="rId45">
        <w:r>
          <w:rPr>
            <w:rStyle w:val="Hyperlink"/>
          </w:rPr>
          <w:t xml:space="preserve">https://obamawhitehouse.archives.gov/sites/default/files/omb/memoranda/2016/m_16_21.pdf</w:t>
        </w:r>
      </w:hyperlink>
    </w:p>
  </w:footnote>
  <w:footnote w:id="46">
    <w:p>
      <w:pPr>
        <w:pStyle w:val="FootnoteText"/>
      </w:pPr>
      <w:r>
        <w:rPr>
          <w:rStyle w:val="FootnoteReference"/>
        </w:rPr>
        <w:footnoteRef/>
      </w:r>
      <w:r>
        <w:t xml:space="preserve"> </w:t>
      </w:r>
      <w:hyperlink r:id="rId47">
        <w:r>
          <w:rPr>
            <w:rStyle w:val="Hyperlink"/>
          </w:rPr>
          <w:t xml:space="preserve">https://www.canada.ca/en/government/system/digital-government/digital-government-innovations/open-source-software/open-first-whitepaper.html</w:t>
        </w:r>
      </w:hyperlink>
    </w:p>
  </w:footnote>
  <w:footnote w:id="48">
    <w:p>
      <w:pPr>
        <w:pStyle w:val="FootnoteText"/>
      </w:pPr>
      <w:r>
        <w:rPr>
          <w:rStyle w:val="FootnoteReference"/>
        </w:rPr>
        <w:footnoteRef/>
      </w:r>
      <w:r>
        <w:t xml:space="preserve"> </w:t>
      </w:r>
      <w:hyperlink r:id="rId49">
        <w:r>
          <w:rPr>
            <w:rStyle w:val="Hyperlink"/>
          </w:rPr>
          <w:t xml:space="preserve">https://www.dta.gov.au/help-and-advice/digital-service-standard/digital-service-standard-criteria/8-make-source-code-open</w:t>
        </w:r>
      </w:hyperlink>
    </w:p>
  </w:footnote>
  <w:footnote w:id="50">
    <w:p>
      <w:pPr>
        <w:pStyle w:val="FootnoteText"/>
      </w:pPr>
      <w:r>
        <w:rPr>
          <w:rStyle w:val="FootnoteReference"/>
        </w:rPr>
        <w:footnoteRef/>
      </w:r>
      <w:r>
        <w:t xml:space="preserve"> </w:t>
      </w:r>
      <w:hyperlink r:id="rId51">
        <w:r>
          <w:rPr>
            <w:rStyle w:val="Hyperlink"/>
          </w:rPr>
          <w:t xml:space="preserve">https://www.data.govt.nz/manage-data/policies/nzgoal/nzgoal-se-guidance-note-1/</w:t>
        </w:r>
      </w:hyperlink>
    </w:p>
  </w:footnote>
  <w:footnote w:id="52">
    <w:p>
      <w:pPr>
        <w:pStyle w:val="FootnoteText"/>
      </w:pPr>
      <w:r>
        <w:rPr>
          <w:rStyle w:val="FootnoteReference"/>
        </w:rPr>
        <w:footnoteRef/>
      </w:r>
      <w:r>
        <w:t xml:space="preserve"> </w:t>
      </w:r>
      <w:r>
        <w:t xml:space="preserve">Ministry of Electronics and Information Technology (MeitY), 2015:</w:t>
      </w:r>
      <w:r>
        <w:t xml:space="preserve"> </w:t>
      </w:r>
      <w:hyperlink r:id="rId53">
        <w:r>
          <w:rPr>
            <w:rStyle w:val="Hyperlink"/>
          </w:rPr>
          <w:t xml:space="preserve">https://www.meity.gov.in/static/uploads/2024/02/policy_on_adoption_of_oss.pdf</w:t>
        </w:r>
      </w:hyperlink>
    </w:p>
  </w:footnote>
  <w:footnote w:id="54">
    <w:p>
      <w:pPr>
        <w:pStyle w:val="FootnoteText"/>
      </w:pPr>
      <w:r>
        <w:rPr>
          <w:rStyle w:val="FootnoteReference"/>
        </w:rPr>
        <w:footnoteRef/>
      </w:r>
      <w:r>
        <w:t xml:space="preserve"> </w:t>
      </w:r>
      <w:r>
        <w:t xml:space="preserve">Information-technology Promotion Agency (IPA), 2024:</w:t>
      </w:r>
      <w:r>
        <w:t xml:space="preserve"> </w:t>
      </w:r>
      <w:hyperlink r:id="rId55">
        <w:r>
          <w:rPr>
            <w:rStyle w:val="Hyperlink"/>
          </w:rPr>
          <w:t xml:space="preserve">https://interoperable-europe.ec.europa.eu/collection/open-source-observatory-osor/news/japans-2024-open-source-promotion-report</w:t>
        </w:r>
      </w:hyperlink>
    </w:p>
  </w:footnote>
  <w:footnote w:id="56">
    <w:p>
      <w:pPr>
        <w:pStyle w:val="FootnoteText"/>
      </w:pPr>
      <w:r>
        <w:rPr>
          <w:rStyle w:val="FootnoteReference"/>
        </w:rPr>
        <w:footnoteRef/>
      </w:r>
      <w:r>
        <w:t xml:space="preserve"> </w:t>
      </w:r>
      <w:hyperlink r:id="rId57">
        <w:r>
          <w:rPr>
            <w:rStyle w:val="Hyperlink"/>
          </w:rPr>
          <w:t xml:space="preserve">https://fsfe.org/activities/publiccode/index.en.html</w:t>
        </w:r>
      </w:hyperlink>
    </w:p>
  </w:footnote>
  <w:footnote w:id="58">
    <w:p>
      <w:pPr>
        <w:pStyle w:val="FootnoteText"/>
      </w:pPr>
      <w:r>
        <w:rPr>
          <w:rStyle w:val="FootnoteReference"/>
        </w:rPr>
        <w:footnoteRef/>
      </w:r>
      <w:r>
        <w:t xml:space="preserve"> </w:t>
      </w:r>
      <w:r>
        <w:t xml:space="preserve">Regulation (EU) 2024/903:</w:t>
      </w:r>
      <w:r>
        <w:t xml:space="preserve"> </w:t>
      </w:r>
      <w:hyperlink r:id="rId59">
        <w:r>
          <w:rPr>
            <w:rStyle w:val="Hyperlink"/>
          </w:rPr>
          <w:t xml:space="preserve">https://interoperable-europe.ec.europa.eu/interoperable-europe/interoperable-europe-act</w:t>
        </w:r>
      </w:hyperlink>
    </w:p>
  </w:footnote>
  <w:footnote w:id="66">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67">
        <w:r>
          <w:rPr>
            <w:rStyle w:val="Hyperlink"/>
          </w:rPr>
          <w:t xml:space="preserve">https://digital-strategy.ec.europa.eu/en/library/study-about-impact-open-source-software-and-hardware-technological-independence-competitiveness-and</w:t>
        </w:r>
      </w:hyperlink>
    </w:p>
  </w:footnote>
  <w:footnote w:id="68">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69">
        <w:r>
          <w:rPr>
            <w:rStyle w:val="Hyperlink"/>
          </w:rPr>
          <w:t xml:space="preserve">https://blogs.worldbank.org/en/opendata/leveraging-open-source-public-institution-new-analysis-reveals-significant-returns-investment-open</w:t>
        </w:r>
      </w:hyperlink>
    </w:p>
  </w:footnote>
  <w:footnote w:id="84">
    <w:p>
      <w:pPr>
        <w:pStyle w:val="FootnoteText"/>
      </w:pPr>
      <w:r>
        <w:rPr>
          <w:rStyle w:val="FootnoteReference"/>
        </w:rPr>
        <w:footnoteRef/>
      </w:r>
      <w:r>
        <w:t xml:space="preserve"> </w:t>
      </w:r>
      <w:hyperlink r:id="rId85">
        <w:r>
          <w:rPr>
            <w:rStyle w:val="Hyperlink"/>
          </w:rPr>
          <w:t xml:space="preserve">https://www.osgeo.org/resources/project-graduation-checklist/</w:t>
        </w:r>
      </w:hyperlink>
    </w:p>
  </w:footnote>
  <w:footnote w:id="97">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69">
        <w:r>
          <w:rPr>
            <w:rStyle w:val="Hyperlink"/>
          </w:rPr>
          <w:t xml:space="preserve">https://blogs.worldbank.org/en/opendata/leveraging-open-source-public-institution-new-analysis-reveals-significant-returns-investment-open</w:t>
        </w:r>
      </w:hyperlink>
    </w:p>
  </w:footnote>
  <w:footnote w:id="99">
    <w:p>
      <w:pPr>
        <w:pStyle w:val="FootnoteText"/>
      </w:pPr>
      <w:r>
        <w:rPr>
          <w:rStyle w:val="FootnoteReference"/>
        </w:rPr>
        <w:footnoteRef/>
      </w:r>
      <w:r>
        <w:t xml:space="preserve"> </w:t>
      </w:r>
      <w:hyperlink r:id="rId100">
        <w:r>
          <w:rPr>
            <w:rStyle w:val="Hyperlink"/>
          </w:rPr>
          <w:t xml:space="preserve">https://climate.copernicus.eu/code-earth-2025-advancing-energy-system-resilience-climate-data</w:t>
        </w:r>
      </w:hyperlink>
    </w:p>
  </w:footnote>
  <w:footnote w:id="112">
    <w:p>
      <w:pPr>
        <w:pStyle w:val="FootnoteText"/>
      </w:pPr>
      <w:r>
        <w:rPr>
          <w:rStyle w:val="FootnoteReference"/>
        </w:rPr>
        <w:footnoteRef/>
      </w:r>
      <w:r>
        <w:t xml:space="preserve"> </w:t>
      </w:r>
      <w:hyperlink r:id="rId113">
        <w:r>
          <w:rPr>
            <w:rStyle w:val="Hyperlink"/>
          </w:rPr>
          <w:t xml:space="preserve">https://wmo.int/wis-20</w:t>
        </w:r>
      </w:hyperlink>
    </w:p>
  </w:footnote>
  <w:footnote w:id="115">
    <w:p>
      <w:pPr>
        <w:pStyle w:val="FootnoteText"/>
      </w:pPr>
      <w:r>
        <w:rPr>
          <w:rStyle w:val="FootnoteReference"/>
        </w:rPr>
        <w:footnoteRef/>
      </w:r>
      <w:r>
        <w:t xml:space="preserve"> </w:t>
      </w:r>
      <w:hyperlink r:id="rId116">
        <w:r>
          <w:rPr>
            <w:rStyle w:val="Hyperlink"/>
          </w:rPr>
          <w:t xml:space="preserve">https://wmo-im.github.io/wis2-transition-guide/transition-guide/wis2-transition-guide-APPROVED.html#_1_introduction</w:t>
        </w:r>
      </w:hyperlink>
    </w:p>
  </w:footnote>
  <w:footnote w:id="127">
    <w:p>
      <w:pPr>
        <w:pStyle w:val="FootnoteText"/>
      </w:pPr>
      <w:r>
        <w:rPr>
          <w:rStyle w:val="FootnoteReference"/>
        </w:rPr>
        <w:footnoteRef/>
      </w:r>
      <w:r>
        <w:t xml:space="preserve"> </w:t>
      </w:r>
      <w:hyperlink r:id="rId128">
        <w:r>
          <w:rPr>
            <w:rStyle w:val="Hyperlink"/>
          </w:rPr>
          <w:t xml:space="preserve">https://producingoss.com</w:t>
        </w:r>
      </w:hyperlink>
    </w:p>
  </w:footnote>
  <w:footnote w:id="130">
    <w:p>
      <w:pPr>
        <w:pStyle w:val="FootnoteText"/>
      </w:pPr>
      <w:r>
        <w:rPr>
          <w:rStyle w:val="FootnoteReference"/>
        </w:rPr>
        <w:footnoteRef/>
      </w:r>
      <w:r>
        <w:t xml:space="preserve"> </w:t>
      </w:r>
      <w:hyperlink r:id="rId131">
        <w:r>
          <w:rPr>
            <w:rStyle w:val="Hyperlink"/>
          </w:rPr>
          <w:t xml:space="preserve">https://interoperable-europe.ec.europa.eu/collection/open-source-observatory-osor/news/updated-osor-handbook-published</w:t>
        </w:r>
      </w:hyperlink>
    </w:p>
  </w:footnote>
  <w:footnote w:id="133">
    <w:p>
      <w:pPr>
        <w:pStyle w:val="FootnoteText"/>
      </w:pPr>
      <w:r>
        <w:rPr>
          <w:rStyle w:val="FootnoteReference"/>
        </w:rPr>
        <w:footnoteRef/>
      </w:r>
      <w:r>
        <w:t xml:space="preserve"> </w:t>
      </w:r>
      <w:hyperlink r:id="rId134">
        <w:r>
          <w:rPr>
            <w:rStyle w:val="Hyperlink"/>
          </w:rPr>
          <w:t xml:space="preserve">https://assets.public.digital/Open_Source_Report.pdf</w:t>
        </w:r>
      </w:hyperlink>
    </w:p>
  </w:footnote>
  <w:footnote w:id="136">
    <w:p>
      <w:pPr>
        <w:pStyle w:val="FootnoteText"/>
      </w:pPr>
      <w:r>
        <w:rPr>
          <w:rStyle w:val="FootnoteReference"/>
        </w:rPr>
        <w:footnoteRef/>
      </w:r>
      <w:r>
        <w:t xml:space="preserve"> </w:t>
      </w:r>
      <w:hyperlink r:id="rId57">
        <w:r>
          <w:rPr>
            <w:rStyle w:val="Hyperlink"/>
          </w:rPr>
          <w:t xml:space="preserve">https://fsfe.org/activities/publiccode/index.en.html</w:t>
        </w:r>
      </w:hyperlink>
    </w:p>
  </w:footnote>
  <w:footnote w:id="139">
    <w:p>
      <w:pPr>
        <w:pStyle w:val="FootnoteText"/>
      </w:pPr>
      <w:r>
        <w:rPr>
          <w:rStyle w:val="FootnoteReference"/>
        </w:rPr>
        <w:footnoteRef/>
      </w:r>
      <w:r>
        <w:t xml:space="preserve"> </w:t>
      </w:r>
      <w:hyperlink r:id="rId67">
        <w:r>
          <w:rPr>
            <w:rStyle w:val="Hyperlink"/>
          </w:rPr>
          <w:t xml:space="preserve">https://digital-strategy.ec.europa.eu/en/library/study-about-impact-open-source-software-and-hardware-technological-independence-competitiveness-and</w:t>
        </w:r>
      </w:hyperlink>
    </w:p>
  </w:footnote>
  <w:footnote w:id="141">
    <w:p>
      <w:pPr>
        <w:pStyle w:val="FootnoteText"/>
      </w:pPr>
      <w:r>
        <w:rPr>
          <w:rStyle w:val="FootnoteReference"/>
        </w:rPr>
        <w:footnoteRef/>
      </w:r>
      <w:r>
        <w:t xml:space="preserve"> </w:t>
      </w:r>
      <w:hyperlink r:id="rId69">
        <w:r>
          <w:rPr>
            <w:rStyle w:val="Hyperlink"/>
          </w:rPr>
          <w:t xml:space="preserve">https://blogs.worldbank.org/en/opendata/leveraging-open-source-public-institution-new-analysis-reveals-significant-returns-investment-open</w:t>
        </w:r>
      </w:hyperlink>
    </w:p>
  </w:footnote>
  <w:footnote w:id="143">
    <w:p>
      <w:pPr>
        <w:pStyle w:val="FootnoteText"/>
      </w:pPr>
      <w:r>
        <w:rPr>
          <w:rStyle w:val="FootnoteReference"/>
        </w:rPr>
        <w:footnoteRef/>
      </w:r>
      <w:r>
        <w:t xml:space="preserve"> </w:t>
      </w:r>
      <w:hyperlink r:id="rId144">
        <w:r>
          <w:rPr>
            <w:rStyle w:val="Hyperlink"/>
          </w:rPr>
          <w:t xml:space="preserve">https://www.linuxfoundation.org/research/open-source-roi</w:t>
        </w:r>
      </w:hyperlink>
    </w:p>
  </w:footnote>
  <w:footnote w:id="147">
    <w:p>
      <w:pPr>
        <w:pStyle w:val="FootnoteText"/>
      </w:pPr>
      <w:r>
        <w:rPr>
          <w:rStyle w:val="FootnoteReference"/>
        </w:rPr>
        <w:footnoteRef/>
      </w:r>
      <w:r>
        <w:t xml:space="preserve"> </w:t>
      </w:r>
      <w:hyperlink r:id="rId148">
        <w:r>
          <w:rPr>
            <w:rStyle w:val="Hyperlink"/>
          </w:rPr>
          <w:t xml:space="preserve">https://commission.europa.eu/about/departments-and-executive-agencies/digital-services/open-source-software-strategy_en</w:t>
        </w:r>
      </w:hyperlink>
    </w:p>
  </w:footnote>
  <w:footnote w:id="150">
    <w:p>
      <w:pPr>
        <w:pStyle w:val="FootnoteText"/>
      </w:pPr>
      <w:r>
        <w:rPr>
          <w:rStyle w:val="FootnoteReference"/>
        </w:rPr>
        <w:footnoteRef/>
      </w:r>
      <w:r>
        <w:t xml:space="preserve"> </w:t>
      </w:r>
      <w:hyperlink r:id="rId59">
        <w:r>
          <w:rPr>
            <w:rStyle w:val="Hyperlink"/>
          </w:rPr>
          <w:t xml:space="preserve">https://interoperable-europe.ec.europa.eu/interoperable-europe/interoperable-europe-act</w:t>
        </w:r>
      </w:hyperlink>
    </w:p>
  </w:footnote>
  <w:footnote w:id="152">
    <w:p>
      <w:pPr>
        <w:pStyle w:val="FootnoteText"/>
      </w:pPr>
      <w:r>
        <w:rPr>
          <w:rStyle w:val="FootnoteReference"/>
        </w:rPr>
        <w:footnoteRef/>
      </w:r>
      <w:r>
        <w:t xml:space="preserve"> </w:t>
      </w:r>
      <w:hyperlink r:id="rId153">
        <w:r>
          <w:rPr>
            <w:rStyle w:val="Hyperlink"/>
          </w:rPr>
          <w:t xml:space="preserve">https://digital-strategy.ec.europa.eu/en/policies/cra-open-source</w:t>
        </w:r>
      </w:hyperlink>
    </w:p>
  </w:footnote>
  <w:footnote w:id="155">
    <w:p>
      <w:pPr>
        <w:pStyle w:val="FootnoteText"/>
      </w:pPr>
      <w:r>
        <w:rPr>
          <w:rStyle w:val="FootnoteReference"/>
        </w:rPr>
        <w:footnoteRef/>
      </w:r>
      <w:r>
        <w:t xml:space="preserve"> </w:t>
      </w:r>
      <w:hyperlink r:id="rId45">
        <w:r>
          <w:rPr>
            <w:rStyle w:val="Hyperlink"/>
          </w:rPr>
          <w:t xml:space="preserve">https://obamawhitehouse.archives.gov/sites/default/files/omb/memoranda/2016/m_16_21.pdf</w:t>
        </w:r>
      </w:hyperlink>
    </w:p>
  </w:footnote>
  <w:footnote w:id="157">
    <w:p>
      <w:pPr>
        <w:pStyle w:val="FootnoteText"/>
      </w:pPr>
      <w:r>
        <w:rPr>
          <w:rStyle w:val="FootnoteReference"/>
        </w:rPr>
        <w:footnoteRef/>
      </w:r>
      <w:r>
        <w:t xml:space="preserve"> </w:t>
      </w:r>
      <w:hyperlink r:id="rId47">
        <w:r>
          <w:rPr>
            <w:rStyle w:val="Hyperlink"/>
          </w:rPr>
          <w:t xml:space="preserve">https://www.canada.ca/en/government/system/digital-government/digital-government-innovations/open-source-software/open-first-whitepaper.html</w:t>
        </w:r>
      </w:hyperlink>
    </w:p>
  </w:footnote>
  <w:footnote w:id="159">
    <w:p>
      <w:pPr>
        <w:pStyle w:val="FootnoteText"/>
      </w:pPr>
      <w:r>
        <w:rPr>
          <w:rStyle w:val="FootnoteReference"/>
        </w:rPr>
        <w:footnoteRef/>
      </w:r>
      <w:r>
        <w:t xml:space="preserve"> </w:t>
      </w:r>
      <w:hyperlink r:id="rId49">
        <w:r>
          <w:rPr>
            <w:rStyle w:val="Hyperlink"/>
          </w:rPr>
          <w:t xml:space="preserve">https://www.dta.gov.au/help-and-advice/digital-service-standard/digital-service-standard-criteria/8-make-source-code-open</w:t>
        </w:r>
      </w:hyperlink>
    </w:p>
  </w:footnote>
  <w:footnote w:id="161">
    <w:p>
      <w:pPr>
        <w:pStyle w:val="FootnoteText"/>
      </w:pPr>
      <w:r>
        <w:rPr>
          <w:rStyle w:val="FootnoteReference"/>
        </w:rPr>
        <w:footnoteRef/>
      </w:r>
      <w:r>
        <w:t xml:space="preserve"> </w:t>
      </w:r>
      <w:hyperlink r:id="rId51">
        <w:r>
          <w:rPr>
            <w:rStyle w:val="Hyperlink"/>
          </w:rPr>
          <w:t xml:space="preserve">https://www.data.govt.nz/manage-data/policies/nzgoal/nzgoal-se-guidance-note-1/</w:t>
        </w:r>
      </w:hyperlink>
    </w:p>
  </w:footnote>
  <w:footnote w:id="163">
    <w:p>
      <w:pPr>
        <w:pStyle w:val="FootnoteText"/>
      </w:pPr>
      <w:r>
        <w:rPr>
          <w:rStyle w:val="FootnoteReference"/>
        </w:rPr>
        <w:footnoteRef/>
      </w:r>
      <w:r>
        <w:t xml:space="preserve"> </w:t>
      </w:r>
      <w:hyperlink r:id="rId53">
        <w:r>
          <w:rPr>
            <w:rStyle w:val="Hyperlink"/>
          </w:rPr>
          <w:t xml:space="preserve">https://www.meity.gov.in/static/uploads/2024/02/policy_on_adoption_of_oss.pdf</w:t>
        </w:r>
      </w:hyperlink>
    </w:p>
  </w:footnote>
  <w:footnote w:id="165">
    <w:p>
      <w:pPr>
        <w:pStyle w:val="FootnoteText"/>
      </w:pPr>
      <w:r>
        <w:rPr>
          <w:rStyle w:val="FootnoteReference"/>
        </w:rPr>
        <w:footnoteRef/>
      </w:r>
      <w:r>
        <w:t xml:space="preserve"> </w:t>
      </w:r>
      <w:hyperlink r:id="rId55">
        <w:r>
          <w:rPr>
            <w:rStyle w:val="Hyperlink"/>
          </w:rPr>
          <w:t xml:space="preserve">https://interoperable-europe.ec.europa.eu/collection/open-source-observatory-osor/news/japans-2024-open-source-promotion-report</w:t>
        </w:r>
      </w:hyperlink>
    </w:p>
  </w:footnote>
  <w:footnote w:id="167">
    <w:p>
      <w:pPr>
        <w:pStyle w:val="FootnoteText"/>
      </w:pPr>
      <w:r>
        <w:rPr>
          <w:rStyle w:val="FootnoteReference"/>
        </w:rPr>
        <w:footnoteRef/>
      </w:r>
      <w:r>
        <w:t xml:space="preserve"> </w:t>
      </w:r>
      <w:hyperlink r:id="rId168">
        <w:r>
          <w:rPr>
            <w:rStyle w:val="Hyperlink"/>
          </w:rPr>
          <w:t xml:space="preserve">https://github.com/spbgovbr</w:t>
        </w:r>
      </w:hyperlink>
    </w:p>
  </w:footnote>
  <w:footnote w:id="170">
    <w:p>
      <w:pPr>
        <w:pStyle w:val="FootnoteText"/>
      </w:pPr>
      <w:r>
        <w:rPr>
          <w:rStyle w:val="FootnoteReference"/>
        </w:rPr>
        <w:footnoteRef/>
      </w:r>
      <w:r>
        <w:t xml:space="preserve"> </w:t>
      </w:r>
      <w:hyperlink r:id="rId171">
        <w:r>
          <w:rPr>
            <w:rStyle w:val="Hyperlink"/>
          </w:rPr>
          <w:t xml:space="preserve">https://au.int/sites/default/files/documents/38507-doc-dts-english.pdf</w:t>
        </w:r>
      </w:hyperlink>
    </w:p>
  </w:footnote>
  <w:footnote w:id="173">
    <w:p>
      <w:pPr>
        <w:pStyle w:val="FootnoteText"/>
      </w:pPr>
      <w:r>
        <w:rPr>
          <w:rStyle w:val="FootnoteReference"/>
        </w:rPr>
        <w:footnoteRef/>
      </w:r>
      <w:r>
        <w:t xml:space="preserve"> </w:t>
      </w:r>
      <w:hyperlink r:id="rId42">
        <w:r>
          <w:rPr>
            <w:rStyle w:val="Hyperlink"/>
          </w:rPr>
          <w:t xml:space="preserve">https://www.csis.org/programs/strategic-technologies-program/resources/government-open-source-software-policies</w:t>
        </w:r>
      </w:hyperlink>
    </w:p>
  </w:footnote>
  <w:footnote w:id="176">
    <w:p>
      <w:pPr>
        <w:pStyle w:val="FootnoteText"/>
      </w:pPr>
      <w:r>
        <w:rPr>
          <w:rStyle w:val="FootnoteReference"/>
        </w:rPr>
        <w:footnoteRef/>
      </w:r>
      <w:r>
        <w:t xml:space="preserve"> </w:t>
      </w:r>
      <w:hyperlink r:id="rId93">
        <w:r>
          <w:rPr>
            <w:rStyle w:val="Hyperlink"/>
          </w:rPr>
          <w:t xml:space="preserve">https://new.digitalpublicgoods.net/standard</w:t>
        </w:r>
      </w:hyperlink>
    </w:p>
  </w:footnote>
  <w:footnote w:id="178">
    <w:p>
      <w:pPr>
        <w:pStyle w:val="FootnoteText"/>
      </w:pPr>
      <w:r>
        <w:rPr>
          <w:rStyle w:val="FootnoteReference"/>
        </w:rPr>
        <w:footnoteRef/>
      </w:r>
      <w:r>
        <w:t xml:space="preserve"> </w:t>
      </w:r>
      <w:hyperlink r:id="rId94">
        <w:r>
          <w:rPr>
            <w:rStyle w:val="Hyperlink"/>
          </w:rPr>
          <w:t xml:space="preserve">https://www.undp.org/digital/osee</w:t>
        </w:r>
      </w:hyperlink>
    </w:p>
  </w:footnote>
  <w:footnote w:id="180">
    <w:p>
      <w:pPr>
        <w:pStyle w:val="FootnoteText"/>
      </w:pPr>
      <w:r>
        <w:rPr>
          <w:rStyle w:val="FootnoteReference"/>
        </w:rPr>
        <w:footnoteRef/>
      </w:r>
      <w:r>
        <w:t xml:space="preserve"> </w:t>
      </w:r>
      <w:hyperlink r:id="rId181">
        <w:r>
          <w:rPr>
            <w:rStyle w:val="Hyperlink"/>
          </w:rPr>
          <w:t xml:space="preserve">https://www.undp.org/digital/standards/9-default-to-Open</w:t>
        </w:r>
      </w:hyperlink>
    </w:p>
  </w:footnote>
  <w:footnote w:id="183">
    <w:p>
      <w:pPr>
        <w:pStyle w:val="FootnoteText"/>
      </w:pPr>
      <w:r>
        <w:rPr>
          <w:rStyle w:val="FootnoteReference"/>
        </w:rPr>
        <w:footnoteRef/>
      </w:r>
      <w:r>
        <w:t xml:space="preserve"> </w:t>
      </w:r>
      <w:hyperlink r:id="rId184">
        <w:r>
          <w:rPr>
            <w:rStyle w:val="Hyperlink"/>
          </w:rPr>
          <w:t xml:space="preserve">https://documents.worldbank.org/en/publication/documents-reports/documentdetail/672901582561140400/open-source-for-global-public-goods</w:t>
        </w:r>
      </w:hyperlink>
    </w:p>
  </w:footnote>
  <w:footnote w:id="186">
    <w:p>
      <w:pPr>
        <w:pStyle w:val="FootnoteText"/>
      </w:pPr>
      <w:r>
        <w:rPr>
          <w:rStyle w:val="FootnoteReference"/>
        </w:rPr>
        <w:footnoteRef/>
      </w:r>
      <w:r>
        <w:t xml:space="preserve"> </w:t>
      </w:r>
      <w:hyperlink r:id="rId43">
        <w:r>
          <w:rPr>
            <w:rStyle w:val="Hyperlink"/>
          </w:rPr>
          <w:t xml:space="preserve">https://interoperable-europe.ec.europa.eu/collection/open-source-observatory-osor/open-source-software-country-intelligence</w:t>
        </w:r>
      </w:hyperlink>
    </w:p>
  </w:footnote>
  <w:footnote w:id="189">
    <w:p>
      <w:pPr>
        <w:pStyle w:val="FootnoteText"/>
      </w:pPr>
      <w:r>
        <w:rPr>
          <w:rStyle w:val="FootnoteReference"/>
        </w:rPr>
        <w:footnoteRef/>
      </w:r>
      <w:r>
        <w:t xml:space="preserve"> </w:t>
      </w:r>
      <w:hyperlink r:id="rId100">
        <w:r>
          <w:rPr>
            <w:rStyle w:val="Hyperlink"/>
          </w:rPr>
          <w:t xml:space="preserve">https://climate.copernicus.eu/code-earth-2025-advancing-energy-system-resilience-climate-data</w:t>
        </w:r>
      </w:hyperlink>
    </w:p>
  </w:footnote>
  <w:footnote w:id="191">
    <w:p>
      <w:pPr>
        <w:pStyle w:val="FootnoteText"/>
      </w:pPr>
      <w:r>
        <w:rPr>
          <w:rStyle w:val="FootnoteReference"/>
        </w:rPr>
        <w:footnoteRef/>
      </w:r>
      <w:r>
        <w:t xml:space="preserve"> </w:t>
      </w:r>
      <w:hyperlink r:id="rId192">
        <w:r>
          <w:rPr>
            <w:rStyle w:val="Hyperlink"/>
          </w:rPr>
          <w:t xml:space="preserve">https://wmo-im.github.io/wis2-transition-guide/transition-guide/wis2-transition-guide-APPROVED.html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ssets.public.digital/Open_Source_Report.pdf" TargetMode="External" /><Relationship Type="http://schemas.openxmlformats.org/officeDocument/2006/relationships/hyperlink" Id="rId171" Target="https://au.int/sites/default/files/documents/38507-doc-dts-english.pdf" TargetMode="External" /><Relationship Type="http://schemas.openxmlformats.org/officeDocument/2006/relationships/hyperlink" Id="rId69" Target="https://blogs.worldbank.org/en/opendata/leveraging-open-source-public-institution-new-analysis-reveals-significant-returns-investment-open" TargetMode="External" /><Relationship Type="http://schemas.openxmlformats.org/officeDocument/2006/relationships/hyperlink" Id="rId100" Target="https://climate.copernicus.eu/code-earth-2025-advancing-energy-system-resilience-climate-data" TargetMode="External" /><Relationship Type="http://schemas.openxmlformats.org/officeDocument/2006/relationships/hyperlink" Id="rId64" Target="https://codeberg.org" TargetMode="External" /><Relationship Type="http://schemas.openxmlformats.org/officeDocument/2006/relationships/hyperlink" Id="rId148"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77" Target="https://conda-forge.org" TargetMode="External" /><Relationship Type="http://schemas.openxmlformats.org/officeDocument/2006/relationships/hyperlink" Id="rId200" Target="https://data.ecmwf.int/" TargetMode="External" /><Relationship Type="http://schemas.openxmlformats.org/officeDocument/2006/relationships/hyperlink" Id="rId213" Target="https://devguide.python.org/getting-started/generative-ai/" TargetMode="External" /><Relationship Type="http://schemas.openxmlformats.org/officeDocument/2006/relationships/hyperlink" Id="rId67" Target="https://digital-strategy.ec.europa.eu/en/library/study-about-impact-open-source-software-and-hardware-technological-independence-competitiveness-and" TargetMode="External" /><Relationship Type="http://schemas.openxmlformats.org/officeDocument/2006/relationships/hyperlink" Id="rId153" Target="https://digital-strategy.ec.europa.eu/en/policies/cra-open-source" TargetMode="External" /><Relationship Type="http://schemas.openxmlformats.org/officeDocument/2006/relationships/hyperlink" Id="rId197" Target="https://digital-strategy.ec.europa.eu/en/policies/legislation-open-data" TargetMode="External" /><Relationship Type="http://schemas.openxmlformats.org/officeDocument/2006/relationships/hyperlink" Id="rId207" Target="https://discuss.scientific-python.org/t/blog-community-considerations-around-ai-contributions/2234" TargetMode="External" /><Relationship Type="http://schemas.openxmlformats.org/officeDocument/2006/relationships/hyperlink" Id="rId118" Target="https://docs.wis2box.wis.wmo.int" TargetMode="External" /><Relationship Type="http://schemas.openxmlformats.org/officeDocument/2006/relationships/hyperlink" Id="rId184" Target="https://documents.worldbank.org/en/publication/documents-reports/documentdetail/672901582561140400/open-source-for-global-public-goods" TargetMode="External" /><Relationship Type="http://schemas.openxmlformats.org/officeDocument/2006/relationships/hyperlink" Id="rId74" Target="https://forgejo.org" TargetMode="External" /><Relationship Type="http://schemas.openxmlformats.org/officeDocument/2006/relationships/hyperlink" Id="rId98" Target="https://foss4g.org" TargetMode="External" /><Relationship Type="http://schemas.openxmlformats.org/officeDocument/2006/relationships/hyperlink" Id="rId57" Target="https://fsfe.org/activities/publiccode/index.en.html" TargetMode="External" /><Relationship Type="http://schemas.openxmlformats.org/officeDocument/2006/relationships/hyperlink" Id="rId209" Target="https://gdal.org/en/stable/community/ai_tool_policy.html" TargetMode="External" /><Relationship Type="http://schemas.openxmlformats.org/officeDocument/2006/relationships/hyperlink" Id="rId73" Target="https://gitea.io" TargetMode="External" /><Relationship Type="http://schemas.openxmlformats.org/officeDocument/2006/relationships/hyperlink" Id="rId62" Target="https://github.com" TargetMode="External" /><Relationship Type="http://schemas.openxmlformats.org/officeDocument/2006/relationships/hyperlink" Id="rId120" Target="https://github.com/World-Meteorological-Organization/csv2bufr" TargetMode="External" /><Relationship Type="http://schemas.openxmlformats.org/officeDocument/2006/relationships/hyperlink" Id="rId122" Target="https://github.com/World-Meteorological-Organization/pywis-pubsub" TargetMode="External" /><Relationship Type="http://schemas.openxmlformats.org/officeDocument/2006/relationships/hyperlink" Id="rId121" Target="https://github.com/World-Meteorological-Organization/wis2downloader" TargetMode="External" /><Relationship Type="http://schemas.openxmlformats.org/officeDocument/2006/relationships/hyperlink" Id="rId218" Target="https://github.com/melissawm/open-source-ai-contribution-policies" TargetMode="External" /><Relationship Type="http://schemas.openxmlformats.org/officeDocument/2006/relationships/hyperlink" Id="rId214" Target="https://github.com/qgis/QGIS-Enhancement-Proposals/blob/master/qep-408-ai-tool-policy.md" TargetMode="External" /><Relationship Type="http://schemas.openxmlformats.org/officeDocument/2006/relationships/hyperlink" Id="rId168" Target="https://github.com/spbgovbr" TargetMode="External" /><Relationship Type="http://schemas.openxmlformats.org/officeDocument/2006/relationships/hyperlink" Id="rId119" Target="https://github.com/wmo-im/wis2-gdc" TargetMode="External" /><Relationship Type="http://schemas.openxmlformats.org/officeDocument/2006/relationships/hyperlink" Id="rId72" Target="https://gitlab.com" TargetMode="External" /><Relationship Type="http://schemas.openxmlformats.org/officeDocument/2006/relationships/hyperlink" Id="rId63" Target="https://gitlab.com/gitlab-org" TargetMode="External" /><Relationship Type="http://schemas.openxmlformats.org/officeDocument/2006/relationships/hyperlink" Id="rId55" Target="https://interoperable-europe.ec.europa.eu/collection/open-source-observatory-osor/news/japans-2024-open-source-promotion-report" TargetMode="External" /><Relationship Type="http://schemas.openxmlformats.org/officeDocument/2006/relationships/hyperlink" Id="rId131" Target="https://interoperable-europe.ec.europa.eu/collection/open-source-observatory-osor/news/updated-osor-handbook-published" TargetMode="External" /><Relationship Type="http://schemas.openxmlformats.org/officeDocument/2006/relationships/hyperlink" Id="rId43" Target="https://interoperable-europe.ec.europa.eu/collection/open-source-observatory-osor/open-source-software-country-intelligence" TargetMode="External" /><Relationship Type="http://schemas.openxmlformats.org/officeDocument/2006/relationships/hyperlink" Id="rId59" Target="https://interoperable-europe.ec.europa.eu/interoperable-europe/interoperable-europe-act" TargetMode="External" /><Relationship Type="http://schemas.openxmlformats.org/officeDocument/2006/relationships/hyperlink" Id="rId114" Target="https://library.wmo.int/idviewer/66258/1147" TargetMode="External" /><Relationship Type="http://schemas.openxmlformats.org/officeDocument/2006/relationships/hyperlink" Id="rId210" Target="https://matplotlib.org/devdocs/devel/contribute.html#generative-ai" TargetMode="External" /><Relationship Type="http://schemas.openxmlformats.org/officeDocument/2006/relationships/hyperlink" Id="rId93" Target="https://new.digitalpublicgoods.net/standard" TargetMode="External" /><Relationship Type="http://schemas.openxmlformats.org/officeDocument/2006/relationships/hyperlink" Id="rId211" Target="https://numpy.org/devdocs/dev/ai_policy.html" TargetMode="External" /><Relationship Type="http://schemas.openxmlformats.org/officeDocument/2006/relationships/hyperlink" Id="rId45" Target="https://obamawhitehouse.archives.gov/sites/default/files/omb/memoranda/2016/m_16_21.pdf" TargetMode="External" /><Relationship Type="http://schemas.openxmlformats.org/officeDocument/2006/relationships/hyperlink" Id="rId31" Target="https://opendefinition.org/licenses/" TargetMode="External" /><Relationship Type="http://schemas.openxmlformats.org/officeDocument/2006/relationships/hyperlink" Id="rId212" Target="https://openjdk.org/legal/ai" TargetMode="External" /><Relationship Type="http://schemas.openxmlformats.org/officeDocument/2006/relationships/hyperlink" Id="rId96" Target="https://opensource.worldbank.org" TargetMode="External" /><Relationship Type="http://schemas.openxmlformats.org/officeDocument/2006/relationships/hyperlink" Id="rId90" Target="https://osgeo.org" TargetMode="External" /><Relationship Type="http://schemas.openxmlformats.org/officeDocument/2006/relationships/hyperlink" Id="rId128" Target="https://producingoss.com" TargetMode="External" /><Relationship Type="http://schemas.openxmlformats.org/officeDocument/2006/relationships/hyperlink" Id="rId104" Target="https://project.oss4geo.org/" TargetMode="External" /><Relationship Type="http://schemas.openxmlformats.org/officeDocument/2006/relationships/hyperlink" Id="rId117" Target="https://raw.githubusercontent.com/wmo-im/wis2-guide/refs/heads/main/guide/images/architecture/c4.container.png" TargetMode="External" /><Relationship Type="http://schemas.openxmlformats.org/officeDocument/2006/relationships/hyperlink" Id="rId217" Target="https://redmonk.com/kholterhoff/2026/02/26/generative-ai-policy-landscape-in-open-source" TargetMode="External" /><Relationship Type="http://schemas.openxmlformats.org/officeDocument/2006/relationships/hyperlink" Id="rId192" Target="https://wmo-im.github.io/wis2-transition-guide/transition-guide/wis2-transition-guide-APPROVED.html" TargetMode="External" /><Relationship Type="http://schemas.openxmlformats.org/officeDocument/2006/relationships/hyperlink" Id="rId116"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3" Target="https://wmo.int/wis-20" TargetMode="External" /><Relationship Type="http://schemas.openxmlformats.org/officeDocument/2006/relationships/hyperlink" Id="rId29" Target="https://wmo.int/wmo-unified-data-policy-resolution-res1" TargetMode="External" /><Relationship Type="http://schemas.openxmlformats.org/officeDocument/2006/relationships/hyperlink" Id="rId92" Target="https://www.apache.org" TargetMode="External" /><Relationship Type="http://schemas.openxmlformats.org/officeDocument/2006/relationships/hyperlink" Id="rId203" Target="https://www.canada.ca/en/government/system/digital-government/digital-government-innovations/information-management.html" TargetMode="External" /><Relationship Type="http://schemas.openxmlformats.org/officeDocument/2006/relationships/hyperlink" Id="rId47" Target="https://www.canada.ca/en/government/system/digital-government/digital-government-innovations/open-source-software/open-first-whitepaper.html" TargetMode="External" /><Relationship Type="http://schemas.openxmlformats.org/officeDocument/2006/relationships/hyperlink" Id="rId42" Target="https://www.csis.org/programs/strategic-technologies-program/resources/government-open-source-software-policies" TargetMode="External" /><Relationship Type="http://schemas.openxmlformats.org/officeDocument/2006/relationships/hyperlink" Id="rId51" Target="https://www.data.govt.nz/manage-data/policies/nzgoal/nzgoal-se-guidance-note-1/" TargetMode="External" /><Relationship Type="http://schemas.openxmlformats.org/officeDocument/2006/relationships/hyperlink" Id="rId91" Target="https://www.digitalpublicgoods.net" TargetMode="External" /><Relationship Type="http://schemas.openxmlformats.org/officeDocument/2006/relationships/hyperlink" Id="rId49" Target="https://www.dta.gov.au/help-and-advice/digital-service-standard/digital-service-standard-criteria/8-make-source-code-open" TargetMode="External" /><Relationship Type="http://schemas.openxmlformats.org/officeDocument/2006/relationships/hyperlink" Id="rId199" Target="https://www.ecmwf.int/en/forecasts/access-forecasts/access-real-time-open-data" TargetMode="External" /><Relationship Type="http://schemas.openxmlformats.org/officeDocument/2006/relationships/hyperlink" Id="rId198" Target="https://www.ecmwf.int/en/forecasts/datasets/open-data" TargetMode="External" /><Relationship Type="http://schemas.openxmlformats.org/officeDocument/2006/relationships/hyperlink" Id="rId204" Target="https://www.gov.uk/guidance/national-data-strategy" TargetMode="External" /><Relationship Type="http://schemas.openxmlformats.org/officeDocument/2006/relationships/hyperlink" Id="rId95" Target="https://www.itu.int" TargetMode="External" /><Relationship Type="http://schemas.openxmlformats.org/officeDocument/2006/relationships/hyperlink" Id="rId144" Target="https://www.linuxfoundation.org/research/open-source-roi" TargetMode="External" /><Relationship Type="http://schemas.openxmlformats.org/officeDocument/2006/relationships/hyperlink" Id="rId53" Target="https://www.meity.gov.in/static/uploads/2024/02/policy_on_adoption_of_oss.pdf" TargetMode="External" /><Relationship Type="http://schemas.openxmlformats.org/officeDocument/2006/relationships/hyperlink" Id="rId85" Target="https://www.osgeo.org/resources/project-graduation-checklist/" TargetMode="External" /><Relationship Type="http://schemas.openxmlformats.org/officeDocument/2006/relationships/hyperlink" Id="rId202" Target="https://www.planalto.gov.br/ccivil_03/_Ato2015-2018/2016/Decreto/D8777.htm" TargetMode="External" /><Relationship Type="http://schemas.openxmlformats.org/officeDocument/2006/relationships/hyperlink" Id="rId94" Target="https://www.undp.org/digital/osee" TargetMode="External" /><Relationship Type="http://schemas.openxmlformats.org/officeDocument/2006/relationships/hyperlink" Id="rId181" Target="https://www.undp.org/digital/standards/9-default-to-Open" TargetMode="External" /><Relationship Type="http://schemas.openxmlformats.org/officeDocument/2006/relationships/hyperlink" Id="rId215" Target="https://zarr.readthedocs.io/en/stable/contributing/#ai-assisted-contributions" TargetMode="External" /></Relationships>
</file>

<file path=word/_rels/footnotes.xml.rels><?xml version="1.0" encoding="UTF-8"?><Relationships xmlns="http://schemas.openxmlformats.org/package/2006/relationships"><Relationship Type="http://schemas.openxmlformats.org/officeDocument/2006/relationships/hyperlink" Id="rId134" Target="https://assets.public.digital/Open_Source_Report.pdf" TargetMode="External" /><Relationship Type="http://schemas.openxmlformats.org/officeDocument/2006/relationships/hyperlink" Id="rId171" Target="https://au.int/sites/default/files/documents/38507-doc-dts-english.pdf" TargetMode="External" /><Relationship Type="http://schemas.openxmlformats.org/officeDocument/2006/relationships/hyperlink" Id="rId69" Target="https://blogs.worldbank.org/en/opendata/leveraging-open-source-public-institution-new-analysis-reveals-significant-returns-investment-open" TargetMode="External" /><Relationship Type="http://schemas.openxmlformats.org/officeDocument/2006/relationships/hyperlink" Id="rId100" Target="https://climate.copernicus.eu/code-earth-2025-advancing-energy-system-resilience-climate-data" TargetMode="External" /><Relationship Type="http://schemas.openxmlformats.org/officeDocument/2006/relationships/hyperlink" Id="rId64" Target="https://codeberg.org" TargetMode="External" /><Relationship Type="http://schemas.openxmlformats.org/officeDocument/2006/relationships/hyperlink" Id="rId148"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77" Target="https://conda-forge.org" TargetMode="External" /><Relationship Type="http://schemas.openxmlformats.org/officeDocument/2006/relationships/hyperlink" Id="rId200" Target="https://data.ecmwf.int/" TargetMode="External" /><Relationship Type="http://schemas.openxmlformats.org/officeDocument/2006/relationships/hyperlink" Id="rId213" Target="https://devguide.python.org/getting-started/generative-ai/" TargetMode="External" /><Relationship Type="http://schemas.openxmlformats.org/officeDocument/2006/relationships/hyperlink" Id="rId67" Target="https://digital-strategy.ec.europa.eu/en/library/study-about-impact-open-source-software-and-hardware-technological-independence-competitiveness-and" TargetMode="External" /><Relationship Type="http://schemas.openxmlformats.org/officeDocument/2006/relationships/hyperlink" Id="rId153" Target="https://digital-strategy.ec.europa.eu/en/policies/cra-open-source" TargetMode="External" /><Relationship Type="http://schemas.openxmlformats.org/officeDocument/2006/relationships/hyperlink" Id="rId197" Target="https://digital-strategy.ec.europa.eu/en/policies/legislation-open-data" TargetMode="External" /><Relationship Type="http://schemas.openxmlformats.org/officeDocument/2006/relationships/hyperlink" Id="rId207" Target="https://discuss.scientific-python.org/t/blog-community-considerations-around-ai-contributions/2234" TargetMode="External" /><Relationship Type="http://schemas.openxmlformats.org/officeDocument/2006/relationships/hyperlink" Id="rId118" Target="https://docs.wis2box.wis.wmo.int" TargetMode="External" /><Relationship Type="http://schemas.openxmlformats.org/officeDocument/2006/relationships/hyperlink" Id="rId184" Target="https://documents.worldbank.org/en/publication/documents-reports/documentdetail/672901582561140400/open-source-for-global-public-goods" TargetMode="External" /><Relationship Type="http://schemas.openxmlformats.org/officeDocument/2006/relationships/hyperlink" Id="rId74" Target="https://forgejo.org" TargetMode="External" /><Relationship Type="http://schemas.openxmlformats.org/officeDocument/2006/relationships/hyperlink" Id="rId98" Target="https://foss4g.org" TargetMode="External" /><Relationship Type="http://schemas.openxmlformats.org/officeDocument/2006/relationships/hyperlink" Id="rId57" Target="https://fsfe.org/activities/publiccode/index.en.html" TargetMode="External" /><Relationship Type="http://schemas.openxmlformats.org/officeDocument/2006/relationships/hyperlink" Id="rId209" Target="https://gdal.org/en/stable/community/ai_tool_policy.html" TargetMode="External" /><Relationship Type="http://schemas.openxmlformats.org/officeDocument/2006/relationships/hyperlink" Id="rId73" Target="https://gitea.io" TargetMode="External" /><Relationship Type="http://schemas.openxmlformats.org/officeDocument/2006/relationships/hyperlink" Id="rId62" Target="https://github.com" TargetMode="External" /><Relationship Type="http://schemas.openxmlformats.org/officeDocument/2006/relationships/hyperlink" Id="rId120" Target="https://github.com/World-Meteorological-Organization/csv2bufr" TargetMode="External" /><Relationship Type="http://schemas.openxmlformats.org/officeDocument/2006/relationships/hyperlink" Id="rId122" Target="https://github.com/World-Meteorological-Organization/pywis-pubsub" TargetMode="External" /><Relationship Type="http://schemas.openxmlformats.org/officeDocument/2006/relationships/hyperlink" Id="rId121" Target="https://github.com/World-Meteorological-Organization/wis2downloader" TargetMode="External" /><Relationship Type="http://schemas.openxmlformats.org/officeDocument/2006/relationships/hyperlink" Id="rId218" Target="https://github.com/melissawm/open-source-ai-contribution-policies" TargetMode="External" /><Relationship Type="http://schemas.openxmlformats.org/officeDocument/2006/relationships/hyperlink" Id="rId214" Target="https://github.com/qgis/QGIS-Enhancement-Proposals/blob/master/qep-408-ai-tool-policy.md" TargetMode="External" /><Relationship Type="http://schemas.openxmlformats.org/officeDocument/2006/relationships/hyperlink" Id="rId168" Target="https://github.com/spbgovbr" TargetMode="External" /><Relationship Type="http://schemas.openxmlformats.org/officeDocument/2006/relationships/hyperlink" Id="rId119" Target="https://github.com/wmo-im/wis2-gdc" TargetMode="External" /><Relationship Type="http://schemas.openxmlformats.org/officeDocument/2006/relationships/hyperlink" Id="rId72" Target="https://gitlab.com" TargetMode="External" /><Relationship Type="http://schemas.openxmlformats.org/officeDocument/2006/relationships/hyperlink" Id="rId63" Target="https://gitlab.com/gitlab-org" TargetMode="External" /><Relationship Type="http://schemas.openxmlformats.org/officeDocument/2006/relationships/hyperlink" Id="rId55" Target="https://interoperable-europe.ec.europa.eu/collection/open-source-observatory-osor/news/japans-2024-open-source-promotion-report" TargetMode="External" /><Relationship Type="http://schemas.openxmlformats.org/officeDocument/2006/relationships/hyperlink" Id="rId131" Target="https://interoperable-europe.ec.europa.eu/collection/open-source-observatory-osor/news/updated-osor-handbook-published" TargetMode="External" /><Relationship Type="http://schemas.openxmlformats.org/officeDocument/2006/relationships/hyperlink" Id="rId43" Target="https://interoperable-europe.ec.europa.eu/collection/open-source-observatory-osor/open-source-software-country-intelligence" TargetMode="External" /><Relationship Type="http://schemas.openxmlformats.org/officeDocument/2006/relationships/hyperlink" Id="rId59" Target="https://interoperable-europe.ec.europa.eu/interoperable-europe/interoperable-europe-act" TargetMode="External" /><Relationship Type="http://schemas.openxmlformats.org/officeDocument/2006/relationships/hyperlink" Id="rId114" Target="https://library.wmo.int/idviewer/66258/1147" TargetMode="External" /><Relationship Type="http://schemas.openxmlformats.org/officeDocument/2006/relationships/hyperlink" Id="rId210" Target="https://matplotlib.org/devdocs/devel/contribute.html#generative-ai" TargetMode="External" /><Relationship Type="http://schemas.openxmlformats.org/officeDocument/2006/relationships/hyperlink" Id="rId93" Target="https://new.digitalpublicgoods.net/standard" TargetMode="External" /><Relationship Type="http://schemas.openxmlformats.org/officeDocument/2006/relationships/hyperlink" Id="rId211" Target="https://numpy.org/devdocs/dev/ai_policy.html" TargetMode="External" /><Relationship Type="http://schemas.openxmlformats.org/officeDocument/2006/relationships/hyperlink" Id="rId45" Target="https://obamawhitehouse.archives.gov/sites/default/files/omb/memoranda/2016/m_16_21.pdf" TargetMode="External" /><Relationship Type="http://schemas.openxmlformats.org/officeDocument/2006/relationships/hyperlink" Id="rId31" Target="https://opendefinition.org/licenses/" TargetMode="External" /><Relationship Type="http://schemas.openxmlformats.org/officeDocument/2006/relationships/hyperlink" Id="rId212" Target="https://openjdk.org/legal/ai" TargetMode="External" /><Relationship Type="http://schemas.openxmlformats.org/officeDocument/2006/relationships/hyperlink" Id="rId96" Target="https://opensource.worldbank.org" TargetMode="External" /><Relationship Type="http://schemas.openxmlformats.org/officeDocument/2006/relationships/hyperlink" Id="rId90" Target="https://osgeo.org" TargetMode="External" /><Relationship Type="http://schemas.openxmlformats.org/officeDocument/2006/relationships/hyperlink" Id="rId128" Target="https://producingoss.com" TargetMode="External" /><Relationship Type="http://schemas.openxmlformats.org/officeDocument/2006/relationships/hyperlink" Id="rId104" Target="https://project.oss4geo.org/" TargetMode="External" /><Relationship Type="http://schemas.openxmlformats.org/officeDocument/2006/relationships/hyperlink" Id="rId117" Target="https://raw.githubusercontent.com/wmo-im/wis2-guide/refs/heads/main/guide/images/architecture/c4.container.png" TargetMode="External" /><Relationship Type="http://schemas.openxmlformats.org/officeDocument/2006/relationships/hyperlink" Id="rId217" Target="https://redmonk.com/kholterhoff/2026/02/26/generative-ai-policy-landscape-in-open-source" TargetMode="External" /><Relationship Type="http://schemas.openxmlformats.org/officeDocument/2006/relationships/hyperlink" Id="rId192" Target="https://wmo-im.github.io/wis2-transition-guide/transition-guide/wis2-transition-guide-APPROVED.html" TargetMode="External" /><Relationship Type="http://schemas.openxmlformats.org/officeDocument/2006/relationships/hyperlink" Id="rId116"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3" Target="https://wmo.int/wis-20" TargetMode="External" /><Relationship Type="http://schemas.openxmlformats.org/officeDocument/2006/relationships/hyperlink" Id="rId29" Target="https://wmo.int/wmo-unified-data-policy-resolution-res1" TargetMode="External" /><Relationship Type="http://schemas.openxmlformats.org/officeDocument/2006/relationships/hyperlink" Id="rId92" Target="https://www.apache.org" TargetMode="External" /><Relationship Type="http://schemas.openxmlformats.org/officeDocument/2006/relationships/hyperlink" Id="rId203" Target="https://www.canada.ca/en/government/system/digital-government/digital-government-innovations/information-management.html" TargetMode="External" /><Relationship Type="http://schemas.openxmlformats.org/officeDocument/2006/relationships/hyperlink" Id="rId47" Target="https://www.canada.ca/en/government/system/digital-government/digital-government-innovations/open-source-software/open-first-whitepaper.html" TargetMode="External" /><Relationship Type="http://schemas.openxmlformats.org/officeDocument/2006/relationships/hyperlink" Id="rId42" Target="https://www.csis.org/programs/strategic-technologies-program/resources/government-open-source-software-policies" TargetMode="External" /><Relationship Type="http://schemas.openxmlformats.org/officeDocument/2006/relationships/hyperlink" Id="rId51" Target="https://www.data.govt.nz/manage-data/policies/nzgoal/nzgoal-se-guidance-note-1/" TargetMode="External" /><Relationship Type="http://schemas.openxmlformats.org/officeDocument/2006/relationships/hyperlink" Id="rId91" Target="https://www.digitalpublicgoods.net" TargetMode="External" /><Relationship Type="http://schemas.openxmlformats.org/officeDocument/2006/relationships/hyperlink" Id="rId49" Target="https://www.dta.gov.au/help-and-advice/digital-service-standard/digital-service-standard-criteria/8-make-source-code-open" TargetMode="External" /><Relationship Type="http://schemas.openxmlformats.org/officeDocument/2006/relationships/hyperlink" Id="rId199" Target="https://www.ecmwf.int/en/forecasts/access-forecasts/access-real-time-open-data" TargetMode="External" /><Relationship Type="http://schemas.openxmlformats.org/officeDocument/2006/relationships/hyperlink" Id="rId198" Target="https://www.ecmwf.int/en/forecasts/datasets/open-data" TargetMode="External" /><Relationship Type="http://schemas.openxmlformats.org/officeDocument/2006/relationships/hyperlink" Id="rId204" Target="https://www.gov.uk/guidance/national-data-strategy" TargetMode="External" /><Relationship Type="http://schemas.openxmlformats.org/officeDocument/2006/relationships/hyperlink" Id="rId95" Target="https://www.itu.int" TargetMode="External" /><Relationship Type="http://schemas.openxmlformats.org/officeDocument/2006/relationships/hyperlink" Id="rId144" Target="https://www.linuxfoundation.org/research/open-source-roi" TargetMode="External" /><Relationship Type="http://schemas.openxmlformats.org/officeDocument/2006/relationships/hyperlink" Id="rId53" Target="https://www.meity.gov.in/static/uploads/2024/02/policy_on_adoption_of_oss.pdf" TargetMode="External" /><Relationship Type="http://schemas.openxmlformats.org/officeDocument/2006/relationships/hyperlink" Id="rId85" Target="https://www.osgeo.org/resources/project-graduation-checklist/" TargetMode="External" /><Relationship Type="http://schemas.openxmlformats.org/officeDocument/2006/relationships/hyperlink" Id="rId202" Target="https://www.planalto.gov.br/ccivil_03/_Ato2015-2018/2016/Decreto/D8777.htm" TargetMode="External" /><Relationship Type="http://schemas.openxmlformats.org/officeDocument/2006/relationships/hyperlink" Id="rId94" Target="https://www.undp.org/digital/osee" TargetMode="External" /><Relationship Type="http://schemas.openxmlformats.org/officeDocument/2006/relationships/hyperlink" Id="rId181" Target="https://www.undp.org/digital/standards/9-default-to-Open" TargetMode="External" /><Relationship Type="http://schemas.openxmlformats.org/officeDocument/2006/relationships/hyperlink" Id="rId215" Target="https://zarr.readthedocs.io/en/stable/contributing/#ai-assisted-contribu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2026-06-01T13:44:45Z</dcterms:created>
  <dcterms:modified xsi:type="dcterms:W3CDTF">2026-06-01T13:44:45Z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2026-06-01</vt:lpwstr>
  </property>
</Properties>
</file>