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2026-05-31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2026-05-31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5"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w:t>
      </w:r>
      <w:r>
        <w:t xml:space="preserve"> </w:t>
      </w:r>
      <w:r>
        <w:t xml:space="preserve">While FOSS is increasingly used across WMO Member organizations, guidance and coordination are vital to support the delivery of services with security, privacy and safety in mind.</w:t>
      </w:r>
    </w:p>
    <w:bookmarkEnd w:id="27"/>
    <w:bookmarkStart w:id="34"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strengthen international collaboration 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32"/>
    <w:bookmarkStart w:id="33"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End w:id="34"/>
    <w:bookmarkEnd w:id="35"/>
    <w:bookmarkStart w:id="123" w:name="X3148c62ae8380655b8c29f1e8f24835e28abe42"/>
    <w:p>
      <w:pPr>
        <w:pStyle w:val="Heading1"/>
      </w:pPr>
      <w:r>
        <w:t xml:space="preserve">Guidelines</w:t>
      </w:r>
    </w:p>
    <w:bookmarkStart w:id="79" w:name="Xafc3c35aae3bdfeb1706aa82a2c86b245796cb3"/>
    <w:p>
      <w:pPr>
        <w:pStyle w:val="Heading2"/>
      </w:pPr>
      <w:r>
        <w:t xml:space="preserve">WMO Members</w:t>
      </w:r>
    </w:p>
    <w:bookmarkStart w:id="38" w:name="X6e6120c13b4fdf0aca0a8db50173eb0f817f9bb"/>
    <w:p>
      <w:pPr>
        <w:pStyle w:val="Heading3"/>
      </w:pPr>
      <w:r>
        <w:t xml:space="preserve">Using FOSS</w:t>
      </w:r>
    </w:p>
    <w:bookmarkStart w:id="36" w:name="X9f39c0194175d17a1927980a996db60f4864ec7"/>
    <w:p>
      <w:pPr>
        <w:pStyle w:val="Heading4"/>
      </w:pPr>
      <w:r>
        <w:t xml:space="preserve">Risks</w:t>
      </w:r>
    </w:p>
    <w:p>
      <w:pPr>
        <w:numPr>
          <w:ilvl w:val="0"/>
          <w:numId w:val="1004"/>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4"/>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4"/>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4"/>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36"/>
    <w:bookmarkStart w:id="37"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5"/>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5"/>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37"/>
    <w:bookmarkEnd w:id="38"/>
    <w:bookmarkStart w:id="59" w:name="Xc3643c74377f85c9a4aa3b901502d228a87a410"/>
    <w:p>
      <w:pPr>
        <w:pStyle w:val="Heading3"/>
      </w:pPr>
      <w:r>
        <w:t xml:space="preserve">Contributing to FOSS</w:t>
      </w:r>
    </w:p>
    <w:bookmarkStart w:id="58"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39"/>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2"/>
      </w:r>
      <w:r>
        <w:t xml:space="preserve"> </w:t>
      </w:r>
      <w:r>
        <w:t xml:space="preserve">the Government of Canada Open First approach,</w:t>
      </w:r>
      <w:r>
        <w:rPr>
          <w:rStyle w:val="FootnoteReference"/>
        </w:rPr>
        <w:footnoteReference w:id="44"/>
      </w:r>
      <w:r>
        <w:t xml:space="preserve"> </w:t>
      </w:r>
      <w:r>
        <w:t xml:space="preserve">Australia’s Digital Service Standard (Criterion 8: Make source code open),</w:t>
      </w:r>
      <w:r>
        <w:rPr>
          <w:rStyle w:val="FootnoteReference"/>
        </w:rPr>
        <w:footnoteReference w:id="46"/>
      </w:r>
      <w:r>
        <w:t xml:space="preserve"> </w:t>
      </w:r>
      <w:r>
        <w:t xml:space="preserve">New Zealand’s NZGOAL-SE framework,</w:t>
      </w:r>
      <w:r>
        <w:rPr>
          <w:rStyle w:val="FootnoteReference"/>
        </w:rPr>
        <w:footnoteReference w:id="48"/>
      </w:r>
      <w:r>
        <w:t xml:space="preserve"> </w:t>
      </w:r>
      <w:r>
        <w:t xml:space="preserve">India’s Policy on Adoption of Open Source Software,</w:t>
      </w:r>
      <w:r>
        <w:rPr>
          <w:rStyle w:val="FootnoteReference"/>
        </w:rPr>
        <w:footnoteReference w:id="50"/>
      </w:r>
      <w:r>
        <w:t xml:space="preserve"> </w:t>
      </w:r>
      <w:r>
        <w:t xml:space="preserve">and Japan’s Open Source Promotion Report.</w:t>
      </w:r>
      <w:r>
        <w:rPr>
          <w:rStyle w:val="FootnoteReference"/>
        </w:rPr>
        <w:footnoteReference w:id="5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6"/>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4"/>
      </w:r>
    </w:p>
    <w:p>
      <w:pPr>
        <w:numPr>
          <w:ilvl w:val="0"/>
          <w:numId w:val="1006"/>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56"/>
      </w:r>
      <w:r>
        <w:t xml:space="preserve"> </w:t>
      </w:r>
      <w:r>
        <w:t xml:space="preserve">(in force from April 2024) requires public sector bodies to conduct interoperability assessments and share open source solutions for cross-border digital services.</w:t>
      </w:r>
    </w:p>
    <w:p>
      <w:pPr>
        <w:numPr>
          <w:ilvl w:val="0"/>
          <w:numId w:val="1006"/>
        </w:numPr>
      </w:pPr>
      <w:r>
        <w:t xml:space="preserve">Capacity-building programmes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58"/>
    <w:bookmarkEnd w:id="59"/>
    <w:bookmarkStart w:id="63"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0">
        <w:r>
          <w:rPr>
            <w:rStyle w:val="Hyperlink"/>
          </w:rPr>
          <w:t xml:space="preserve">GitHub</w:t>
        </w:r>
      </w:hyperlink>
      <w:r>
        <w:t xml:space="preserve">,</w:t>
      </w:r>
      <w:r>
        <w:t xml:space="preserve"> </w:t>
      </w:r>
      <w:hyperlink r:id="rId61">
        <w:r>
          <w:rPr>
            <w:rStyle w:val="Hyperlink"/>
          </w:rPr>
          <w:t xml:space="preserve">GitLab</w:t>
        </w:r>
      </w:hyperlink>
      <w:r>
        <w:t xml:space="preserve">,</w:t>
      </w:r>
      <w:r>
        <w:t xml:space="preserve"> </w:t>
      </w:r>
      <w:hyperlink r:id="rId62">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GitLab,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additional documentation for developer or other audience types (administrators, etc.)</w:t>
      </w:r>
    </w:p>
    <w:p>
      <w:pPr>
        <w:numPr>
          <w:ilvl w:val="0"/>
          <w:numId w:val="1010"/>
        </w:numPr>
      </w:pPr>
      <w:r>
        <w:t xml:space="preserve">Ensure the code is versioned (for example using Git as a version control system)</w:t>
      </w:r>
    </w:p>
    <w:bookmarkEnd w:id="63"/>
    <w:bookmarkStart w:id="68"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2"/>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2"/>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4"/>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66"/>
      </w:r>
    </w:p>
    <w:p>
      <w:pPr>
        <w:numPr>
          <w:ilvl w:val="0"/>
          <w:numId w:val="1012"/>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2"/>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2"/>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68"/>
    <w:bookmarkStart w:id="69"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69"/>
    <w:bookmarkStart w:id="78"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3"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0">
        <w:r>
          <w:rPr>
            <w:rStyle w:val="Hyperlink"/>
          </w:rPr>
          <w:t xml:space="preserve">GitHub</w:t>
        </w:r>
      </w:hyperlink>
      <w:r>
        <w:t xml:space="preserve">,</w:t>
      </w:r>
      <w:r>
        <w:t xml:space="preserve"> </w:t>
      </w:r>
      <w:hyperlink r:id="rId70">
        <w:r>
          <w:rPr>
            <w:rStyle w:val="Hyperlink"/>
          </w:rPr>
          <w:t xml:space="preserve">GitLab</w:t>
        </w:r>
      </w:hyperlink>
      <w:r>
        <w:t xml:space="preserve">, and</w:t>
      </w:r>
      <w:r>
        <w:t xml:space="preserve"> </w:t>
      </w:r>
      <w:hyperlink r:id="rId62">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1">
        <w:r>
          <w:rPr>
            <w:rStyle w:val="Hyperlink"/>
          </w:rPr>
          <w:t xml:space="preserve">Gitea</w:t>
        </w:r>
      </w:hyperlink>
      <w:r>
        <w:t xml:space="preserve">, and</w:t>
      </w:r>
      <w:r>
        <w:t xml:space="preserve"> </w:t>
      </w:r>
      <w:hyperlink r:id="rId72">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3"/>
    <w:bookmarkStart w:id="74"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4"/>
    <w:bookmarkStart w:id="76"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75">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76"/>
    <w:bookmarkStart w:id="77"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77"/>
    <w:bookmarkEnd w:id="78"/>
    <w:bookmarkEnd w:id="79"/>
    <w:bookmarkStart w:id="122" w:name="X6bcf1cf9c376d92376d2e0d9f96c3afb74e806b"/>
    <w:p>
      <w:pPr>
        <w:pStyle w:val="Heading2"/>
      </w:pPr>
      <w:r>
        <w:t xml:space="preserve">WMO Activities</w:t>
      </w:r>
    </w:p>
    <w:bookmarkStart w:id="100"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0"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3"/>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0"/>
    <w:bookmarkStart w:id="81"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4"/>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1"/>
    <w:bookmarkStart w:id="84"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2"/>
      </w:r>
      <w:r>
        <w:t xml:space="preserve"> </w:t>
      </w:r>
      <w:r>
        <w:t xml:space="preserve">provide a useful model for structuring such a lifecycle within the WMO.</w:t>
      </w:r>
    </w:p>
    <w:bookmarkEnd w:id="84"/>
    <w:bookmarkStart w:id="85"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85"/>
    <w:bookmarkStart w:id="86"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86"/>
    <w:bookmarkStart w:id="87"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87"/>
    <w:bookmarkStart w:id="99"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88">
        <w:r>
          <w:rPr>
            <w:rStyle w:val="Hyperlink"/>
          </w:rPr>
          <w:t xml:space="preserve">Open Source Geospatial Foundation (OSGeo)</w:t>
        </w:r>
      </w:hyperlink>
      <w:r>
        <w:t xml:space="preserve">, the</w:t>
      </w:r>
      <w:r>
        <w:t xml:space="preserve"> </w:t>
      </w:r>
      <w:hyperlink r:id="rId89">
        <w:r>
          <w:rPr>
            <w:rStyle w:val="Hyperlink"/>
          </w:rPr>
          <w:t xml:space="preserve">Digital Public Goods Alliance (DPGA)</w:t>
        </w:r>
      </w:hyperlink>
      <w:r>
        <w:t xml:space="preserve">, the</w:t>
      </w:r>
      <w:r>
        <w:t xml:space="preserve"> </w:t>
      </w:r>
      <w:hyperlink r:id="rId90">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1">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92">
        <w:r>
          <w:rPr>
            <w:rStyle w:val="Hyperlink"/>
          </w:rPr>
          <w:t xml:space="preserve">UNDP</w:t>
        </w:r>
      </w:hyperlink>
      <w:r>
        <w:t xml:space="preserve"> </w:t>
      </w:r>
      <w:r>
        <w:t xml:space="preserve">and</w:t>
      </w:r>
      <w:r>
        <w:t xml:space="preserve"> </w:t>
      </w:r>
      <w:hyperlink r:id="rId93">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4">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95"/>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96">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97"/>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99"/>
    <w:bookmarkEnd w:id="100"/>
    <w:bookmarkStart w:id="101"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1"/>
    <w:bookmarkStart w:id="103"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0"/>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0"/>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0"/>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0"/>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2">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3"/>
    <w:bookmarkStart w:id="109"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definitive and can be studied to better understand and/or implement a standard</w:t>
      </w:r>
    </w:p>
    <w:p>
      <w:pPr>
        <w:numPr>
          <w:ilvl w:val="0"/>
          <w:numId w:val="1021"/>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4" w:name="X70a6559818b95fce2bd9ae81c00ef1d1cefaa26"/>
    <w:p>
      <w:pPr>
        <w:pStyle w:val="Heading4"/>
      </w:pPr>
      <w:r>
        <w:t xml:space="preserve">Compliance (data exchange)</w:t>
      </w:r>
    </w:p>
    <w:p>
      <w:pPr>
        <w:numPr>
          <w:ilvl w:val="0"/>
          <w:numId w:val="1022"/>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2"/>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2"/>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4"/>
    <w:bookmarkStart w:id="105" w:name="Xd6aa053202d81f998ac3c471b2c3701964feada"/>
    <w:p>
      <w:pPr>
        <w:pStyle w:val="Heading4"/>
      </w:pPr>
      <w:r>
        <w:t xml:space="preserve">Software evaluation</w:t>
      </w:r>
    </w:p>
    <w:p>
      <w:pPr>
        <w:numPr>
          <w:ilvl w:val="0"/>
          <w:numId w:val="1023"/>
        </w:numPr>
      </w:pPr>
      <w:r>
        <w:rPr>
          <w:bCs/>
          <w:b/>
        </w:rPr>
        <w:t xml:space="preserve">Core Evaluation Checklist</w:t>
      </w:r>
      <w:r>
        <w:t xml:space="preserve">:</w:t>
      </w:r>
    </w:p>
    <w:p>
      <w:pPr>
        <w:numPr>
          <w:ilvl w:val="1"/>
          <w:numId w:val="1024"/>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4"/>
        </w:numPr>
      </w:pPr>
      <w:r>
        <w:rPr>
          <w:iCs/>
          <w:i/>
        </w:rPr>
        <w:t xml:space="preserve">Compliance</w:t>
      </w:r>
      <w:r>
        <w:t xml:space="preserve">: Licence is OSI-approved with no licence conflicts, and complies with WMO data policies and relevant regulations.</w:t>
      </w:r>
    </w:p>
    <w:p>
      <w:pPr>
        <w:numPr>
          <w:ilvl w:val="1"/>
          <w:numId w:val="1024"/>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4"/>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4"/>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3"/>
        </w:numPr>
      </w:pPr>
      <w:r>
        <w:rPr>
          <w:bCs/>
          <w:b/>
        </w:rPr>
        <w:t xml:space="preserve">Confidence Assurance:</w:t>
      </w:r>
    </w:p>
    <w:p>
      <w:pPr>
        <w:numPr>
          <w:ilvl w:val="1"/>
          <w:numId w:val="1025"/>
        </w:numPr>
      </w:pPr>
      <w:r>
        <w:t xml:space="preserve">Adopt standardized evaluation processes and quantifiable metrics to ensure objectivity and repeatability of results.</w:t>
      </w:r>
    </w:p>
    <w:p>
      <w:pPr>
        <w:numPr>
          <w:ilvl w:val="1"/>
          <w:numId w:val="1025"/>
        </w:numPr>
      </w:pPr>
      <w:r>
        <w:t xml:space="preserve">Validate core functionality through a Proof-of-Concept (PoC) approach, incorporating feedback collected from real-world operational scenarios.</w:t>
      </w:r>
    </w:p>
    <w:p>
      <w:pPr>
        <w:numPr>
          <w:ilvl w:val="1"/>
          <w:numId w:val="1025"/>
        </w:numPr>
      </w:pPr>
      <w:r>
        <w:t xml:space="preserve">Conduct multi-dimensional verification, including code audits, security vulnerability scans, and in-depth open-source community research, to confirm the reliability of the software.</w:t>
      </w:r>
    </w:p>
    <w:bookmarkEnd w:id="105"/>
    <w:bookmarkStart w:id="10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06"/>
    <w:bookmarkStart w:id="107" w:name="X7ac9eb2de0a58765e5e1d02a37aa10e96708288"/>
    <w:p>
      <w:pPr>
        <w:pStyle w:val="Heading4"/>
      </w:pPr>
      <w:r>
        <w:t xml:space="preserve">Bus/retirement factor</w:t>
      </w:r>
    </w:p>
    <w:bookmarkEnd w:id="107"/>
    <w:bookmarkStart w:id="108" w:name="Xfb9753c7dbd15fe1ef39b415a291554b843dc57"/>
    <w:p>
      <w:pPr>
        <w:pStyle w:val="Heading4"/>
      </w:pPr>
      <w:r>
        <w:t xml:space="preserve">Business Fit and Retirement Considerations</w:t>
      </w:r>
    </w:p>
    <w:p>
      <w:pPr>
        <w:numPr>
          <w:ilvl w:val="0"/>
          <w:numId w:val="1026"/>
        </w:numPr>
      </w:pPr>
      <w:r>
        <w:t xml:space="preserve">Business Fit</w:t>
      </w:r>
    </w:p>
    <w:p>
      <w:pPr>
        <w:numPr>
          <w:ilvl w:val="1"/>
          <w:numId w:val="1027"/>
        </w:numPr>
      </w:pPr>
      <w:r>
        <w:t xml:space="preserve">Offers seamless integration with existing meteorological operational processes, minimizing the need for process adjustments.</w:t>
      </w:r>
    </w:p>
    <w:p>
      <w:pPr>
        <w:numPr>
          <w:ilvl w:val="1"/>
          <w:numId w:val="1027"/>
        </w:numPr>
      </w:pPr>
      <w:r>
        <w:t xml:space="preserve">Supports custom development and feature expansion to meet evolving needs (such as business scaling and new scenario integration).</w:t>
      </w:r>
    </w:p>
    <w:p>
      <w:pPr>
        <w:numPr>
          <w:ilvl w:val="1"/>
          <w:numId w:val="1027"/>
        </w:numPr>
      </w:pPr>
      <w:r>
        <w:t xml:space="preserve">Aligns with users’ habits in meteorological operations by providing a user-friendly interface and flexible configuration options.</w:t>
      </w:r>
    </w:p>
    <w:p>
      <w:pPr>
        <w:numPr>
          <w:ilvl w:val="0"/>
          <w:numId w:val="1026"/>
        </w:numPr>
      </w:pPr>
      <w:r>
        <w:t xml:space="preserve">Retirement Planning</w:t>
      </w:r>
    </w:p>
    <w:p>
      <w:pPr>
        <w:numPr>
          <w:ilvl w:val="1"/>
          <w:numId w:val="1028"/>
        </w:numPr>
      </w:pPr>
      <w:r>
        <w:t xml:space="preserve">Establish a clear data archiving plan to ensure secure storage and traceability of historical meteorological data after the software is decommissioned.</w:t>
      </w:r>
    </w:p>
    <w:p>
      <w:pPr>
        <w:numPr>
          <w:ilvl w:val="1"/>
          <w:numId w:val="1028"/>
        </w:numPr>
      </w:pPr>
      <w:r>
        <w:t xml:space="preserve">Proactively assess the costs of migrating to new systems, and establish a smooth migration path to ensure business continuity.</w:t>
      </w:r>
    </w:p>
    <w:p>
      <w:pPr>
        <w:numPr>
          <w:ilvl w:val="1"/>
          <w:numId w:val="1028"/>
        </w:numPr>
      </w:pPr>
      <w:r>
        <w:t xml:space="preserve">Define clear responsibilities and standardized procedures for software retirement to mitigate potential risks (e.g., data leakage, system conflicts, and service disruptions).</w:t>
      </w:r>
    </w:p>
    <w:bookmarkEnd w:id="108"/>
    <w:bookmarkEnd w:id="109"/>
    <w:bookmarkStart w:id="121"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0"/>
      </w:r>
    </w:p>
    <w:p>
      <w:pPr>
        <w:pStyle w:val="BodyText"/>
      </w:pPr>
      <w:r>
        <w:t xml:space="preserve">The WMO Executive Council, through</w:t>
      </w:r>
      <w:r>
        <w:t xml:space="preserve"> </w:t>
      </w:r>
      <w:hyperlink r:id="rId11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3"/>
      </w:r>
    </w:p>
    <w:p>
      <w:pPr>
        <w:pStyle w:val="BodyText"/>
      </w:pPr>
      <w:r>
        <w:t xml:space="preserve">WIS2 is comprised of a number of key standards, including (but are not limited to):</w:t>
      </w:r>
    </w:p>
    <w:p>
      <w:pPr>
        <w:numPr>
          <w:ilvl w:val="0"/>
          <w:numId w:val="1029"/>
        </w:numPr>
      </w:pPr>
      <w:r>
        <w:t xml:space="preserve">Internet and messaging protocols for data and metadata transmission (HTTP, MQTT)</w:t>
      </w:r>
    </w:p>
    <w:p>
      <w:pPr>
        <w:numPr>
          <w:ilvl w:val="0"/>
          <w:numId w:val="1029"/>
        </w:numPr>
      </w:pPr>
      <w:r>
        <w:t xml:space="preserve">metadata encodings for dataset descriptions (WMO Core Metadata Profile) and notifications (WIS2 Notification Message)</w:t>
      </w:r>
    </w:p>
    <w:p>
      <w:pPr>
        <w:numPr>
          <w:ilvl w:val="0"/>
          <w:numId w:val="1029"/>
        </w:numPr>
      </w:pPr>
      <w:r>
        <w:t xml:space="preserve">topic structures for real-time notifications (WIS2 Topic Hierarchy)</w:t>
      </w:r>
    </w:p>
    <w:p>
      <w:pPr>
        <w:numPr>
          <w:ilvl w:val="0"/>
          <w:numId w:val="1029"/>
        </w:numPr>
      </w:pPr>
      <w:r>
        <w:t xml:space="preserve">interfaces and APIs for Global Services (Global Discovery Catalogue)</w:t>
      </w:r>
    </w:p>
    <w:p>
      <w:pPr>
        <w:pStyle w:val="FirstParagraph"/>
      </w:pPr>
      <w:r>
        <w:t xml:space="preserve">Throughout the WIS2 Implementation timeline, the</w:t>
      </w:r>
      <w:r>
        <w:t xml:space="preserve"> </w:t>
      </w:r>
      <w:hyperlink r:id="rId11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16">
              <w:r>
                <w:rPr>
                  <w:rStyle w:val="Hyperlink"/>
                </w:rPr>
                <w:t xml:space="preserve">wis2box</w:t>
              </w:r>
            </w:hyperlink>
          </w:p>
        </w:tc>
        <w:tc>
          <w:tcPr/>
          <w:p>
            <w:pPr>
              <w:jc w:val="left"/>
            </w:pPr>
            <w:r>
              <w:t xml:space="preserve">WIS2 Node</w:t>
            </w:r>
          </w:p>
        </w:tc>
      </w:tr>
      <w:tr>
        <w:tc>
          <w:tcPr/>
          <w:p>
            <w:pPr>
              <w:jc w:val="left"/>
            </w:pPr>
            <w:hyperlink r:id="rId117">
              <w:r>
                <w:rPr>
                  <w:rStyle w:val="Hyperlink"/>
                </w:rPr>
                <w:t xml:space="preserve">wis2-gdc</w:t>
              </w:r>
            </w:hyperlink>
          </w:p>
        </w:tc>
        <w:tc>
          <w:tcPr/>
          <w:p>
            <w:pPr>
              <w:jc w:val="left"/>
            </w:pPr>
            <w:r>
              <w:t xml:space="preserve">Global Discovery Catalogue</w:t>
            </w:r>
          </w:p>
        </w:tc>
      </w:tr>
      <w:tr>
        <w:tc>
          <w:tcPr/>
          <w:p>
            <w:pPr>
              <w:jc w:val="left"/>
            </w:pPr>
            <w:hyperlink r:id="rId118">
              <w:r>
                <w:rPr>
                  <w:rStyle w:val="Hyperlink"/>
                </w:rPr>
                <w:t xml:space="preserve">csv2bufr</w:t>
              </w:r>
            </w:hyperlink>
          </w:p>
        </w:tc>
        <w:tc>
          <w:tcPr/>
          <w:p>
            <w:pPr>
              <w:jc w:val="left"/>
            </w:pPr>
            <w:r>
              <w:t xml:space="preserve">CSV to BUFR encoding tool for station data</w:t>
            </w:r>
          </w:p>
        </w:tc>
      </w:tr>
      <w:tr>
        <w:tc>
          <w:tcPr/>
          <w:p>
            <w:pPr>
              <w:jc w:val="left"/>
            </w:pPr>
            <w:hyperlink r:id="rId119">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0">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1"/>
    <w:bookmarkEnd w:id="122"/>
    <w:bookmarkEnd w:id="123"/>
    <w:bookmarkStart w:id="192" w:name="X7dc5ec89ace04afa0dfcc5c2c63a457bc733b57"/>
    <w:p>
      <w:pPr>
        <w:pStyle w:val="Heading1"/>
      </w:pPr>
      <w:r>
        <w:t xml:space="preserve">References</w:t>
      </w:r>
    </w:p>
    <w:bookmarkStart w:id="135" w:name="X60dcd05f0a94584f5e7ae2f945ca5f575416e69"/>
    <w:p>
      <w:pPr>
        <w:pStyle w:val="Heading2"/>
      </w:pPr>
      <w:r>
        <w:t xml:space="preserve">FOSS practice and governance</w:t>
      </w:r>
    </w:p>
    <w:p>
      <w:pPr>
        <w:numPr>
          <w:ilvl w:val="0"/>
          <w:numId w:val="1030"/>
        </w:numPr>
      </w:pPr>
      <w:bookmarkStart w:id="124" w:name="producing-oss"/>
      <w:bookmarkEnd w:id="124"/>
      <w:r>
        <w:t xml:space="preserve"> </w:t>
      </w:r>
      <w:r>
        <w:t xml:space="preserve">Fogel, Karl: Producing Open Source Software: How to Run a Successful Free Software Project (2024)</w:t>
      </w:r>
      <w:r>
        <w:t xml:space="preserve"> </w:t>
      </w:r>
      <w:r>
        <w:rPr>
          <w:rStyle w:val="FootnoteReference"/>
        </w:rPr>
        <w:footnoteReference w:id="125"/>
      </w:r>
    </w:p>
    <w:p>
      <w:pPr>
        <w:numPr>
          <w:ilvl w:val="0"/>
          <w:numId w:val="1030"/>
        </w:numPr>
      </w:pPr>
      <w:bookmarkStart w:id="127" w:name="osor-handbook"/>
      <w:bookmarkEnd w:id="127"/>
      <w:r>
        <w:t xml:space="preserve"> </w:t>
      </w:r>
      <w:r>
        <w:t xml:space="preserve">European Commission / Open Source Observatory: OSOR Handbook on Open Source Software in Public Administration (2026)</w:t>
      </w:r>
      <w:r>
        <w:t xml:space="preserve"> </w:t>
      </w:r>
      <w:r>
        <w:rPr>
          <w:rStyle w:val="FootnoteReference"/>
        </w:rPr>
        <w:footnoteReference w:id="128"/>
      </w:r>
    </w:p>
    <w:p>
      <w:pPr>
        <w:numPr>
          <w:ilvl w:val="0"/>
          <w:numId w:val="1030"/>
        </w:numPr>
      </w:pPr>
      <w:bookmarkStart w:id="130" w:name="public-digital"/>
      <w:bookmarkEnd w:id="130"/>
      <w:r>
        <w:t xml:space="preserve"> </w:t>
      </w:r>
      <w:r>
        <w:t xml:space="preserve">Public Digital: Open Source in Government (2021)</w:t>
      </w:r>
      <w:r>
        <w:t xml:space="preserve"> </w:t>
      </w:r>
      <w:r>
        <w:rPr>
          <w:rStyle w:val="FootnoteReference"/>
        </w:rPr>
        <w:footnoteReference w:id="131"/>
      </w:r>
    </w:p>
    <w:p>
      <w:pPr>
        <w:numPr>
          <w:ilvl w:val="0"/>
          <w:numId w:val="1030"/>
        </w:numPr>
      </w:pPr>
      <w:bookmarkStart w:id="133" w:name="public-money-public-code"/>
      <w:bookmarkEnd w:id="133"/>
      <w:r>
        <w:t xml:space="preserve"> </w:t>
      </w:r>
      <w:r>
        <w:t xml:space="preserve">Free Software Foundation Europe: Public Money? Public Code!</w:t>
      </w:r>
      <w:r>
        <w:t xml:space="preserve"> </w:t>
      </w:r>
      <w:r>
        <w:rPr>
          <w:rStyle w:val="FootnoteReference"/>
        </w:rPr>
        <w:footnoteReference w:id="134"/>
      </w:r>
    </w:p>
    <w:bookmarkEnd w:id="135"/>
    <w:bookmarkStart w:id="143" w:name="X8474ffd35f348d5ae6783f3fe284806fdb3105a"/>
    <w:p>
      <w:pPr>
        <w:pStyle w:val="Heading2"/>
      </w:pPr>
      <w:r>
        <w:t xml:space="preserve">Economic impact studies</w:t>
      </w:r>
    </w:p>
    <w:p>
      <w:pPr>
        <w:numPr>
          <w:ilvl w:val="0"/>
          <w:numId w:val="1031"/>
        </w:numPr>
      </w:pPr>
      <w:bookmarkStart w:id="136" w:name="ec-oss-impact"/>
      <w:bookmarkEnd w:id="136"/>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37"/>
      </w:r>
    </w:p>
    <w:p>
      <w:pPr>
        <w:numPr>
          <w:ilvl w:val="0"/>
          <w:numId w:val="1031"/>
        </w:numPr>
      </w:pPr>
      <w:bookmarkStart w:id="138" w:name="wb-geonode-roi"/>
      <w:bookmarkEnd w:id="138"/>
      <w:r>
        <w:t xml:space="preserve"> </w:t>
      </w:r>
      <w:r>
        <w:t xml:space="preserve">GFDRR/World Bank: OpenDRI and GeoNode — A Case Study for Institutional Investment in Open Source</w:t>
      </w:r>
      <w:r>
        <w:t xml:space="preserve"> </w:t>
      </w:r>
      <w:r>
        <w:rPr>
          <w:rStyle w:val="FootnoteReference"/>
        </w:rPr>
        <w:footnoteReference w:id="139"/>
      </w:r>
    </w:p>
    <w:p>
      <w:pPr>
        <w:numPr>
          <w:ilvl w:val="0"/>
          <w:numId w:val="1031"/>
        </w:numPr>
      </w:pPr>
      <w:bookmarkStart w:id="140" w:name="lf-roi"/>
      <w:bookmarkEnd w:id="140"/>
      <w:r>
        <w:t xml:space="preserve"> </w:t>
      </w:r>
      <w:r>
        <w:t xml:space="preserve">Linux Foundation: Active Open Source Contribution Delivers 2–5x ROI (2025)</w:t>
      </w:r>
      <w:r>
        <w:t xml:space="preserve"> </w:t>
      </w:r>
      <w:r>
        <w:rPr>
          <w:rStyle w:val="FootnoteReference"/>
        </w:rPr>
        <w:footnoteReference w:id="141"/>
      </w:r>
    </w:p>
    <w:bookmarkEnd w:id="143"/>
    <w:bookmarkStart w:id="172" w:name="Xc896f75200517b843631aaf28651998d53f808f"/>
    <w:p>
      <w:pPr>
        <w:pStyle w:val="Heading2"/>
      </w:pPr>
      <w:r>
        <w:t xml:space="preserve">National and regional policies</w:t>
      </w:r>
    </w:p>
    <w:p>
      <w:pPr>
        <w:numPr>
          <w:ilvl w:val="0"/>
          <w:numId w:val="1032"/>
        </w:numPr>
      </w:pPr>
      <w:bookmarkStart w:id="144" w:name="ec-oss-strategy"/>
      <w:bookmarkEnd w:id="144"/>
      <w:r>
        <w:t xml:space="preserve"> </w:t>
      </w:r>
      <w:r>
        <w:t xml:space="preserve">European Commission: Open Source Software Strategy 2020–2023 — Think Open (2020)</w:t>
      </w:r>
      <w:r>
        <w:t xml:space="preserve"> </w:t>
      </w:r>
      <w:r>
        <w:rPr>
          <w:rStyle w:val="FootnoteReference"/>
        </w:rPr>
        <w:footnoteReference w:id="145"/>
      </w:r>
    </w:p>
    <w:p>
      <w:pPr>
        <w:numPr>
          <w:ilvl w:val="0"/>
          <w:numId w:val="1032"/>
        </w:numPr>
      </w:pPr>
      <w:bookmarkStart w:id="147" w:name="interoperable-europe-act"/>
      <w:bookmarkEnd w:id="147"/>
      <w:r>
        <w:t xml:space="preserve"> </w:t>
      </w:r>
      <w:r>
        <w:t xml:space="preserve">Regulation (EU) 2024/903: Interoperable Europe Act</w:t>
      </w:r>
      <w:r>
        <w:t xml:space="preserve"> </w:t>
      </w:r>
      <w:r>
        <w:rPr>
          <w:rStyle w:val="FootnoteReference"/>
        </w:rPr>
        <w:footnoteReference w:id="148"/>
      </w:r>
    </w:p>
    <w:p>
      <w:pPr>
        <w:numPr>
          <w:ilvl w:val="0"/>
          <w:numId w:val="1032"/>
        </w:numPr>
      </w:pPr>
      <w:bookmarkStart w:id="149" w:name="eu-cra"/>
      <w:bookmarkEnd w:id="149"/>
      <w:r>
        <w:t xml:space="preserve"> </w:t>
      </w:r>
      <w:r>
        <w:t xml:space="preserve">Regulation (EU) 2024/2847: Cyber Resilience Act — open source implications</w:t>
      </w:r>
      <w:r>
        <w:t xml:space="preserve"> </w:t>
      </w:r>
      <w:r>
        <w:rPr>
          <w:rStyle w:val="FootnoteReference"/>
        </w:rPr>
        <w:footnoteReference w:id="150"/>
      </w:r>
    </w:p>
    <w:p>
      <w:pPr>
        <w:numPr>
          <w:ilvl w:val="0"/>
          <w:numId w:val="1032"/>
        </w:numPr>
      </w:pPr>
      <w:bookmarkStart w:id="152" w:name="us-fsc-policy"/>
      <w:bookmarkEnd w:id="152"/>
      <w:r>
        <w:t xml:space="preserve"> </w:t>
      </w:r>
      <w:r>
        <w:t xml:space="preserve">United States Office of Management and Budget: Federal Source Code Policy (OMB M-16-21, 2016)</w:t>
      </w:r>
      <w:r>
        <w:t xml:space="preserve"> </w:t>
      </w:r>
      <w:r>
        <w:rPr>
          <w:rStyle w:val="FootnoteReference"/>
        </w:rPr>
        <w:footnoteReference w:id="153"/>
      </w:r>
    </w:p>
    <w:p>
      <w:pPr>
        <w:numPr>
          <w:ilvl w:val="0"/>
          <w:numId w:val="1032"/>
        </w:numPr>
      </w:pPr>
      <w:bookmarkStart w:id="154" w:name="ca-open-first"/>
      <w:bookmarkEnd w:id="154"/>
      <w:r>
        <w:t xml:space="preserve"> </w:t>
      </w:r>
      <w:r>
        <w:t xml:space="preserve">Government of Canada: Open First Whitepaper (2020)</w:t>
      </w:r>
      <w:r>
        <w:t xml:space="preserve"> </w:t>
      </w:r>
      <w:r>
        <w:rPr>
          <w:rStyle w:val="FootnoteReference"/>
        </w:rPr>
        <w:footnoteReference w:id="155"/>
      </w:r>
    </w:p>
    <w:p>
      <w:pPr>
        <w:numPr>
          <w:ilvl w:val="0"/>
          <w:numId w:val="1032"/>
        </w:numPr>
      </w:pPr>
      <w:bookmarkStart w:id="156" w:name="au-dss"/>
      <w:bookmarkEnd w:id="156"/>
      <w:r>
        <w:t xml:space="preserve"> </w:t>
      </w:r>
      <w:r>
        <w:t xml:space="preserve">Australian Government Digital Transformation Agency: Digital Service Standard — Criterion 8: Make source code open</w:t>
      </w:r>
      <w:r>
        <w:t xml:space="preserve"> </w:t>
      </w:r>
      <w:r>
        <w:rPr>
          <w:rStyle w:val="FootnoteReference"/>
        </w:rPr>
        <w:footnoteReference w:id="157"/>
      </w:r>
    </w:p>
    <w:p>
      <w:pPr>
        <w:numPr>
          <w:ilvl w:val="0"/>
          <w:numId w:val="1032"/>
        </w:numPr>
      </w:pPr>
      <w:bookmarkStart w:id="158" w:name="nz-nzgoal-se"/>
      <w:bookmarkEnd w:id="158"/>
      <w:r>
        <w:t xml:space="preserve"> </w:t>
      </w:r>
      <w:r>
        <w:t xml:space="preserve">New Zealand Government: NZGOAL Software Extension (NZGOAL-SE)</w:t>
      </w:r>
      <w:r>
        <w:t xml:space="preserve"> </w:t>
      </w:r>
      <w:r>
        <w:rPr>
          <w:rStyle w:val="FootnoteReference"/>
        </w:rPr>
        <w:footnoteReference w:id="159"/>
      </w:r>
    </w:p>
    <w:p>
      <w:pPr>
        <w:numPr>
          <w:ilvl w:val="0"/>
          <w:numId w:val="1032"/>
        </w:numPr>
      </w:pPr>
      <w:bookmarkStart w:id="160" w:name="india-oss-policy"/>
      <w:bookmarkEnd w:id="160"/>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1"/>
      </w:r>
    </w:p>
    <w:p>
      <w:pPr>
        <w:numPr>
          <w:ilvl w:val="0"/>
          <w:numId w:val="1032"/>
        </w:numPr>
      </w:pPr>
      <w:bookmarkStart w:id="162" w:name="japan-ipa-2024"/>
      <w:bookmarkEnd w:id="162"/>
      <w:r>
        <w:t xml:space="preserve"> </w:t>
      </w:r>
      <w:r>
        <w:t xml:space="preserve">Information-technology Promotion Agency (IPA), Japan: 2024 Open Source Promotion Report</w:t>
      </w:r>
      <w:r>
        <w:t xml:space="preserve"> </w:t>
      </w:r>
      <w:r>
        <w:rPr>
          <w:rStyle w:val="FootnoteReference"/>
        </w:rPr>
        <w:footnoteReference w:id="163"/>
      </w:r>
    </w:p>
    <w:p>
      <w:pPr>
        <w:numPr>
          <w:ilvl w:val="0"/>
          <w:numId w:val="1032"/>
        </w:numPr>
      </w:pPr>
      <w:bookmarkStart w:id="164" w:name="brazil-spb"/>
      <w:bookmarkEnd w:id="164"/>
      <w:r>
        <w:t xml:space="preserve"> </w:t>
      </w:r>
      <w:r>
        <w:t xml:space="preserve">Government of Brazil: Portal do Software Público Brasileiro</w:t>
      </w:r>
      <w:r>
        <w:t xml:space="preserve"> </w:t>
      </w:r>
      <w:r>
        <w:rPr>
          <w:rStyle w:val="FootnoteReference"/>
        </w:rPr>
        <w:footnoteReference w:id="165"/>
      </w:r>
    </w:p>
    <w:p>
      <w:pPr>
        <w:numPr>
          <w:ilvl w:val="0"/>
          <w:numId w:val="1032"/>
        </w:numPr>
      </w:pPr>
      <w:bookmarkStart w:id="167" w:name="au-digital-transformation"/>
      <w:bookmarkEnd w:id="167"/>
      <w:r>
        <w:t xml:space="preserve"> </w:t>
      </w:r>
      <w:r>
        <w:t xml:space="preserve">African Union Commission: Digital Transformation Strategy for Africa 2020–2030</w:t>
      </w:r>
      <w:r>
        <w:t xml:space="preserve"> </w:t>
      </w:r>
      <w:r>
        <w:rPr>
          <w:rStyle w:val="FootnoteReference"/>
        </w:rPr>
        <w:footnoteReference w:id="168"/>
      </w:r>
    </w:p>
    <w:p>
      <w:pPr>
        <w:numPr>
          <w:ilvl w:val="0"/>
          <w:numId w:val="1032"/>
        </w:numPr>
      </w:pPr>
      <w:bookmarkStart w:id="170" w:name="csis-oss-policies"/>
      <w:bookmarkEnd w:id="170"/>
      <w:r>
        <w:t xml:space="preserve"> </w:t>
      </w:r>
      <w:r>
        <w:t xml:space="preserve">Center for Strategic and International Studies (CSIS): Government Open Source Software Policies database</w:t>
      </w:r>
      <w:r>
        <w:t xml:space="preserve"> </w:t>
      </w:r>
      <w:r>
        <w:rPr>
          <w:rStyle w:val="FootnoteReference"/>
        </w:rPr>
        <w:footnoteReference w:id="171"/>
      </w:r>
    </w:p>
    <w:bookmarkEnd w:id="172"/>
    <w:bookmarkStart w:id="185" w:name="X18ff0ed8f6a1232271ed94da238c01a3f2eef14"/>
    <w:p>
      <w:pPr>
        <w:pStyle w:val="Heading2"/>
      </w:pPr>
      <w:r>
        <w:t xml:space="preserve">Multilateral and international resources</w:t>
      </w:r>
    </w:p>
    <w:p>
      <w:pPr>
        <w:numPr>
          <w:ilvl w:val="0"/>
          <w:numId w:val="1033"/>
        </w:numPr>
      </w:pPr>
      <w:bookmarkStart w:id="173" w:name="dpga-standard"/>
      <w:bookmarkEnd w:id="173"/>
      <w:r>
        <w:t xml:space="preserve"> </w:t>
      </w:r>
      <w:r>
        <w:t xml:space="preserve">Digital Public Goods Alliance: Digital Public Goods Standard</w:t>
      </w:r>
      <w:r>
        <w:t xml:space="preserve"> </w:t>
      </w:r>
      <w:r>
        <w:rPr>
          <w:rStyle w:val="FootnoteReference"/>
        </w:rPr>
        <w:footnoteReference w:id="174"/>
      </w:r>
    </w:p>
    <w:p>
      <w:pPr>
        <w:numPr>
          <w:ilvl w:val="0"/>
          <w:numId w:val="1033"/>
        </w:numPr>
      </w:pPr>
      <w:bookmarkStart w:id="175" w:name="undp-osee"/>
      <w:bookmarkEnd w:id="175"/>
      <w:r>
        <w:t xml:space="preserve"> </w:t>
      </w:r>
      <w:r>
        <w:t xml:space="preserve">UNDP / ITU: Open Source Ecosystem Enabler (OSEE)</w:t>
      </w:r>
      <w:r>
        <w:t xml:space="preserve"> </w:t>
      </w:r>
      <w:r>
        <w:rPr>
          <w:rStyle w:val="FootnoteReference"/>
        </w:rPr>
        <w:footnoteReference w:id="176"/>
      </w:r>
    </w:p>
    <w:p>
      <w:pPr>
        <w:numPr>
          <w:ilvl w:val="0"/>
          <w:numId w:val="1033"/>
        </w:numPr>
      </w:pPr>
      <w:bookmarkStart w:id="177" w:name="undp-default-open"/>
      <w:bookmarkEnd w:id="177"/>
      <w:r>
        <w:t xml:space="preserve"> </w:t>
      </w:r>
      <w:r>
        <w:t xml:space="preserve">UNDP Digital Standards — Standard 9: Default to Open</w:t>
      </w:r>
      <w:r>
        <w:t xml:space="preserve"> </w:t>
      </w:r>
      <w:r>
        <w:rPr>
          <w:rStyle w:val="FootnoteReference"/>
        </w:rPr>
        <w:footnoteReference w:id="178"/>
      </w:r>
    </w:p>
    <w:p>
      <w:pPr>
        <w:numPr>
          <w:ilvl w:val="0"/>
          <w:numId w:val="1033"/>
        </w:numPr>
      </w:pPr>
      <w:bookmarkStart w:id="180" w:name="wb-oss-global"/>
      <w:bookmarkEnd w:id="180"/>
      <w:r>
        <w:t xml:space="preserve"> </w:t>
      </w:r>
      <w:r>
        <w:t xml:space="preserve">World Bank: Open Source for Global Public Goods (2020)</w:t>
      </w:r>
      <w:r>
        <w:t xml:space="preserve"> </w:t>
      </w:r>
      <w:r>
        <w:rPr>
          <w:rStyle w:val="FootnoteReference"/>
        </w:rPr>
        <w:footnoteReference w:id="181"/>
      </w:r>
    </w:p>
    <w:p>
      <w:pPr>
        <w:numPr>
          <w:ilvl w:val="0"/>
          <w:numId w:val="1033"/>
        </w:numPr>
      </w:pPr>
      <w:bookmarkStart w:id="183" w:name="osor-country-intel"/>
      <w:bookmarkEnd w:id="183"/>
      <w:r>
        <w:t xml:space="preserve"> </w:t>
      </w:r>
      <w:r>
        <w:t xml:space="preserve">EU Open Source Observatory: Open Source Software Country Intelligence (60+ countries)</w:t>
      </w:r>
      <w:r>
        <w:t xml:space="preserve"> </w:t>
      </w:r>
      <w:r>
        <w:rPr>
          <w:rStyle w:val="FootnoteReference"/>
        </w:rPr>
        <w:footnoteReference w:id="184"/>
      </w:r>
    </w:p>
    <w:bookmarkEnd w:id="185"/>
    <w:bookmarkStart w:id="191" w:name="X1bc7e6b4fc0225a0d72d26b79f533628acb17c9"/>
    <w:p>
      <w:pPr>
        <w:pStyle w:val="Heading2"/>
      </w:pPr>
      <w:r>
        <w:t xml:space="preserve">Meteorological sector</w:t>
      </w:r>
    </w:p>
    <w:p>
      <w:pPr>
        <w:numPr>
          <w:ilvl w:val="0"/>
          <w:numId w:val="1034"/>
        </w:numPr>
      </w:pPr>
      <w:bookmarkStart w:id="186" w:name="ecmwf-code-for-earth"/>
      <w:bookmarkEnd w:id="186"/>
      <w:r>
        <w:t xml:space="preserve"> </w:t>
      </w:r>
      <w:r>
        <w:t xml:space="preserve">ECMWF / Copernicus Climate Change Service: Code for Earth</w:t>
      </w:r>
      <w:r>
        <w:t xml:space="preserve"> </w:t>
      </w:r>
      <w:r>
        <w:rPr>
          <w:rStyle w:val="FootnoteReference"/>
        </w:rPr>
        <w:footnoteReference w:id="187"/>
      </w:r>
    </w:p>
    <w:p>
      <w:pPr>
        <w:numPr>
          <w:ilvl w:val="0"/>
          <w:numId w:val="1034"/>
        </w:numPr>
      </w:pPr>
      <w:bookmarkStart w:id="188" w:name="wis2-transition"/>
      <w:bookmarkEnd w:id="188"/>
      <w:r>
        <w:t xml:space="preserve"> </w:t>
      </w:r>
      <w:r>
        <w:t xml:space="preserve">WMO: WIS2 Transition Guide</w:t>
      </w:r>
      <w:r>
        <w:t xml:space="preserve"> </w:t>
      </w:r>
      <w:r>
        <w:rPr>
          <w:rStyle w:val="FootnoteReference"/>
        </w:rPr>
        <w:footnoteReference w:id="189"/>
      </w:r>
    </w:p>
    <w:bookmarkEnd w:id="191"/>
    <w:bookmarkEnd w:id="192"/>
    <w:bookmarkStart w:id="193"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3"/>
    <w:bookmarkStart w:id="203" w:name="annex-data-policies"/>
    <w:p>
      <w:pPr>
        <w:pStyle w:val="Heading1"/>
      </w:pPr>
      <w:r>
        <w:t xml:space="preserve">Data policies</w:t>
      </w:r>
    </w:p>
    <w:bookmarkStart w:id="194" w:name="Xf8e6d9ee3bd441760d5e204de320a5d72770405"/>
    <w:p>
      <w:pPr>
        <w:pStyle w:val="Heading2"/>
      </w:pPr>
      <w:r>
        <w:t xml:space="preserve">Global</w:t>
      </w:r>
    </w:p>
    <w:p>
      <w:pPr>
        <w:numPr>
          <w:ilvl w:val="0"/>
          <w:numId w:val="1035"/>
        </w:numPr>
      </w:pPr>
      <w:r>
        <w:t xml:space="preserve">World Meteorological Organisation (WMO)</w:t>
      </w:r>
    </w:p>
    <w:p>
      <w:pPr>
        <w:numPr>
          <w:ilvl w:val="1"/>
          <w:numId w:val="1036"/>
        </w:numPr>
      </w:pPr>
      <w:hyperlink r:id="rId28">
        <w:r>
          <w:rPr>
            <w:rStyle w:val="Hyperlink"/>
          </w:rPr>
          <w:t xml:space="preserve">https://wmo.int/wmo-unified-data-policy-resolution-res1</w:t>
        </w:r>
      </w:hyperlink>
    </w:p>
    <w:bookmarkEnd w:id="194"/>
    <w:bookmarkStart w:id="199" w:name="X9541bc49e02a401f01921082827d3ca0aae0ff4"/>
    <w:p>
      <w:pPr>
        <w:pStyle w:val="Heading2"/>
      </w:pPr>
      <w:r>
        <w:t xml:space="preserve">Regional</w:t>
      </w:r>
    </w:p>
    <w:p>
      <w:pPr>
        <w:numPr>
          <w:ilvl w:val="0"/>
          <w:numId w:val="1037"/>
        </w:numPr>
      </w:pPr>
      <w:r>
        <w:t xml:space="preserve">European Union (EU)</w:t>
      </w:r>
    </w:p>
    <w:p>
      <w:pPr>
        <w:numPr>
          <w:ilvl w:val="1"/>
          <w:numId w:val="1038"/>
        </w:numPr>
      </w:pPr>
      <w:hyperlink r:id="rId195">
        <w:r>
          <w:rPr>
            <w:rStyle w:val="Hyperlink"/>
          </w:rPr>
          <w:t xml:space="preserve">https://digital-strategy.ec.europa.eu/en/policies/legislation-open-data</w:t>
        </w:r>
      </w:hyperlink>
    </w:p>
    <w:p>
      <w:pPr>
        <w:numPr>
          <w:ilvl w:val="0"/>
          <w:numId w:val="1037"/>
        </w:numPr>
      </w:pPr>
      <w:r>
        <w:t xml:space="preserve">European Centre for Medium-Range Weather Forecasts (ECMWF)</w:t>
      </w:r>
    </w:p>
    <w:p>
      <w:pPr>
        <w:numPr>
          <w:ilvl w:val="1"/>
          <w:numId w:val="1039"/>
        </w:numPr>
      </w:pPr>
      <w:hyperlink r:id="rId196">
        <w:r>
          <w:rPr>
            <w:rStyle w:val="Hyperlink"/>
          </w:rPr>
          <w:t xml:space="preserve">https://www.ecmwf.int/en/forecasts/datasets/open-data</w:t>
        </w:r>
      </w:hyperlink>
    </w:p>
    <w:p>
      <w:pPr>
        <w:numPr>
          <w:ilvl w:val="1"/>
          <w:numId w:val="1039"/>
        </w:numPr>
      </w:pPr>
      <w:hyperlink r:id="rId197">
        <w:r>
          <w:rPr>
            <w:rStyle w:val="Hyperlink"/>
          </w:rPr>
          <w:t xml:space="preserve">https://www.ecmwf.int/en/forecasts/access-forecasts/access-real-time-open-data</w:t>
        </w:r>
      </w:hyperlink>
    </w:p>
    <w:p>
      <w:pPr>
        <w:numPr>
          <w:ilvl w:val="1"/>
          <w:numId w:val="1039"/>
        </w:numPr>
      </w:pPr>
      <w:hyperlink r:id="rId198">
        <w:r>
          <w:rPr>
            <w:rStyle w:val="Hyperlink"/>
          </w:rPr>
          <w:t xml:space="preserve">https://data.ecmwf.int/</w:t>
        </w:r>
      </w:hyperlink>
    </w:p>
    <w:bookmarkEnd w:id="199"/>
    <w:bookmarkStart w:id="202" w:name="X2ed8ed9cb1cd47f820628ba1e070fc45247027d"/>
    <w:p>
      <w:pPr>
        <w:pStyle w:val="Heading2"/>
      </w:pPr>
      <w:r>
        <w:t xml:space="preserve">National</w:t>
      </w:r>
    </w:p>
    <w:p>
      <w:pPr>
        <w:numPr>
          <w:ilvl w:val="0"/>
          <w:numId w:val="1040"/>
        </w:numPr>
      </w:pPr>
      <w:r>
        <w:t xml:space="preserve">Canada</w:t>
      </w:r>
    </w:p>
    <w:p>
      <w:pPr>
        <w:numPr>
          <w:ilvl w:val="1"/>
          <w:numId w:val="1041"/>
        </w:numPr>
      </w:pPr>
      <w:hyperlink r:id="rId200">
        <w:r>
          <w:rPr>
            <w:rStyle w:val="Hyperlink"/>
          </w:rPr>
          <w:t xml:space="preserve">https://www.canada.ca/en/government/system/digital-government/digital-government-innovations/information-management.html</w:t>
        </w:r>
      </w:hyperlink>
    </w:p>
    <w:p>
      <w:pPr>
        <w:numPr>
          <w:ilvl w:val="0"/>
          <w:numId w:val="1040"/>
        </w:numPr>
      </w:pPr>
      <w:r>
        <w:t xml:space="preserve">Brazil</w:t>
      </w:r>
    </w:p>
    <w:p>
      <w:pPr>
        <w:numPr>
          <w:ilvl w:val="1"/>
          <w:numId w:val="1042"/>
        </w:numPr>
      </w:pPr>
      <w:hyperlink r:id="rId201">
        <w:r>
          <w:rPr>
            <w:rStyle w:val="Hyperlink"/>
          </w:rPr>
          <w:t xml:space="preserve">https://www.planalto.gov.br/ccivil_03/_Ato2015-2018/2016/Decreto/D8777.htm</w:t>
        </w:r>
      </w:hyperlink>
    </w:p>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9">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0">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1">
        <w:r>
          <w:rPr>
            <w:rStyle w:val="Hyperlink"/>
          </w:rPr>
          <w:t xml:space="preserve">https://interoperable-europe.ec.europa.eu/collection/open-source-observatory-osor/open-source-software-country-intelligence</w:t>
        </w:r>
      </w:hyperlink>
    </w:p>
  </w:footnote>
  <w:footnote w:id="42">
    <w:p>
      <w:pPr>
        <w:pStyle w:val="FootnoteText"/>
      </w:pPr>
      <w:r>
        <w:rPr>
          <w:rStyle w:val="FootnoteReference"/>
        </w:rPr>
        <w:footnoteRef/>
      </w:r>
      <w:r>
        <w:t xml:space="preserve"> </w:t>
      </w:r>
      <w:r>
        <w:t xml:space="preserve">OMB Memorandum M-16-21, August 2016:</w:t>
      </w:r>
      <w:r>
        <w:t xml:space="preserve"> </w:t>
      </w:r>
      <w:hyperlink r:id="rId43">
        <w:r>
          <w:rPr>
            <w:rStyle w:val="Hyperlink"/>
          </w:rPr>
          <w:t xml:space="preserve">https://obamawhitehouse.archives.gov/sites/default/files/omb/memoranda/2016/m_16_21.pdf</w:t>
        </w:r>
      </w:hyperlink>
    </w:p>
  </w:footnote>
  <w:footnote w:id="44">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46">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48">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50">
    <w:p>
      <w:pPr>
        <w:pStyle w:val="FootnoteText"/>
      </w:pPr>
      <w:r>
        <w:rPr>
          <w:rStyle w:val="FootnoteReference"/>
        </w:rPr>
        <w:footnoteRef/>
      </w:r>
      <w:r>
        <w:t xml:space="preserve"> </w:t>
      </w:r>
      <w:r>
        <w:t xml:space="preserve">Ministry of Electronics and Information Technology (MeitY), 2015:</w:t>
      </w:r>
      <w:r>
        <w:t xml:space="preserve"> </w:t>
      </w:r>
      <w:hyperlink r:id="rId51">
        <w:r>
          <w:rPr>
            <w:rStyle w:val="Hyperlink"/>
          </w:rPr>
          <w:t xml:space="preserve">https://www.meity.gov.in/static/uploads/2024/02/policy_on_adoption_of_oss.pdf</w:t>
        </w:r>
      </w:hyperlink>
    </w:p>
  </w:footnote>
  <w:footnote w:id="52">
    <w:p>
      <w:pPr>
        <w:pStyle w:val="FootnoteText"/>
      </w:pPr>
      <w:r>
        <w:rPr>
          <w:rStyle w:val="FootnoteReference"/>
        </w:rPr>
        <w:footnoteRef/>
      </w:r>
      <w:r>
        <w:t xml:space="preserve"> </w:t>
      </w:r>
      <w:r>
        <w:t xml:space="preserve">Information-technology Promotion Agency (IPA), 2024:</w:t>
      </w:r>
      <w:r>
        <w:t xml:space="preserve"> </w:t>
      </w:r>
      <w:hyperlink r:id="rId53">
        <w:r>
          <w:rPr>
            <w:rStyle w:val="Hyperlink"/>
          </w:rPr>
          <w:t xml:space="preserve">https://interoperable-europe.ec.europa.eu/collection/open-source-observatory-osor/news/japans-2024-open-source-promotion-report</w:t>
        </w:r>
      </w:hyperlink>
    </w:p>
  </w:footnote>
  <w:footnote w:id="5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56">
    <w:p>
      <w:pPr>
        <w:pStyle w:val="FootnoteText"/>
      </w:pPr>
      <w:r>
        <w:rPr>
          <w:rStyle w:val="FootnoteReference"/>
        </w:rPr>
        <w:footnoteRef/>
      </w:r>
      <w:r>
        <w:t xml:space="preserve"> </w:t>
      </w:r>
      <w:r>
        <w:t xml:space="preserve">Regulation (EU) 2024/903:</w:t>
      </w:r>
      <w:r>
        <w:t xml:space="preserve"> </w:t>
      </w:r>
      <w:hyperlink r:id="rId57">
        <w:r>
          <w:rPr>
            <w:rStyle w:val="Hyperlink"/>
          </w:rPr>
          <w:t xml:space="preserve">https://interoperable-europe.ec.europa.eu/interoperable-europe/interoperable-europe-act</w:t>
        </w:r>
      </w:hyperlink>
    </w:p>
  </w:footnote>
  <w:footnote w:id="64">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65">
        <w:r>
          <w:rPr>
            <w:rStyle w:val="Hyperlink"/>
          </w:rPr>
          <w:t xml:space="preserve">https://digital-strategy.ec.europa.eu/en/library/study-about-impact-open-source-software-and-hardware-technological-independence-competitiveness-and</w:t>
        </w:r>
      </w:hyperlink>
    </w:p>
  </w:footnote>
  <w:footnote w:id="66">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82">
    <w:p>
      <w:pPr>
        <w:pStyle w:val="FootnoteText"/>
      </w:pPr>
      <w:r>
        <w:rPr>
          <w:rStyle w:val="FootnoteReference"/>
        </w:rPr>
        <w:footnoteRef/>
      </w:r>
      <w:r>
        <w:t xml:space="preserve"> </w:t>
      </w:r>
      <w:hyperlink r:id="rId83">
        <w:r>
          <w:rPr>
            <w:rStyle w:val="Hyperlink"/>
          </w:rPr>
          <w:t xml:space="preserve">https://www.osgeo.org/resources/project-graduation-checklist/</w:t>
        </w:r>
      </w:hyperlink>
    </w:p>
  </w:footnote>
  <w:footnote w:id="9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7">
        <w:r>
          <w:rPr>
            <w:rStyle w:val="Hyperlink"/>
          </w:rPr>
          <w:t xml:space="preserve">https://blogs.worldbank.org/en/opendata/leveraging-open-source-public-institution-new-analysis-reveals-significant-returns-investment-open</w:t>
        </w:r>
      </w:hyperlink>
    </w:p>
  </w:footnote>
  <w:footnote w:id="9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10">
    <w:p>
      <w:pPr>
        <w:pStyle w:val="FootnoteText"/>
      </w:pPr>
      <w:r>
        <w:rPr>
          <w:rStyle w:val="FootnoteReference"/>
        </w:rPr>
        <w:footnoteRef/>
      </w:r>
      <w:r>
        <w:t xml:space="preserve"> </w:t>
      </w:r>
      <w:hyperlink r:id="rId111">
        <w:r>
          <w:rPr>
            <w:rStyle w:val="Hyperlink"/>
          </w:rPr>
          <w:t xml:space="preserve">https://wmo.int/wis-20</w:t>
        </w:r>
      </w:hyperlink>
    </w:p>
  </w:footnote>
  <w:footnote w:id="113">
    <w:p>
      <w:pPr>
        <w:pStyle w:val="FootnoteText"/>
      </w:pPr>
      <w:r>
        <w:rPr>
          <w:rStyle w:val="FootnoteReference"/>
        </w:rPr>
        <w:footnoteRef/>
      </w:r>
      <w:r>
        <w:t xml:space="preserve"> </w:t>
      </w:r>
      <w:hyperlink r:id="rId114">
        <w:r>
          <w:rPr>
            <w:rStyle w:val="Hyperlink"/>
          </w:rPr>
          <w:t xml:space="preserve">https://wmo-im.github.io/wis2-transition-guide/transition-guide/wis2-transition-guide-APPROVED.html#_1_introduction</w:t>
        </w:r>
      </w:hyperlink>
    </w:p>
  </w:footnote>
  <w:footnote w:id="125">
    <w:p>
      <w:pPr>
        <w:pStyle w:val="FootnoteText"/>
      </w:pPr>
      <w:r>
        <w:rPr>
          <w:rStyle w:val="FootnoteReference"/>
        </w:rPr>
        <w:footnoteRef/>
      </w:r>
      <w:r>
        <w:t xml:space="preserve"> </w:t>
      </w:r>
      <w:hyperlink r:id="rId126">
        <w:r>
          <w:rPr>
            <w:rStyle w:val="Hyperlink"/>
          </w:rPr>
          <w:t xml:space="preserve">https://producingoss.com</w:t>
        </w:r>
      </w:hyperlink>
    </w:p>
  </w:footnote>
  <w:footnote w:id="128">
    <w:p>
      <w:pPr>
        <w:pStyle w:val="FootnoteText"/>
      </w:pPr>
      <w:r>
        <w:rPr>
          <w:rStyle w:val="FootnoteReference"/>
        </w:rPr>
        <w:footnoteRef/>
      </w:r>
      <w:r>
        <w:t xml:space="preserve"> </w:t>
      </w:r>
      <w:hyperlink r:id="rId129">
        <w:r>
          <w:rPr>
            <w:rStyle w:val="Hyperlink"/>
          </w:rPr>
          <w:t xml:space="preserve">https://interoperable-europe.ec.europa.eu/collection/open-source-observatory-osor/news/updated-osor-handbook-published</w:t>
        </w:r>
      </w:hyperlink>
    </w:p>
  </w:footnote>
  <w:footnote w:id="131">
    <w:p>
      <w:pPr>
        <w:pStyle w:val="FootnoteText"/>
      </w:pPr>
      <w:r>
        <w:rPr>
          <w:rStyle w:val="FootnoteReference"/>
        </w:rPr>
        <w:footnoteRef/>
      </w:r>
      <w:r>
        <w:t xml:space="preserve"> </w:t>
      </w:r>
      <w:hyperlink r:id="rId132">
        <w:r>
          <w:rPr>
            <w:rStyle w:val="Hyperlink"/>
          </w:rPr>
          <w:t xml:space="preserve">https://assets.public.digital/Open_Source_Report.pdf</w:t>
        </w:r>
      </w:hyperlink>
    </w:p>
  </w:footnote>
  <w:footnote w:id="134">
    <w:p>
      <w:pPr>
        <w:pStyle w:val="FootnoteText"/>
      </w:pPr>
      <w:r>
        <w:rPr>
          <w:rStyle w:val="FootnoteReference"/>
        </w:rPr>
        <w:footnoteRef/>
      </w:r>
      <w:r>
        <w:t xml:space="preserve"> </w:t>
      </w:r>
      <w:hyperlink r:id="rId55">
        <w:r>
          <w:rPr>
            <w:rStyle w:val="Hyperlink"/>
          </w:rPr>
          <w:t xml:space="preserve">https://fsfe.org/activities/publiccode/index.en.html</w:t>
        </w:r>
      </w:hyperlink>
    </w:p>
  </w:footnote>
  <w:footnote w:id="137">
    <w:p>
      <w:pPr>
        <w:pStyle w:val="FootnoteText"/>
      </w:pPr>
      <w:r>
        <w:rPr>
          <w:rStyle w:val="FootnoteReference"/>
        </w:rPr>
        <w:footnoteRef/>
      </w:r>
      <w:r>
        <w:t xml:space="preserve"> </w:t>
      </w:r>
      <w:hyperlink r:id="rId65">
        <w:r>
          <w:rPr>
            <w:rStyle w:val="Hyperlink"/>
          </w:rPr>
          <w:t xml:space="preserve">https://digital-strategy.ec.europa.eu/en/library/study-about-impact-open-source-software-and-hardware-technological-independence-competitiveness-and</w:t>
        </w:r>
      </w:hyperlink>
    </w:p>
  </w:footnote>
  <w:footnote w:id="139">
    <w:p>
      <w:pPr>
        <w:pStyle w:val="FootnoteText"/>
      </w:pPr>
      <w:r>
        <w:rPr>
          <w:rStyle w:val="FootnoteReference"/>
        </w:rPr>
        <w:footnoteRef/>
      </w:r>
      <w:r>
        <w:t xml:space="preserve"> </w:t>
      </w:r>
      <w:hyperlink r:id="rId67">
        <w:r>
          <w:rPr>
            <w:rStyle w:val="Hyperlink"/>
          </w:rPr>
          <w:t xml:space="preserve">https://blogs.worldbank.org/en/opendata/leveraging-open-source-public-institution-new-analysis-reveals-significant-returns-investment-open</w:t>
        </w:r>
      </w:hyperlink>
    </w:p>
  </w:footnote>
  <w:footnote w:id="141">
    <w:p>
      <w:pPr>
        <w:pStyle w:val="FootnoteText"/>
      </w:pPr>
      <w:r>
        <w:rPr>
          <w:rStyle w:val="FootnoteReference"/>
        </w:rPr>
        <w:footnoteRef/>
      </w:r>
      <w:r>
        <w:t xml:space="preserve"> </w:t>
      </w:r>
      <w:hyperlink r:id="rId142">
        <w:r>
          <w:rPr>
            <w:rStyle w:val="Hyperlink"/>
          </w:rPr>
          <w:t xml:space="preserve">https://www.linuxfoundation.org/research/open-source-roi</w:t>
        </w:r>
      </w:hyperlink>
    </w:p>
  </w:footnote>
  <w:footnote w:id="145">
    <w:p>
      <w:pPr>
        <w:pStyle w:val="FootnoteText"/>
      </w:pPr>
      <w:r>
        <w:rPr>
          <w:rStyle w:val="FootnoteReference"/>
        </w:rPr>
        <w:footnoteRef/>
      </w:r>
      <w:r>
        <w:t xml:space="preserve"> </w:t>
      </w:r>
      <w:hyperlink r:id="rId146">
        <w:r>
          <w:rPr>
            <w:rStyle w:val="Hyperlink"/>
          </w:rPr>
          <w:t xml:space="preserve">https://commission.europa.eu/about/departments-and-executive-agencies/digital-services/open-source-software-strategy_en</w:t>
        </w:r>
      </w:hyperlink>
    </w:p>
  </w:footnote>
  <w:footnote w:id="148">
    <w:p>
      <w:pPr>
        <w:pStyle w:val="FootnoteText"/>
      </w:pPr>
      <w:r>
        <w:rPr>
          <w:rStyle w:val="FootnoteReference"/>
        </w:rPr>
        <w:footnoteRef/>
      </w:r>
      <w:r>
        <w:t xml:space="preserve"> </w:t>
      </w:r>
      <w:hyperlink r:id="rId57">
        <w:r>
          <w:rPr>
            <w:rStyle w:val="Hyperlink"/>
          </w:rPr>
          <w:t xml:space="preserve">https://interoperable-europe.ec.europa.eu/interoperable-europe/interoperable-europe-act</w:t>
        </w:r>
      </w:hyperlink>
    </w:p>
  </w:footnote>
  <w:footnote w:id="150">
    <w:p>
      <w:pPr>
        <w:pStyle w:val="FootnoteText"/>
      </w:pPr>
      <w:r>
        <w:rPr>
          <w:rStyle w:val="FootnoteReference"/>
        </w:rPr>
        <w:footnoteRef/>
      </w:r>
      <w:r>
        <w:t xml:space="preserve"> </w:t>
      </w:r>
      <w:hyperlink r:id="rId151">
        <w:r>
          <w:rPr>
            <w:rStyle w:val="Hyperlink"/>
          </w:rPr>
          <w:t xml:space="preserve">https://digital-strategy.ec.europa.eu/en/policies/cra-open-source</w:t>
        </w:r>
      </w:hyperlink>
    </w:p>
  </w:footnote>
  <w:footnote w:id="153">
    <w:p>
      <w:pPr>
        <w:pStyle w:val="FootnoteText"/>
      </w:pPr>
      <w:r>
        <w:rPr>
          <w:rStyle w:val="FootnoteReference"/>
        </w:rPr>
        <w:footnoteRef/>
      </w:r>
      <w:r>
        <w:t xml:space="preserve"> </w:t>
      </w:r>
      <w:hyperlink r:id="rId43">
        <w:r>
          <w:rPr>
            <w:rStyle w:val="Hyperlink"/>
          </w:rPr>
          <w:t xml:space="preserve">https://obamawhitehouse.archives.gov/sites/default/files/omb/memoranda/2016/m_16_21.pdf</w:t>
        </w:r>
      </w:hyperlink>
    </w:p>
  </w:footnote>
  <w:footnote w:id="155">
    <w:p>
      <w:pPr>
        <w:pStyle w:val="FootnoteText"/>
      </w:pPr>
      <w:r>
        <w:rPr>
          <w:rStyle w:val="FootnoteReference"/>
        </w:rPr>
        <w:footnoteRef/>
      </w:r>
      <w:r>
        <w:t xml:space="preserve"> </w:t>
      </w:r>
      <w:hyperlink r:id="rId45">
        <w:r>
          <w:rPr>
            <w:rStyle w:val="Hyperlink"/>
          </w:rPr>
          <w:t xml:space="preserve">https://www.canada.ca/en/government/system/digital-government/digital-government-innovations/open-source-software/open-first-whitepaper.html</w:t>
        </w:r>
      </w:hyperlink>
    </w:p>
  </w:footnote>
  <w:footnote w:id="157">
    <w:p>
      <w:pPr>
        <w:pStyle w:val="FootnoteText"/>
      </w:pPr>
      <w:r>
        <w:rPr>
          <w:rStyle w:val="FootnoteReference"/>
        </w:rPr>
        <w:footnoteRef/>
      </w:r>
      <w:r>
        <w:t xml:space="preserve"> </w:t>
      </w:r>
      <w:hyperlink r:id="rId47">
        <w:r>
          <w:rPr>
            <w:rStyle w:val="Hyperlink"/>
          </w:rPr>
          <w:t xml:space="preserve">https://www.dta.gov.au/help-and-advice/digital-service-standard/digital-service-standard-criteria/8-make-source-code-open</w:t>
        </w:r>
      </w:hyperlink>
    </w:p>
  </w:footnote>
  <w:footnote w:id="159">
    <w:p>
      <w:pPr>
        <w:pStyle w:val="FootnoteText"/>
      </w:pPr>
      <w:r>
        <w:rPr>
          <w:rStyle w:val="FootnoteReference"/>
        </w:rPr>
        <w:footnoteRef/>
      </w:r>
      <w:r>
        <w:t xml:space="preserve"> </w:t>
      </w:r>
      <w:hyperlink r:id="rId49">
        <w:r>
          <w:rPr>
            <w:rStyle w:val="Hyperlink"/>
          </w:rPr>
          <w:t xml:space="preserve">https://www.data.govt.nz/manage-data/policies/nzgoal/nzgoal-se-guidance-note-1/</w:t>
        </w:r>
      </w:hyperlink>
    </w:p>
  </w:footnote>
  <w:footnote w:id="161">
    <w:p>
      <w:pPr>
        <w:pStyle w:val="FootnoteText"/>
      </w:pPr>
      <w:r>
        <w:rPr>
          <w:rStyle w:val="FootnoteReference"/>
        </w:rPr>
        <w:footnoteRef/>
      </w:r>
      <w:r>
        <w:t xml:space="preserve"> </w:t>
      </w:r>
      <w:hyperlink r:id="rId51">
        <w:r>
          <w:rPr>
            <w:rStyle w:val="Hyperlink"/>
          </w:rPr>
          <w:t xml:space="preserve">https://www.meity.gov.in/static/uploads/2024/02/policy_on_adoption_of_oss.pdf</w:t>
        </w:r>
      </w:hyperlink>
    </w:p>
  </w:footnote>
  <w:footnote w:id="163">
    <w:p>
      <w:pPr>
        <w:pStyle w:val="FootnoteText"/>
      </w:pPr>
      <w:r>
        <w:rPr>
          <w:rStyle w:val="FootnoteReference"/>
        </w:rPr>
        <w:footnoteRef/>
      </w:r>
      <w:r>
        <w:t xml:space="preserve"> </w:t>
      </w:r>
      <w:hyperlink r:id="rId53">
        <w:r>
          <w:rPr>
            <w:rStyle w:val="Hyperlink"/>
          </w:rPr>
          <w:t xml:space="preserve">https://interoperable-europe.ec.europa.eu/collection/open-source-observatory-osor/news/japans-2024-open-source-promotion-report</w:t>
        </w:r>
      </w:hyperlink>
    </w:p>
  </w:footnote>
  <w:footnote w:id="165">
    <w:p>
      <w:pPr>
        <w:pStyle w:val="FootnoteText"/>
      </w:pPr>
      <w:r>
        <w:rPr>
          <w:rStyle w:val="FootnoteReference"/>
        </w:rPr>
        <w:footnoteRef/>
      </w:r>
      <w:r>
        <w:t xml:space="preserve"> </w:t>
      </w:r>
      <w:hyperlink r:id="rId166">
        <w:r>
          <w:rPr>
            <w:rStyle w:val="Hyperlink"/>
          </w:rPr>
          <w:t xml:space="preserve">https://github.com/spbgovbr</w:t>
        </w:r>
      </w:hyperlink>
    </w:p>
  </w:footnote>
  <w:footnote w:id="168">
    <w:p>
      <w:pPr>
        <w:pStyle w:val="FootnoteText"/>
      </w:pPr>
      <w:r>
        <w:rPr>
          <w:rStyle w:val="FootnoteReference"/>
        </w:rPr>
        <w:footnoteRef/>
      </w:r>
      <w:r>
        <w:t xml:space="preserve"> </w:t>
      </w:r>
      <w:hyperlink r:id="rId169">
        <w:r>
          <w:rPr>
            <w:rStyle w:val="Hyperlink"/>
          </w:rPr>
          <w:t xml:space="preserve">https://au.int/sites/default/files/documents/38507-doc-dts-english.pdf</w:t>
        </w:r>
      </w:hyperlink>
    </w:p>
  </w:footnote>
  <w:footnote w:id="171">
    <w:p>
      <w:pPr>
        <w:pStyle w:val="FootnoteText"/>
      </w:pPr>
      <w:r>
        <w:rPr>
          <w:rStyle w:val="FootnoteReference"/>
        </w:rPr>
        <w:footnoteRef/>
      </w:r>
      <w:r>
        <w:t xml:space="preserve"> </w:t>
      </w:r>
      <w:hyperlink r:id="rId40">
        <w:r>
          <w:rPr>
            <w:rStyle w:val="Hyperlink"/>
          </w:rPr>
          <w:t xml:space="preserve">https://www.csis.org/programs/strategic-technologies-program/resources/government-open-source-software-policies</w:t>
        </w:r>
      </w:hyperlink>
    </w:p>
  </w:footnote>
  <w:footnote w:id="174">
    <w:p>
      <w:pPr>
        <w:pStyle w:val="FootnoteText"/>
      </w:pPr>
      <w:r>
        <w:rPr>
          <w:rStyle w:val="FootnoteReference"/>
        </w:rPr>
        <w:footnoteRef/>
      </w:r>
      <w:r>
        <w:t xml:space="preserve"> </w:t>
      </w:r>
      <w:hyperlink r:id="rId91">
        <w:r>
          <w:rPr>
            <w:rStyle w:val="Hyperlink"/>
          </w:rPr>
          <w:t xml:space="preserve">https://new.digitalpublicgoods.net/standard</w:t>
        </w:r>
      </w:hyperlink>
    </w:p>
  </w:footnote>
  <w:footnote w:id="176">
    <w:p>
      <w:pPr>
        <w:pStyle w:val="FootnoteText"/>
      </w:pPr>
      <w:r>
        <w:rPr>
          <w:rStyle w:val="FootnoteReference"/>
        </w:rPr>
        <w:footnoteRef/>
      </w:r>
      <w:r>
        <w:t xml:space="preserve"> </w:t>
      </w:r>
      <w:hyperlink r:id="rId92">
        <w:r>
          <w:rPr>
            <w:rStyle w:val="Hyperlink"/>
          </w:rPr>
          <w:t xml:space="preserve">https://www.undp.org/digital/osee</w:t>
        </w:r>
      </w:hyperlink>
    </w:p>
  </w:footnote>
  <w:footnote w:id="178">
    <w:p>
      <w:pPr>
        <w:pStyle w:val="FootnoteText"/>
      </w:pPr>
      <w:r>
        <w:rPr>
          <w:rStyle w:val="FootnoteReference"/>
        </w:rPr>
        <w:footnoteRef/>
      </w:r>
      <w:r>
        <w:t xml:space="preserve"> </w:t>
      </w:r>
      <w:hyperlink r:id="rId179">
        <w:r>
          <w:rPr>
            <w:rStyle w:val="Hyperlink"/>
          </w:rPr>
          <w:t xml:space="preserve">https://www.undp.org/digital/standards/9-default-to-Open</w:t>
        </w:r>
      </w:hyperlink>
    </w:p>
  </w:footnote>
  <w:footnote w:id="181">
    <w:p>
      <w:pPr>
        <w:pStyle w:val="FootnoteText"/>
      </w:pPr>
      <w:r>
        <w:rPr>
          <w:rStyle w:val="FootnoteReference"/>
        </w:rPr>
        <w:footnoteRef/>
      </w:r>
      <w:r>
        <w:t xml:space="preserve"> </w:t>
      </w:r>
      <w:hyperlink r:id="rId182">
        <w:r>
          <w:rPr>
            <w:rStyle w:val="Hyperlink"/>
          </w:rPr>
          <w:t xml:space="preserve">https://documents.worldbank.org/en/publication/documents-reports/documentdetail/672901582561140400/open-source-for-global-public-goods</w:t>
        </w:r>
      </w:hyperlink>
    </w:p>
  </w:footnote>
  <w:footnote w:id="184">
    <w:p>
      <w:pPr>
        <w:pStyle w:val="FootnoteText"/>
      </w:pPr>
      <w:r>
        <w:rPr>
          <w:rStyle w:val="FootnoteReference"/>
        </w:rPr>
        <w:footnoteRef/>
      </w:r>
      <w:r>
        <w:t xml:space="preserve"> </w:t>
      </w:r>
      <w:hyperlink r:id="rId41">
        <w:r>
          <w:rPr>
            <w:rStyle w:val="Hyperlink"/>
          </w:rPr>
          <w:t xml:space="preserve">https://interoperable-europe.ec.europa.eu/collection/open-source-observatory-osor/open-source-software-country-intelligence</w:t>
        </w:r>
      </w:hyperlink>
    </w:p>
  </w:footnote>
  <w:footnote w:id="187">
    <w:p>
      <w:pPr>
        <w:pStyle w:val="FootnoteText"/>
      </w:pPr>
      <w:r>
        <w:rPr>
          <w:rStyle w:val="FootnoteReference"/>
        </w:rPr>
        <w:footnoteRef/>
      </w:r>
      <w:r>
        <w:t xml:space="preserve"> </w:t>
      </w:r>
      <w:hyperlink r:id="rId98">
        <w:r>
          <w:rPr>
            <w:rStyle w:val="Hyperlink"/>
          </w:rPr>
          <w:t xml:space="preserve">https://climate.copernicus.eu/code-earth-2025-advancing-energy-system-resilience-climate-data</w:t>
        </w:r>
      </w:hyperlink>
    </w:p>
  </w:footnote>
  <w:footnote w:id="189">
    <w:p>
      <w:pPr>
        <w:pStyle w:val="FootnoteText"/>
      </w:pPr>
      <w:r>
        <w:rPr>
          <w:rStyle w:val="FootnoteReference"/>
        </w:rPr>
        <w:footnoteRef/>
      </w:r>
      <w:r>
        <w:t xml:space="preserve"> </w:t>
      </w:r>
      <w:hyperlink r:id="rId190">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0"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1"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2" Target="https://assets.public.digital/Open_Source_Report.pdf" TargetMode="External" /><Relationship Type="http://schemas.openxmlformats.org/officeDocument/2006/relationships/hyperlink" Id="rId169" Target="https://au.int/sites/default/files/documents/38507-doc-dts-english.pdf" TargetMode="External" /><Relationship Type="http://schemas.openxmlformats.org/officeDocument/2006/relationships/hyperlink" Id="rId67" Target="https://blogs.worldbank.org/en/opendata/leveraging-open-source-public-institution-new-analysis-reveals-significant-returns-investment-open" TargetMode="External" /><Relationship Type="http://schemas.openxmlformats.org/officeDocument/2006/relationships/hyperlink" Id="rId98" Target="https://climate.copernicus.eu/code-earth-2025-advancing-energy-system-resilience-climate-data" TargetMode="External" /><Relationship Type="http://schemas.openxmlformats.org/officeDocument/2006/relationships/hyperlink" Id="rId62" Target="https://codeberg.org" TargetMode="External" /><Relationship Type="http://schemas.openxmlformats.org/officeDocument/2006/relationships/hyperlink" Id="rId146"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5" Target="https://conda-forge.org" TargetMode="External" /><Relationship Type="http://schemas.openxmlformats.org/officeDocument/2006/relationships/hyperlink" Id="rId198" Target="https://data.ecmwf.int/" TargetMode="External" /><Relationship Type="http://schemas.openxmlformats.org/officeDocument/2006/relationships/hyperlink" Id="rId65" Target="https://digital-strategy.ec.europa.eu/en/library/study-about-impact-open-source-software-and-hardware-technological-independence-competitiveness-and" TargetMode="External" /><Relationship Type="http://schemas.openxmlformats.org/officeDocument/2006/relationships/hyperlink" Id="rId151" Target="https://digital-strategy.ec.europa.eu/en/policies/cra-open-source" TargetMode="External" /><Relationship Type="http://schemas.openxmlformats.org/officeDocument/2006/relationships/hyperlink" Id="rId195" Target="https://digital-strategy.ec.europa.eu/en/policies/legislation-open-data" TargetMode="External" /><Relationship Type="http://schemas.openxmlformats.org/officeDocument/2006/relationships/hyperlink" Id="rId116" Target="https://docs.wis2box.wis.wmo.int" TargetMode="External" /><Relationship Type="http://schemas.openxmlformats.org/officeDocument/2006/relationships/hyperlink" Id="rId182" Target="https://documents.worldbank.org/en/publication/documents-reports/documentdetail/672901582561140400/open-source-for-global-public-goods" TargetMode="External" /><Relationship Type="http://schemas.openxmlformats.org/officeDocument/2006/relationships/hyperlink" Id="rId72" Target="https://forgejo.org" TargetMode="External" /><Relationship Type="http://schemas.openxmlformats.org/officeDocument/2006/relationships/hyperlink" Id="rId96" Target="https://foss4g.org" TargetMode="External" /><Relationship Type="http://schemas.openxmlformats.org/officeDocument/2006/relationships/hyperlink" Id="rId55" Target="https://fsfe.org/activities/publiccode/index.en.html" TargetMode="External" /><Relationship Type="http://schemas.openxmlformats.org/officeDocument/2006/relationships/hyperlink" Id="rId71" Target="https://gitea.io" TargetMode="External" /><Relationship Type="http://schemas.openxmlformats.org/officeDocument/2006/relationships/hyperlink" Id="rId60" Target="https://github.com" TargetMode="External" /><Relationship Type="http://schemas.openxmlformats.org/officeDocument/2006/relationships/hyperlink" Id="rId118" Target="https://github.com/World-Meteorological-Organization/csv2bufr" TargetMode="External" /><Relationship Type="http://schemas.openxmlformats.org/officeDocument/2006/relationships/hyperlink" Id="rId120" Target="https://github.com/World-Meteorological-Organization/pywis-pubsub" TargetMode="External" /><Relationship Type="http://schemas.openxmlformats.org/officeDocument/2006/relationships/hyperlink" Id="rId119" Target="https://github.com/World-Meteorological-Organization/wis2downloader" TargetMode="External" /><Relationship Type="http://schemas.openxmlformats.org/officeDocument/2006/relationships/hyperlink" Id="rId166" Target="https://github.com/spbgovbr" TargetMode="External" /><Relationship Type="http://schemas.openxmlformats.org/officeDocument/2006/relationships/hyperlink" Id="rId117" Target="https://github.com/wmo-im/wis2-gdc" TargetMode="External" /><Relationship Type="http://schemas.openxmlformats.org/officeDocument/2006/relationships/hyperlink" Id="rId70" Target="https://gitlab.com" TargetMode="External" /><Relationship Type="http://schemas.openxmlformats.org/officeDocument/2006/relationships/hyperlink" Id="rId61" Target="https://gitlab.com/gitlab-org" TargetMode="External" /><Relationship Type="http://schemas.openxmlformats.org/officeDocument/2006/relationships/hyperlink" Id="rId53" Target="https://interoperable-europe.ec.europa.eu/collection/open-source-observatory-osor/news/japans-2024-open-source-promotion-report" TargetMode="External" /><Relationship Type="http://schemas.openxmlformats.org/officeDocument/2006/relationships/hyperlink" Id="rId129" Target="https://interoperable-europe.ec.europa.eu/collection/open-source-observatory-osor/news/updated-osor-handbook-published" TargetMode="External" /><Relationship Type="http://schemas.openxmlformats.org/officeDocument/2006/relationships/hyperlink" Id="rId41" Target="https://interoperable-europe.ec.europa.eu/collection/open-source-observatory-osor/open-source-software-country-intelligence" TargetMode="External" /><Relationship Type="http://schemas.openxmlformats.org/officeDocument/2006/relationships/hyperlink" Id="rId57" Target="https://interoperable-europe.ec.europa.eu/interoperable-europe/interoperable-europe-act" TargetMode="External" /><Relationship Type="http://schemas.openxmlformats.org/officeDocument/2006/relationships/hyperlink" Id="rId112" Target="https://library.wmo.int/idviewer/66258/1147" TargetMode="External" /><Relationship Type="http://schemas.openxmlformats.org/officeDocument/2006/relationships/hyperlink" Id="rId91" Target="https://new.digitalpublicgoods.net/standard" TargetMode="External" /><Relationship Type="http://schemas.openxmlformats.org/officeDocument/2006/relationships/hyperlink" Id="rId43"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94" Target="https://opensource.worldbank.org" TargetMode="External" /><Relationship Type="http://schemas.openxmlformats.org/officeDocument/2006/relationships/hyperlink" Id="rId88" Target="https://osgeo.org" TargetMode="External" /><Relationship Type="http://schemas.openxmlformats.org/officeDocument/2006/relationships/hyperlink" Id="rId126" Target="https://producingoss.com" TargetMode="External" /><Relationship Type="http://schemas.openxmlformats.org/officeDocument/2006/relationships/hyperlink" Id="rId102" Target="https://project.oss4geo.org/" TargetMode="External" /><Relationship Type="http://schemas.openxmlformats.org/officeDocument/2006/relationships/hyperlink" Id="rId115" Target="https://raw.githubusercontent.com/wmo-im/wis2-guide/refs/heads/main/guide/images/architecture/c4.container.png" TargetMode="External" /><Relationship Type="http://schemas.openxmlformats.org/officeDocument/2006/relationships/hyperlink" Id="rId190" Target="https://wmo-im.github.io/wis2-transition-guide/transition-guide/wis2-transition-guide-APPROVED.html" TargetMode="External" /><Relationship Type="http://schemas.openxmlformats.org/officeDocument/2006/relationships/hyperlink" Id="rId11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0" Target="https://www.apache.org" TargetMode="External" /><Relationship Type="http://schemas.openxmlformats.org/officeDocument/2006/relationships/hyperlink" Id="rId200" Target="https://www.canada.ca/en/government/system/digital-government/digital-government-innovations/information-management.html" TargetMode="External" /><Relationship Type="http://schemas.openxmlformats.org/officeDocument/2006/relationships/hyperlink" Id="rId45" Target="https://www.canada.ca/en/government/system/digital-government/digital-government-innovations/open-source-software/open-first-whitepaper.html" TargetMode="External" /><Relationship Type="http://schemas.openxmlformats.org/officeDocument/2006/relationships/hyperlink" Id="rId40" Target="https://www.csis.org/programs/strategic-technologies-program/resources/government-open-source-software-policies" TargetMode="External" /><Relationship Type="http://schemas.openxmlformats.org/officeDocument/2006/relationships/hyperlink" Id="rId49" Target="https://www.data.govt.nz/manage-data/policies/nzgoal/nzgoal-se-guidance-note-1/" TargetMode="External" /><Relationship Type="http://schemas.openxmlformats.org/officeDocument/2006/relationships/hyperlink" Id="rId89" Target="https://www.digitalpublicgoods.net" TargetMode="External" /><Relationship Type="http://schemas.openxmlformats.org/officeDocument/2006/relationships/hyperlink" Id="rId47" Target="https://www.dta.gov.au/help-and-advice/digital-service-standard/digital-service-standard-criteria/8-make-source-code-open" TargetMode="External" /><Relationship Type="http://schemas.openxmlformats.org/officeDocument/2006/relationships/hyperlink" Id="rId197" Target="https://www.ecmwf.int/en/forecasts/access-forecasts/access-real-time-open-data" TargetMode="External" /><Relationship Type="http://schemas.openxmlformats.org/officeDocument/2006/relationships/hyperlink" Id="rId196" Target="https://www.ecmwf.int/en/forecasts/datasets/open-data" TargetMode="External" /><Relationship Type="http://schemas.openxmlformats.org/officeDocument/2006/relationships/hyperlink" Id="rId93" Target="https://www.itu.int" TargetMode="External" /><Relationship Type="http://schemas.openxmlformats.org/officeDocument/2006/relationships/hyperlink" Id="rId142" Target="https://www.linuxfoundation.org/research/open-source-roi" TargetMode="External" /><Relationship Type="http://schemas.openxmlformats.org/officeDocument/2006/relationships/hyperlink" Id="rId51" Target="https://www.meity.gov.in/static/uploads/2024/02/policy_on_adoption_of_oss.pdf" TargetMode="External" /><Relationship Type="http://schemas.openxmlformats.org/officeDocument/2006/relationships/hyperlink" Id="rId83" Target="https://www.osgeo.org/resources/project-graduation-checklist/" TargetMode="External" /><Relationship Type="http://schemas.openxmlformats.org/officeDocument/2006/relationships/hyperlink" Id="rId201" Target="https://www.planalto.gov.br/ccivil_03/_Ato2015-2018/2016/Decreto/D8777.htm" TargetMode="External" /><Relationship Type="http://schemas.openxmlformats.org/officeDocument/2006/relationships/hyperlink" Id="rId92" Target="https://www.undp.org/digital/osee" TargetMode="External" /><Relationship Type="http://schemas.openxmlformats.org/officeDocument/2006/relationships/hyperlink" Id="rId179"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2026-05-31T14:26:08Z</dcterms:created>
  <dcterms:modified xsi:type="dcterms:W3CDTF">2026-05-31T14:26:08Z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2026-05-31</vt:lpwstr>
  </property>
</Properties>
</file>