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2026-04-23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2026-04-23</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41" w:name="X1ea7cbd003469405f98a7976943980a7b23bcee"/>
    <w:p>
      <w:pPr>
        <w:pStyle w:val="Heading1"/>
      </w:pPr>
      <w:r>
        <w:t xml:space="preserve">Introduction</w:t>
      </w:r>
    </w:p>
    <w:p>
      <w:pPr>
        <w:pStyle w:val="FirstParagraph"/>
      </w:pPr>
      <w:r>
        <w:t xml:space="preserve">Free and open-source software (FOSS) refers to software that is released under a license that grants users the freedom</w:t>
      </w:r>
      <w:r>
        <w:t xml:space="preserve"> </w:t>
      </w:r>
      <w:r>
        <w:t xml:space="preserve">to run, study, modify, and distribute the software and its source code. Common licenses include GPL, MIT, Apache, BSD,</w:t>
      </w:r>
      <w:r>
        <w:t xml:space="preserve"> </w:t>
      </w:r>
      <w:r>
        <w:t xml:space="preserve">and many others. Such software has become increasingly crucial for WMO and its Members. No longer a "niche" industry,</w:t>
      </w:r>
      <w:r>
        <w:t xml:space="preserve"> </w:t>
      </w:r>
      <w:r>
        <w:t xml:space="preserve">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 both in terms of using FOSS but also</w:t>
      </w:r>
      <w:r>
        <w:t xml:space="preserve"> </w:t>
      </w:r>
      <w:r>
        <w:t xml:space="preserve">in the development and contribution to FOSS projects. The guidance is equally applicable to internally developed</w:t>
      </w:r>
      <w:r>
        <w:t xml:space="preserve"> </w:t>
      </w:r>
      <w:r>
        <w:t xml:space="preserve">software, and to commercially sourced or supported software.</w:t>
      </w:r>
    </w:p>
    <w:bookmarkEnd w:id="26"/>
    <w:bookmarkStart w:id="27"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exiting FOSS tools as well as developing of same,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40" w:name="X7ac143ecd7d44f94f06140d53c68480356370d4"/>
    <w:p>
      <w:pPr>
        <w:pStyle w:val="Heading2"/>
      </w:pPr>
      <w:r>
        <w:t xml:space="preserve">Data policy considerations</w:t>
      </w:r>
    </w:p>
    <w:p>
      <w:pPr>
        <w:pStyle w:val="FirstParagraph"/>
      </w:pPr>
      <w:r>
        <w:t xml:space="preserve">While Free and Open Source Software (FOSS) is a key enabler of modern meteorological systems, its full value is realized</w:t>
      </w:r>
      <w:r>
        <w:t xml:space="preserve"> </w:t>
      </w:r>
      <w:r>
        <w:t xml:space="preserve">only when combined with accessible, well-governed data. Open data and FOSS are mutually reinforcing: open data provides</w:t>
      </w:r>
      <w:r>
        <w:t xml:space="preserve"> </w:t>
      </w:r>
      <w:r>
        <w:t xml:space="preserve">the raw material for analysis and forecasting, while FOSS provides the tools to discover, process, share, and</w:t>
      </w:r>
      <w:r>
        <w:t xml:space="preserve"> </w:t>
      </w:r>
      <w:r>
        <w:t xml:space="preserve">operationalize that data. Together, they can e.g. support the implementation of the</w:t>
      </w:r>
      <w:r>
        <w:t xml:space="preserve"> </w:t>
      </w:r>
      <w:hyperlink r:id="rId28">
        <w:r>
          <w:rPr>
            <w:rStyle w:val="Hyperlink"/>
          </w:rPr>
          <w:t xml:space="preserve">WMO Unified Data Policy</w:t>
        </w:r>
      </w:hyperlink>
      <w:r>
        <w:t xml:space="preserve"> </w:t>
      </w:r>
      <w:r>
        <w:t xml:space="preserve">by helping Members expand access to</w:t>
      </w:r>
      <w:r>
        <w:t xml:space="preserve"> </w:t>
      </w:r>
      <w:r>
        <w:t xml:space="preserve">Earth system data and strengthen international collaboration. Together, they can e.g. support the implementation of the</w:t>
      </w:r>
      <w:r>
        <w:t xml:space="preserve"> </w:t>
      </w:r>
      <w:r>
        <w:t xml:space="preserve">WMO Unified Data Policy by helping Members expand access to Earth system data, strengthen international collaboration,</w:t>
      </w:r>
      <w:r>
        <w:t xml:space="preserve"> </w:t>
      </w:r>
      <w:r>
        <w:t xml:space="preserve">and contribute to broader open science practices.</w:t>
      </w:r>
    </w:p>
    <w:bookmarkStart w:id="29" w:name="X2446d91ec14a1a4cb6857997288814a57cd47f9"/>
    <w:p>
      <w:pPr>
        <w:pStyle w:val="Heading3"/>
      </w:pPr>
      <w:r>
        <w:t xml:space="preserve">Open data as a strategic asset</w:t>
      </w:r>
    </w:p>
    <w:p>
      <w:pPr>
        <w:pStyle w:val="FirstParagraph"/>
      </w:pPr>
      <w:r>
        <w:t xml:space="preserve">Open data, and especially meteorological, hydrological, atmosphere, and climate data should not be understood solely as</w:t>
      </w:r>
      <w:r>
        <w:t xml:space="preserve"> </w:t>
      </w:r>
      <w:r>
        <w:t xml:space="preserve">data that is “available”. To be truly useful, data must be governed through clear policy frameworks, standards, and</w:t>
      </w:r>
      <w:r>
        <w:t xml:space="preserve"> </w:t>
      </w:r>
      <w:r>
        <w:t xml:space="preserve">licensing arrangements that define how it can be accessed, shared, reused, and redistributed. Open access alone does not</w:t>
      </w:r>
      <w:r>
        <w:t xml:space="preserve"> </w:t>
      </w:r>
      <w:r>
        <w:t xml:space="preserve">guarantee value. Data must also be FAIR:</w:t>
      </w:r>
    </w:p>
    <w:p>
      <w:pPr>
        <w:numPr>
          <w:ilvl w:val="0"/>
          <w:numId w:val="1001"/>
        </w:numPr>
      </w:pPr>
      <w:r>
        <w:rPr>
          <w:bCs/>
          <w:b/>
        </w:rPr>
        <w:t xml:space="preserve">Findable</w:t>
      </w:r>
      <w:r>
        <w:t xml:space="preserve"> </w:t>
      </w:r>
      <w:r>
        <w:t xml:space="preserve">through clear metadata and catalogues</w:t>
      </w:r>
    </w:p>
    <w:p>
      <w:pPr>
        <w:numPr>
          <w:ilvl w:val="0"/>
          <w:numId w:val="1001"/>
        </w:numPr>
      </w:pPr>
      <w:r>
        <w:rPr>
          <w:bCs/>
          <w:b/>
        </w:rPr>
        <w:t xml:space="preserve">Accessible</w:t>
      </w:r>
      <w:r>
        <w:t xml:space="preserve"> </w:t>
      </w:r>
      <w:r>
        <w:t xml:space="preserve">through reliable services and standard interfaces</w:t>
      </w:r>
    </w:p>
    <w:p>
      <w:pPr>
        <w:numPr>
          <w:ilvl w:val="0"/>
          <w:numId w:val="1001"/>
        </w:numPr>
      </w:pPr>
      <w:r>
        <w:rPr>
          <w:bCs/>
          <w:b/>
        </w:rPr>
        <w:t xml:space="preserve">Interoperable</w:t>
      </w:r>
      <w:r>
        <w:t xml:space="preserve"> </w:t>
      </w:r>
      <w:r>
        <w:t xml:space="preserve">across institutions and systems</w:t>
      </w:r>
    </w:p>
    <w:p>
      <w:pPr>
        <w:numPr>
          <w:ilvl w:val="0"/>
          <w:numId w:val="1001"/>
        </w:numPr>
      </w:pPr>
      <w:r>
        <w:rPr>
          <w:bCs/>
          <w:b/>
        </w:rPr>
        <w:t xml:space="preserve">Reusable</w:t>
      </w:r>
      <w:r>
        <w:t xml:space="preserve"> </w:t>
      </w:r>
      <w:r>
        <w:t xml:space="preserve">under clear legal and technical conditions</w:t>
      </w:r>
    </w:p>
    <w:p>
      <w:pPr>
        <w:pStyle w:val="FirstParagraph"/>
      </w:pPr>
      <w:r>
        <w:t xml:space="preserve">These FAIR principles are highly aligned with WMO objectives, provide a practical framework for implementing the Unified</w:t>
      </w:r>
      <w:r>
        <w:t xml:space="preserve"> </w:t>
      </w:r>
      <w:r>
        <w:t xml:space="preserve">Data Policy, and help ensure that shared data can be effectively used by member states, researchers, and operational</w:t>
      </w:r>
      <w:r>
        <w:t xml:space="preserve"> </w:t>
      </w:r>
      <w:r>
        <w:t xml:space="preserve">centres, thereby strengthening and supporting also open science and reproducible research.</w:t>
      </w:r>
    </w:p>
    <w:bookmarkEnd w:id="29"/>
    <w:bookmarkStart w:id="31" w:name="X61037373c63ffb37bb1abba7d952c755d771ab1"/>
    <w:p>
      <w:pPr>
        <w:pStyle w:val="Heading3"/>
      </w:pPr>
      <w:r>
        <w:t xml:space="preserve">The importance of policy, license and legal clarity</w:t>
      </w:r>
    </w:p>
    <w:p>
      <w:pPr>
        <w:pStyle w:val="FirstParagraph"/>
      </w:pPr>
      <w:r>
        <w:t xml:space="preserve">To enable meaningful data exchange, open data should be supported by a clear policy framework. Such policies help</w:t>
      </w:r>
      <w:r>
        <w:t xml:space="preserve"> </w:t>
      </w:r>
      <w:r>
        <w:t xml:space="preserve">define:</w:t>
      </w:r>
    </w:p>
    <w:p>
      <w:pPr>
        <w:numPr>
          <w:ilvl w:val="0"/>
          <w:numId w:val="1002"/>
        </w:numPr>
      </w:pPr>
      <w:r>
        <w:t xml:space="preserve">what data should be shared,</w:t>
      </w:r>
    </w:p>
    <w:p>
      <w:pPr>
        <w:numPr>
          <w:ilvl w:val="0"/>
          <w:numId w:val="1002"/>
        </w:numPr>
      </w:pPr>
      <w:r>
        <w:t xml:space="preserve">under what conditions,</w:t>
      </w:r>
    </w:p>
    <w:p>
      <w:pPr>
        <w:numPr>
          <w:ilvl w:val="0"/>
          <w:numId w:val="1002"/>
        </w:numPr>
      </w:pPr>
      <w:r>
        <w:t xml:space="preserve">who is responsible for stewardship,</w:t>
      </w:r>
    </w:p>
    <w:p>
      <w:pPr>
        <w:numPr>
          <w:ilvl w:val="0"/>
          <w:numId w:val="1002"/>
        </w:numPr>
      </w:pPr>
      <w:r>
        <w:t xml:space="preserve">and how quality, security, and privacy are maintained.</w:t>
      </w:r>
    </w:p>
    <w:p>
      <w:pPr>
        <w:pStyle w:val="FirstParagraph"/>
      </w:pPr>
      <w:r>
        <w:t xml:space="preserve">Also, an often overlooked but essential aspect of open data, is licensing. Even where data is technically accessible,</w:t>
      </w:r>
      <w:r>
        <w:t xml:space="preserve"> </w:t>
      </w:r>
      <w:r>
        <w:t xml:space="preserve">the absence of an explicit open data license can create uncertainty around reuse, redistribution, and related products.</w:t>
      </w:r>
      <w:r>
        <w:t xml:space="preserve"> </w:t>
      </w:r>
      <w:r>
        <w:t xml:space="preserve">An open data licence helps to provide legal clarity for users and encourages broader adoption. The Open Knowledge</w:t>
      </w:r>
      <w:r>
        <w:t xml:space="preserve"> </w:t>
      </w:r>
      <w:r>
        <w:t xml:space="preserve">Foundation provides a curated list of open data licences at</w:t>
      </w:r>
      <w:r>
        <w:t xml:space="preserve"> </w:t>
      </w:r>
      <w:hyperlink r:id="rId30">
        <w:r>
          <w:rPr>
            <w:rStyle w:val="Hyperlink"/>
          </w:rPr>
          <w:t xml:space="preserve">https://opendefinition.org/licenses/</w:t>
        </w:r>
      </w:hyperlink>
      <w:r>
        <w:t xml:space="preserve">.</w:t>
      </w:r>
    </w:p>
    <w:bookmarkEnd w:id="31"/>
    <w:bookmarkStart w:id="32" w:name="Xb9e05d1af7412f17141a7dca01e6dbe32eb05cc"/>
    <w:p>
      <w:pPr>
        <w:pStyle w:val="Heading3"/>
      </w:pPr>
      <w:r>
        <w:t xml:space="preserve">The enabling role of FOSS</w:t>
      </w:r>
    </w:p>
    <w:p>
      <w:pPr>
        <w:pStyle w:val="FirstParagraph"/>
      </w:pPr>
      <w:r>
        <w:t xml:space="preserve">FOSS plays a central role in translating data policy into operational practice.</w:t>
      </w:r>
    </w:p>
    <w:p>
      <w:pPr>
        <w:pStyle w:val="BodyText"/>
      </w:pPr>
      <w:r>
        <w:t xml:space="preserve">They can help:</w:t>
      </w:r>
    </w:p>
    <w:p>
      <w:pPr>
        <w:numPr>
          <w:ilvl w:val="0"/>
          <w:numId w:val="1003"/>
        </w:numPr>
      </w:pPr>
      <w:r>
        <w:rPr>
          <w:bCs/>
          <w:b/>
        </w:rPr>
        <w:t xml:space="preserve">Reducing barriers to access</w:t>
      </w:r>
      <w:r>
        <w:t xml:space="preserve">: FOSS tools allow members to access and work with shared datasets without dependence on</w:t>
      </w:r>
      <w:r>
        <w:t xml:space="preserve"> </w:t>
      </w:r>
      <w:r>
        <w:t xml:space="preserve">costly proprietary software, an aspect especially interesting for members with limited financial or technical resources.</w:t>
      </w:r>
    </w:p>
    <w:p>
      <w:pPr>
        <w:numPr>
          <w:ilvl w:val="0"/>
          <w:numId w:val="1003"/>
        </w:numPr>
      </w:pPr>
      <w:r>
        <w:rPr>
          <w:bCs/>
          <w:b/>
        </w:rPr>
        <w:t xml:space="preserve">Supporting interoperability</w:t>
      </w:r>
      <w:r>
        <w:t xml:space="preserve">: Many FOSS solutions are built around open standards, APIs, and web services, making</w:t>
      </w:r>
      <w:r>
        <w:t xml:space="preserve"> </w:t>
      </w:r>
      <w:r>
        <w:t xml:space="preserve">data exchange easier (see above).</w:t>
      </w:r>
    </w:p>
    <w:p>
      <w:pPr>
        <w:numPr>
          <w:ilvl w:val="0"/>
          <w:numId w:val="1003"/>
        </w:numPr>
      </w:pPr>
      <w:r>
        <w:rPr>
          <w:bCs/>
          <w:b/>
        </w:rPr>
        <w:t xml:space="preserve">Strengthening transparency</w:t>
      </w:r>
      <w:r>
        <w:t xml:space="preserve">: FOSS workflows allow users to inspect how data are processed, improving trust,</w:t>
      </w:r>
      <w:r>
        <w:t xml:space="preserve"> </w:t>
      </w:r>
      <w:r>
        <w:t xml:space="preserve">reproducibility, and scientific integrity.metadata management</w:t>
      </w:r>
    </w:p>
    <w:p>
      <w:pPr>
        <w:numPr>
          <w:ilvl w:val="0"/>
          <w:numId w:val="1003"/>
        </w:numPr>
      </w:pPr>
      <w:r>
        <w:rPr>
          <w:bCs/>
          <w:b/>
        </w:rPr>
        <w:t xml:space="preserve">Enabling innovation</w:t>
      </w:r>
      <w:r>
        <w:t xml:space="preserve">: When open data is combined with open software, organisations can develop locally relevant</w:t>
      </w:r>
      <w:r>
        <w:t xml:space="preserve"> </w:t>
      </w:r>
      <w:r>
        <w:t xml:space="preserve">applications and services, maybe also supporting start ups and local economies, while contributing improvements back to the wider community.</w:t>
      </w:r>
    </w:p>
    <w:p>
      <w:pPr>
        <w:pStyle w:val="FirstParagraph"/>
      </w:pPr>
      <w:r>
        <w:t xml:space="preserve">By relying on open standards and transparent architectures, FOSS helps ensure that data remains interoperable,</w:t>
      </w:r>
      <w:r>
        <w:t xml:space="preserve"> </w:t>
      </w:r>
      <w:r>
        <w:t xml:space="preserve">portable, and reusable across institutions and Member States.</w:t>
      </w:r>
    </w:p>
    <w:bookmarkEnd w:id="32"/>
    <w:bookmarkStart w:id="33" w:name="X7c13927fb4e59a1cce2d0a10b9c277b97bd1bf1"/>
    <w:p>
      <w:pPr>
        <w:pStyle w:val="Heading3"/>
      </w:pPr>
      <w:r>
        <w:t xml:space="preserve">The way forward</w:t>
      </w:r>
    </w:p>
    <w:p>
      <w:pPr>
        <w:pStyle w:val="FirstParagraph"/>
      </w:pPr>
      <w:r>
        <w:t xml:space="preserve">The benefits of open data policies as the WMO Unified Data Policy depend not only on making data available, but also on</w:t>
      </w:r>
      <w:r>
        <w:t xml:space="preserve"> </w:t>
      </w:r>
      <w:r>
        <w:t xml:space="preserve">ensuring that data can be effectively discovered, understood, and reused. FOSS provides the technical means to support</w:t>
      </w:r>
      <w:r>
        <w:t xml:space="preserve"> </w:t>
      </w:r>
      <w:r>
        <w:t xml:space="preserve">this goal, while sound data policies and open licensing provide the governance foundation that ensures sustainable, and</w:t>
      </w:r>
      <w:r>
        <w:t xml:space="preserve"> </w:t>
      </w:r>
      <w:r>
        <w:t xml:space="preserve">trusted data sharing.</w:t>
      </w:r>
    </w:p>
    <w:p>
      <w:pPr>
        <w:pStyle w:val="BodyText"/>
      </w:pPr>
      <w:r>
        <w:t xml:space="preserve">Together, open data, FOSS, and open standards can help create a more collaborative, transparent, and resilient global</w:t>
      </w:r>
      <w:r>
        <w:t xml:space="preserve"> </w:t>
      </w:r>
      <w:r>
        <w:t xml:space="preserve">meteorological data ecosystem.</w:t>
      </w:r>
    </w:p>
    <w:bookmarkEnd w:id="33"/>
    <w:bookmarkStart w:id="39" w:name="X8ad6b79e4fa9526702749f95df3a9ffd748afd2"/>
    <w:p>
      <w:pPr>
        <w:pStyle w:val="Heading3"/>
      </w:pPr>
      <w:r>
        <w:t xml:space="preserve">Supporting Links</w:t>
      </w:r>
    </w:p>
    <w:p>
      <w:pPr>
        <w:numPr>
          <w:ilvl w:val="0"/>
          <w:numId w:val="1004"/>
        </w:numPr>
      </w:pPr>
      <w:r>
        <w:t xml:space="preserve">WMO - World Meteorological Organisation</w:t>
      </w:r>
    </w:p>
    <w:p>
      <w:pPr>
        <w:numPr>
          <w:ilvl w:val="1"/>
          <w:numId w:val="1005"/>
        </w:numPr>
      </w:pPr>
      <w:hyperlink r:id="rId28">
        <w:r>
          <w:rPr>
            <w:rStyle w:val="Hyperlink"/>
          </w:rPr>
          <w:t xml:space="preserve">https://wmo.int/wmo-unified-data-policy-resolution-res1</w:t>
        </w:r>
      </w:hyperlink>
    </w:p>
    <w:p>
      <w:pPr>
        <w:numPr>
          <w:ilvl w:val="0"/>
          <w:numId w:val="1004"/>
        </w:numPr>
      </w:pPr>
      <w:r>
        <w:t xml:space="preserve">EU - European Union</w:t>
      </w:r>
    </w:p>
    <w:p>
      <w:pPr>
        <w:numPr>
          <w:ilvl w:val="1"/>
          <w:numId w:val="1006"/>
        </w:numPr>
      </w:pPr>
      <w:hyperlink r:id="rId34">
        <w:r>
          <w:rPr>
            <w:rStyle w:val="Hyperlink"/>
          </w:rPr>
          <w:t xml:space="preserve">https://digital-strategy.ec.europa.eu/en/policies/legislation-open-data</w:t>
        </w:r>
      </w:hyperlink>
    </w:p>
    <w:p>
      <w:pPr>
        <w:numPr>
          <w:ilvl w:val="0"/>
          <w:numId w:val="1004"/>
        </w:numPr>
      </w:pPr>
      <w:r>
        <w:t xml:space="preserve">ECMWF - European Centre for Medium-Range Weather Forecasts</w:t>
      </w:r>
    </w:p>
    <w:p>
      <w:pPr>
        <w:numPr>
          <w:ilvl w:val="1"/>
          <w:numId w:val="1007"/>
        </w:numPr>
      </w:pPr>
      <w:hyperlink r:id="rId35">
        <w:r>
          <w:rPr>
            <w:rStyle w:val="Hyperlink"/>
          </w:rPr>
          <w:t xml:space="preserve">https://www.ecmwf.int/en/forecasts/datasets/open-data</w:t>
        </w:r>
      </w:hyperlink>
    </w:p>
    <w:p>
      <w:pPr>
        <w:numPr>
          <w:ilvl w:val="1"/>
          <w:numId w:val="1007"/>
        </w:numPr>
      </w:pPr>
      <w:hyperlink r:id="rId36">
        <w:r>
          <w:rPr>
            <w:rStyle w:val="Hyperlink"/>
          </w:rPr>
          <w:t xml:space="preserve">https://www.ecmwf.int/en/forecasts/access-forecasts/access-real-time-open-data</w:t>
        </w:r>
      </w:hyperlink>
    </w:p>
    <w:p>
      <w:pPr>
        <w:numPr>
          <w:ilvl w:val="1"/>
          <w:numId w:val="1007"/>
        </w:numPr>
      </w:pPr>
      <w:hyperlink r:id="rId37">
        <w:r>
          <w:rPr>
            <w:rStyle w:val="Hyperlink"/>
          </w:rPr>
          <w:t xml:space="preserve">https://data.ecmwf.int/</w:t>
        </w:r>
      </w:hyperlink>
    </w:p>
    <w:p>
      <w:pPr>
        <w:numPr>
          <w:ilvl w:val="0"/>
          <w:numId w:val="1004"/>
        </w:numPr>
      </w:pPr>
      <w:r>
        <w:t xml:space="preserve">National Policy</w:t>
      </w:r>
    </w:p>
    <w:p>
      <w:pPr>
        <w:numPr>
          <w:ilvl w:val="1"/>
          <w:numId w:val="1008"/>
        </w:numPr>
      </w:pPr>
      <w:r>
        <w:t xml:space="preserve">Canada -</w:t>
      </w:r>
      <w:r>
        <w:t xml:space="preserve"> </w:t>
      </w:r>
      <w:hyperlink r:id="rId38">
        <w:r>
          <w:rPr>
            <w:rStyle w:val="Hyperlink"/>
          </w:rPr>
          <w:t xml:space="preserve">https://www.canada.ca/en/government/system/digital-government/digital-government-innovations/information-management.html</w:t>
        </w:r>
      </w:hyperlink>
    </w:p>
    <w:bookmarkEnd w:id="39"/>
    <w:bookmarkEnd w:id="40"/>
    <w:bookmarkEnd w:id="41"/>
    <w:bookmarkStart w:id="129" w:name="X3148c62ae8380655b8c29f1e8f24835e28abe42"/>
    <w:p>
      <w:pPr>
        <w:pStyle w:val="Heading1"/>
      </w:pPr>
      <w:r>
        <w:t xml:space="preserve">Guidelines</w:t>
      </w:r>
    </w:p>
    <w:bookmarkStart w:id="85" w:name="Xafc3c35aae3bdfeb1706aa82a2c86b245796cb3"/>
    <w:p>
      <w:pPr>
        <w:pStyle w:val="Heading2"/>
      </w:pPr>
      <w:r>
        <w:t xml:space="preserve">WMO Members</w:t>
      </w:r>
    </w:p>
    <w:bookmarkStart w:id="44" w:name="X6e6120c13b4fdf0aca0a8db50173eb0f817f9bb"/>
    <w:p>
      <w:pPr>
        <w:pStyle w:val="Heading3"/>
      </w:pPr>
      <w:r>
        <w:t xml:space="preserve">Using FOSS</w:t>
      </w:r>
    </w:p>
    <w:bookmarkStart w:id="42" w:name="X9f39c0194175d17a1927980a996db60f4864ec7"/>
    <w:p>
      <w:pPr>
        <w:pStyle w:val="Heading4"/>
      </w:pPr>
      <w:r>
        <w:t xml:space="preserve">Risks</w:t>
      </w:r>
    </w:p>
    <w:p>
      <w:pPr>
        <w:numPr>
          <w:ilvl w:val="0"/>
          <w:numId w:val="1009"/>
        </w:numPr>
      </w:pPr>
      <w:r>
        <w:rPr>
          <w:bCs/>
          <w:b/>
        </w:rPr>
        <w:t xml:space="preserve">Licence compliance risks</w:t>
      </w:r>
      <w:r>
        <w:t xml:space="preserve"> </w:t>
      </w:r>
      <w:r>
        <w:t xml:space="preserve">Open-source licences often have widely varying requirements regarding commercial use, redistribution, and code modification. Certain licences include restrictive clauses, such as mandating that derivative works be made open source or that original copyright notices be preserved in full. Violations may lead to legal disputes and intellectual property issues.</w:t>
      </w:r>
    </w:p>
    <w:p>
      <w:pPr>
        <w:numPr>
          <w:ilvl w:val="0"/>
          <w:numId w:val="1009"/>
        </w:numPr>
      </w:pPr>
      <w:r>
        <w:rPr>
          <w:bCs/>
          <w:b/>
        </w:rPr>
        <w:t xml:space="preserve">Security and continuity risks</w:t>
      </w:r>
      <w:r>
        <w:t xml:space="preserve">: Open-source software from niche or less-established projects may pose security risks due to limited formal code audits. Additionally, the complexity of open-source software supply chains creates vulnerabilities that could be exploited to implant malicious code. These risks are amplified in meteorological applications, especially when handling sensitive observational data or real-time forecasting models.</w:t>
      </w:r>
    </w:p>
    <w:p>
      <w:pPr>
        <w:numPr>
          <w:ilvl w:val="0"/>
          <w:numId w:val="1009"/>
        </w:numPr>
      </w:pPr>
      <w:r>
        <w:rPr>
          <w:bCs/>
          <w:b/>
        </w:rPr>
        <w:t xml:space="preserve">Maintenance risks</w:t>
      </w:r>
      <w:r>
        <w:t xml:space="preserve">: Fixes for vulnerabilities rely on community responsiveness. If an open-source project is discontinued, known vulnerabilities may remain unaddressed.</w:t>
      </w:r>
    </w:p>
    <w:p>
      <w:pPr>
        <w:numPr>
          <w:ilvl w:val="0"/>
          <w:numId w:val="1009"/>
        </w:numPr>
      </w:pPr>
      <w:r>
        <w:rPr>
          <w:bCs/>
          <w:b/>
        </w:rPr>
        <w:t xml:space="preserve">Dependency and stack maintenance risks</w:t>
      </w:r>
      <w:r>
        <w:t xml:space="preserve">: FOSS solutions typically depend on a broader ecosystem of libraries, frameworks, and runtime components. Keeping the full software stack up to date, including across upstream dependencies, requires continuous effort. Version incompatibilities, breaking changes upstream, and end-of-life releases can create significant operational burden, particularly for small teams managing operational meteorological systems.</w:t>
      </w:r>
    </w:p>
    <w:p>
      <w:pPr>
        <w:numPr>
          <w:ilvl w:val="0"/>
          <w:numId w:val="1009"/>
        </w:numPr>
      </w:pPr>
      <w:r>
        <w:rPr>
          <w:bCs/>
          <w:b/>
        </w:rPr>
        <w:t xml:space="preserve">Support risks</w:t>
      </w:r>
      <w:r>
        <w:t xml:space="preserve">: Most open-source software lacks official support. As a result, timely response and effective resolution of critical operational system failures cannot be guaranteed, potentially leading to interruptions in meteorological operations and data loss.</w:t>
      </w:r>
    </w:p>
    <w:bookmarkEnd w:id="42"/>
    <w:bookmarkStart w:id="43" w:name="X96fe6307f54f8490e649c5bdcc4c76a3d6f608b"/>
    <w:p>
      <w:pPr>
        <w:pStyle w:val="Heading4"/>
      </w:pPr>
      <w:r>
        <w:t xml:space="preserve">Hidden costs</w:t>
      </w:r>
    </w:p>
    <w:p>
      <w:pPr>
        <w:numPr>
          <w:ilvl w:val="0"/>
          <w:numId w:val="1010"/>
        </w:numPr>
      </w:pPr>
      <w:r>
        <w:rPr>
          <w:bCs/>
          <w:b/>
        </w:rPr>
        <w:t xml:space="preserve">Technical adaptation and integration costs</w:t>
      </w:r>
      <w:r>
        <w:t xml:space="preserve">: Human resources must be allocated for software customization and adaptation, system interface integration, and compatibility testing to ensure the software aligns with existing systems.</w:t>
      </w:r>
    </w:p>
    <w:p>
      <w:pPr>
        <w:numPr>
          <w:ilvl w:val="0"/>
          <w:numId w:val="1010"/>
        </w:numPr>
      </w:pPr>
      <w:r>
        <w:rPr>
          <w:bCs/>
          <w:b/>
        </w:rPr>
        <w:t xml:space="preserve">Long-term maintenance and version management costs</w:t>
      </w:r>
      <w:r>
        <w:t xml:space="preserve">: Dedicated personnel are needed to track version updates, conduct testing, and manage migrations. If a project is discontinued, taking over its maintenance internally entails high technical challenges and added operational complexity.</w:t>
      </w:r>
    </w:p>
    <w:p>
      <w:pPr>
        <w:numPr>
          <w:ilvl w:val="0"/>
          <w:numId w:val="1010"/>
        </w:numPr>
      </w:pPr>
      <w:r>
        <w:rPr>
          <w:bCs/>
          <w:b/>
        </w:rPr>
        <w:t xml:space="preserve">Talent acquisition and training costs</w:t>
      </w:r>
      <w:r>
        <w:t xml:space="preserve">: Recruiting skilled professionals can be expensive, and ongoing in-house training is required to maintain the necessary expertise.</w:t>
      </w:r>
    </w:p>
    <w:p>
      <w:pPr>
        <w:numPr>
          <w:ilvl w:val="0"/>
          <w:numId w:val="1010"/>
        </w:numPr>
      </w:pPr>
      <w:r>
        <w:rPr>
          <w:bCs/>
          <w:b/>
        </w:rPr>
        <w:t xml:space="preserve">Compliance audit and management costs</w:t>
      </w:r>
      <w:r>
        <w:t xml:space="preserve">: It is necessary to maintain an inventory of all open-source components and perform regular compliance audits. Large meteorological organizations may also need to develop dedicated management platforms, with costs increasing as the number of components grows.</w:t>
      </w:r>
    </w:p>
    <w:bookmarkEnd w:id="43"/>
    <w:bookmarkEnd w:id="44"/>
    <w:bookmarkStart w:id="65" w:name="Xc3643c74377f85c9a4aa3b901502d228a87a410"/>
    <w:p>
      <w:pPr>
        <w:pStyle w:val="Heading3"/>
      </w:pPr>
      <w:r>
        <w:t xml:space="preserve">Contributing to FOSS</w:t>
      </w:r>
    </w:p>
    <w:bookmarkStart w:id="64"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w:t>
      </w:r>
      <w:r>
        <w:rPr>
          <w:rStyle w:val="FootnoteReference"/>
        </w:rPr>
        <w:footnoteReference w:id="45"/>
      </w:r>
      <w:r>
        <w:t xml:space="preserve"> </w:t>
      </w:r>
      <w:r>
        <w:t xml:space="preserve">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11"/>
        </w:numPr>
      </w:pPr>
      <w:r>
        <w:t xml:space="preserve">"Open by default" procurement rules requiring public institutions to consider FOSS alternatives alongside proprietary solutions when acquiring software. National examples include the United States Federal Source Code Policy,</w:t>
      </w:r>
      <w:r>
        <w:rPr>
          <w:rStyle w:val="FootnoteReference"/>
        </w:rPr>
        <w:footnoteReference w:id="48"/>
      </w:r>
      <w:r>
        <w:t xml:space="preserve"> </w:t>
      </w:r>
      <w:r>
        <w:t xml:space="preserve">the Government of Canada Open First approach,</w:t>
      </w:r>
      <w:r>
        <w:rPr>
          <w:rStyle w:val="FootnoteReference"/>
        </w:rPr>
        <w:footnoteReference w:id="50"/>
      </w:r>
      <w:r>
        <w:t xml:space="preserve"> </w:t>
      </w:r>
      <w:r>
        <w:t xml:space="preserve">Australia’s Digital Service Standard (Criterion 8: Make source code open),</w:t>
      </w:r>
      <w:r>
        <w:rPr>
          <w:rStyle w:val="FootnoteReference"/>
        </w:rPr>
        <w:footnoteReference w:id="52"/>
      </w:r>
      <w:r>
        <w:t xml:space="preserve"> </w:t>
      </w:r>
      <w:r>
        <w:t xml:space="preserve">New Zealand’s NZGOAL-SE framework,</w:t>
      </w:r>
      <w:r>
        <w:rPr>
          <w:rStyle w:val="FootnoteReference"/>
        </w:rPr>
        <w:footnoteReference w:id="54"/>
      </w:r>
      <w:r>
        <w:t xml:space="preserve"> </w:t>
      </w:r>
      <w:r>
        <w:t xml:space="preserve">India’s Policy on Adoption of Open Source Software,</w:t>
      </w:r>
      <w:r>
        <w:rPr>
          <w:rStyle w:val="FootnoteReference"/>
        </w:rPr>
        <w:footnoteReference w:id="56"/>
      </w:r>
      <w:r>
        <w:t xml:space="preserve"> </w:t>
      </w:r>
      <w:r>
        <w:t xml:space="preserve">and Japan’s Open Source Promotion Report.</w:t>
      </w:r>
      <w:r>
        <w:rPr>
          <w:rStyle w:val="FootnoteReference"/>
        </w:rPr>
        <w:footnoteReference w:id="58"/>
      </w:r>
      <w:r>
        <w:t xml:space="preserve"> </w:t>
      </w:r>
      <w:r>
        <w:t xml:space="preserve">In some countries, like Romania, when you purchase "on demand" software development services, the source code should be transferred to the customer along with all the IPR associated with the software. Making the source code available under an open-source licence is highly recommended.</w:t>
      </w:r>
    </w:p>
    <w:p>
      <w:pPr>
        <w:numPr>
          <w:ilvl w:val="0"/>
          <w:numId w:val="1011"/>
        </w:numPr>
      </w:pPr>
      <w:r>
        <w:t xml:space="preserve">Guidelines for software development funded from public budget, encouraging publication of code under approved open-source licences. The "Public Money? Public Code!" campaign, supported by over 200 civil society organizations, advocates that software developed with public funds should be released under open-source licences.</w:t>
      </w:r>
      <w:r>
        <w:rPr>
          <w:rStyle w:val="FootnoteReference"/>
        </w:rPr>
        <w:footnoteReference w:id="60"/>
      </w:r>
    </w:p>
    <w:p>
      <w:pPr>
        <w:numPr>
          <w:ilvl w:val="0"/>
          <w:numId w:val="1011"/>
        </w:numPr>
      </w:pPr>
      <w:r>
        <w:t xml:space="preserve">Policies promoting interoperability and open standards, which naturally align with FOSS implementations within WIS2 and other WMO technical frameworks. In the European Union, the Interoperable Europe Act</w:t>
      </w:r>
      <w:r>
        <w:rPr>
          <w:rStyle w:val="FootnoteReference"/>
        </w:rPr>
        <w:footnoteReference w:id="62"/>
      </w:r>
      <w:r>
        <w:t xml:space="preserve"> </w:t>
      </w:r>
      <w:r>
        <w:t xml:space="preserve">(in force from April 2024) requires public sector bodies to conduct interoperability assessments and share open source solutions for cross-border digital services.</w:t>
      </w:r>
    </w:p>
    <w:p>
      <w:pPr>
        <w:numPr>
          <w:ilvl w:val="0"/>
          <w:numId w:val="1011"/>
        </w:numPr>
      </w:pPr>
      <w:r>
        <w:t xml:space="preserve">Capacity-building programmes that enable staff to acquire skills for maintaining and developing open-source tools, reducing long-term operational dependency on external vendors.</w:t>
      </w:r>
    </w:p>
    <w:p>
      <w:pPr>
        <w:numPr>
          <w:ilvl w:val="0"/>
          <w:numId w:val="1011"/>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12"/>
        </w:numPr>
      </w:pPr>
      <w:r>
        <w:t xml:space="preserve">Establish internal rules for licensing, contribution approval and repository management.</w:t>
      </w:r>
    </w:p>
    <w:p>
      <w:pPr>
        <w:numPr>
          <w:ilvl w:val="0"/>
          <w:numId w:val="1012"/>
        </w:numPr>
      </w:pPr>
      <w:r>
        <w:t xml:space="preserve">Define procedures for evaluating FOSS components (governance, community health, maintenance model).</w:t>
      </w:r>
    </w:p>
    <w:p>
      <w:pPr>
        <w:numPr>
          <w:ilvl w:val="0"/>
          <w:numId w:val="1012"/>
        </w:numPr>
      </w:pPr>
      <w:r>
        <w:t xml:space="preserve">Incorporate sustainability planning (including contribution back to upstream projects when fixes or new features are developed internally).</w:t>
      </w:r>
    </w:p>
    <w:p>
      <w:pPr>
        <w:numPr>
          <w:ilvl w:val="0"/>
          <w:numId w:val="1012"/>
        </w:numPr>
      </w:pPr>
      <w:r>
        <w:t xml:space="preserve">Promote transparency by adopting open repositories for research software and operational tools.</w:t>
      </w:r>
    </w:p>
    <w:p>
      <w:pPr>
        <w:numPr>
          <w:ilvl w:val="0"/>
          <w:numId w:val="1012"/>
        </w:numPr>
      </w:pPr>
      <w:r>
        <w:t xml:space="preserve">Events/hackathons (e.g. OGC/OSGeo/ASF Joint Sprints) TODO Vasile</w:t>
      </w:r>
    </w:p>
    <w:p>
      <w:pPr>
        <w:numPr>
          <w:ilvl w:val="1"/>
          <w:numId w:val="1013"/>
        </w:numPr>
      </w:pPr>
      <w:r>
        <w:t xml:space="preserve">By product: connection/collab</w:t>
      </w:r>
    </w:p>
    <w:p>
      <w:pPr>
        <w:numPr>
          <w:ilvl w:val="0"/>
          <w:numId w:val="1012"/>
        </w:numPr>
      </w:pPr>
      <w:r>
        <w:t xml:space="preserve">Regulations / risk / constraints / considerations</w:t>
      </w:r>
    </w:p>
    <w:p>
      <w:pPr>
        <w:numPr>
          <w:ilvl w:val="1"/>
          <w:numId w:val="1014"/>
        </w:numPr>
      </w:pPr>
      <w:r>
        <w:t xml:space="preserve">Features, maintenance, project</w:t>
      </w:r>
    </w:p>
    <w:bookmarkEnd w:id="64"/>
    <w:bookmarkEnd w:id="65"/>
    <w:bookmarkStart w:id="69"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provides a strong support mechanism for doing FOSS development in the open, using services such as</w:t>
      </w:r>
      <w:r>
        <w:t xml:space="preserve"> </w:t>
      </w:r>
      <w:hyperlink r:id="rId66">
        <w:r>
          <w:rPr>
            <w:rStyle w:val="Hyperlink"/>
          </w:rPr>
          <w:t xml:space="preserve">GitHub</w:t>
        </w:r>
      </w:hyperlink>
      <w:r>
        <w:t xml:space="preserve">,</w:t>
      </w:r>
      <w:r>
        <w:t xml:space="preserve"> </w:t>
      </w:r>
      <w:hyperlink r:id="rId67">
        <w:r>
          <w:rPr>
            <w:rStyle w:val="Hyperlink"/>
          </w:rPr>
          <w:t xml:space="preserve">GitLab</w:t>
        </w:r>
      </w:hyperlink>
      <w:r>
        <w:t xml:space="preserve">,</w:t>
      </w:r>
      <w:r>
        <w:t xml:space="preserve"> </w:t>
      </w:r>
      <w:hyperlink r:id="rId68">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5"/>
        </w:numPr>
      </w:pPr>
      <w:r>
        <w:t xml:space="preserve">Establish an "architecture of participation":</w:t>
      </w:r>
    </w:p>
    <w:p>
      <w:pPr>
        <w:numPr>
          <w:ilvl w:val="1"/>
          <w:numId w:val="1016"/>
        </w:numPr>
      </w:pPr>
      <w:r>
        <w:t xml:space="preserve">Who will be responsible for development, release management, and accepting external contributions?</w:t>
      </w:r>
    </w:p>
    <w:p>
      <w:pPr>
        <w:numPr>
          <w:ilvl w:val="1"/>
          <w:numId w:val="1016"/>
        </w:numPr>
      </w:pPr>
      <w:r>
        <w:t xml:space="preserve">How will commit access be governed and managed? Does the project need a project steering committee or group of stakeholders to help drive the project?</w:t>
      </w:r>
    </w:p>
    <w:p>
      <w:pPr>
        <w:numPr>
          <w:ilvl w:val="1"/>
          <w:numId w:val="1016"/>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6"/>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6"/>
        </w:numPr>
      </w:pPr>
      <w:r>
        <w:t xml:space="preserve">Make clear how security issues should be addressed (mitigation/release policies/timelines, contact points, etc.)</w:t>
      </w:r>
    </w:p>
    <w:p>
      <w:pPr>
        <w:numPr>
          <w:ilvl w:val="1"/>
          <w:numId w:val="1016"/>
        </w:numPr>
      </w:pPr>
      <w:r>
        <w:t xml:space="preserve">What is the release schedule for new versions?</w:t>
      </w:r>
    </w:p>
    <w:p>
      <w:pPr>
        <w:numPr>
          <w:ilvl w:val="0"/>
          <w:numId w:val="1015"/>
        </w:numPr>
      </w:pPr>
      <w:r>
        <w:t xml:space="preserve">Choose a licence that the software will be made available with (such as the Apache License, Version 2.0, MIT, etc.). It is strongly advised to consider and consult organization policies to ensure proper licensing and understanding risk, responsibility and liability</w:t>
      </w:r>
    </w:p>
    <w:p>
      <w:pPr>
        <w:numPr>
          <w:ilvl w:val="0"/>
          <w:numId w:val="1015"/>
        </w:numPr>
      </w:pPr>
      <w:r>
        <w:t xml:space="preserve">Choose the mechanism by which the software will be made available (GitHub, GitLab, Codeberg, organizational website, etc.)</w:t>
      </w:r>
    </w:p>
    <w:p>
      <w:pPr>
        <w:numPr>
          <w:ilvl w:val="0"/>
          <w:numId w:val="1015"/>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5"/>
        </w:numPr>
      </w:pPr>
      <w:r>
        <w:t xml:space="preserve">Identify any supported WMO Technical Regulations</w:t>
      </w:r>
    </w:p>
    <w:p>
      <w:pPr>
        <w:numPr>
          <w:ilvl w:val="0"/>
          <w:numId w:val="1015"/>
        </w:numPr>
      </w:pPr>
      <w:r>
        <w:t xml:space="preserve">Ensure that the project has proper documentation for users (downloading, installing, configuring, running), as well as additional documentation for developer or other audience types (administrators, etc.)</w:t>
      </w:r>
    </w:p>
    <w:p>
      <w:pPr>
        <w:numPr>
          <w:ilvl w:val="0"/>
          <w:numId w:val="1015"/>
        </w:numPr>
      </w:pPr>
      <w:r>
        <w:t xml:space="preserve">Ensure the code is versioned (for example using Git as a version control system)</w:t>
      </w:r>
    </w:p>
    <w:bookmarkEnd w:id="69"/>
    <w:bookmarkStart w:id="74" w:name="X5e97a5d281ba6a758b387b0601e11cbe2101597"/>
    <w:p>
      <w:pPr>
        <w:pStyle w:val="Heading3"/>
      </w:pPr>
      <w:r>
        <w:t xml:space="preserve">Benefits of FOSS</w:t>
      </w:r>
    </w:p>
    <w:p>
      <w:pPr>
        <w:pStyle w:val="FirstParagraph"/>
      </w:pPr>
      <w:r>
        <w:t xml:space="preserve">The benefits of FOSS can be summarized across three dimensions: autonomy and control, cost optimization, and ecosystem flexibility.</w:t>
      </w:r>
    </w:p>
    <w:p>
      <w:pPr>
        <w:numPr>
          <w:ilvl w:val="0"/>
          <w:numId w:val="1017"/>
        </w:numPr>
      </w:pPr>
      <w:r>
        <w:rPr>
          <w:bCs/>
          <w:b/>
        </w:rPr>
        <w:t xml:space="preserve">Autonomy and control</w:t>
      </w:r>
      <w:r>
        <w:t xml:space="preserve">: The code is open and licences are flexible, allowing meteorological organizations to perform customization as needed, directly modifying the code to add or remove functional modules to suit unique operational scenarios (e.g., regional weather forecasting adjustments). This level of access also allows them to independently identify and fix vulnerabilities, optimize performance for large meteorological data workloads, and control the technical roadmap of core systems. Certain permissive licences (e.g., MIT License, Apache License 2.0) even permit using modified code as closed source in commercial products, balancing customization needs with operational requirements.</w:t>
      </w:r>
    </w:p>
    <w:p>
      <w:pPr>
        <w:numPr>
          <w:ilvl w:val="0"/>
          <w:numId w:val="1017"/>
        </w:numPr>
      </w:pPr>
      <w:r>
        <w:rPr>
          <w:bCs/>
          <w:b/>
        </w:rPr>
        <w:t xml:space="preserve">Cost advantages</w:t>
      </w:r>
      <w:r>
        <w:t xml:space="preserve">: No software licence fees or subscription fees are required, making FOSS suitable for national meteorological services as well as deployments in regional forecasting centres. The availability of source code and community documentation reduces costs during adaptation and integration. Meteorological organizations can also choose free community support or affordable third-party services instead of expensive vendor support packages. A 2021 study commissioned by the European Commission estimated that EUR 1 billion of investment in open source generated EUR 65–95 billion in economic impact, characterizing FOSS as a global public good.</w:t>
      </w:r>
      <w:r>
        <w:rPr>
          <w:rStyle w:val="FootnoteReference"/>
        </w:rPr>
        <w:footnoteReference w:id="70"/>
      </w:r>
      <w:r>
        <w:t xml:space="preserve"> </w:t>
      </w:r>
      <w:r>
        <w:t xml:space="preserve">A World Bank study of institutional investment in open-source geospatial software found a conservatively estimated 200% return on investment over seven years.</w:t>
      </w:r>
      <w:r>
        <w:rPr>
          <w:rStyle w:val="FootnoteReference"/>
        </w:rPr>
        <w:footnoteReference w:id="72"/>
      </w:r>
    </w:p>
    <w:p>
      <w:pPr>
        <w:numPr>
          <w:ilvl w:val="0"/>
          <w:numId w:val="1017"/>
        </w:numPr>
      </w:pPr>
      <w:r>
        <w:rPr>
          <w:bCs/>
          <w:b/>
        </w:rPr>
        <w:t xml:space="preserve">Avoiding vendor lock-in</w:t>
      </w:r>
      <w:r>
        <w:t xml:space="preserve">: Free from proprietary interfaces and data format dependencies, enabling free choice of deployment environments (e.g., private or public clouds). Even if the original project is discontinued, maintenance can be taken over independently or by a third party. Moreover, multiple service providers often support the same open-source software, strengthening the user’s bargaining position.</w:t>
      </w:r>
    </w:p>
    <w:p>
      <w:pPr>
        <w:numPr>
          <w:ilvl w:val="0"/>
          <w:numId w:val="1017"/>
        </w:numPr>
      </w:pPr>
      <w:r>
        <w:rPr>
          <w:bCs/>
          <w:b/>
        </w:rPr>
        <w:t xml:space="preserve">Cross-platform portability</w:t>
      </w:r>
      <w:r>
        <w:t xml:space="preserve">: Most open-source tools run on multiple operating systems (e.g., Windows and Linux). Adherence to common technical standards (e.g., WMO GRIB data formats) lowers system integration difficulty. Modular design facilitates containerized deployment and cross-cluster migration, adapting to architectural upgrades in meteorological data centres.</w:t>
      </w:r>
    </w:p>
    <w:p>
      <w:pPr>
        <w:numPr>
          <w:ilvl w:val="0"/>
          <w:numId w:val="1017"/>
        </w:numPr>
      </w:pPr>
      <w:r>
        <w:rPr>
          <w:bCs/>
          <w:b/>
        </w:rPr>
        <w:t xml:space="preserve">Technical capacity development</w:t>
      </w:r>
      <w:r>
        <w:t xml:space="preserve">: Community involvement within FOSS projects can foster career growth, professional recognition, networking and collaboration. In turn this can lead to increased techical capacity within the Members NMHSs and other organisations.</w:t>
      </w:r>
    </w:p>
    <w:bookmarkEnd w:id="74"/>
    <w:bookmarkStart w:id="75" w:name="Xe2d01f2cd9f5b30bcf02f79e54b4e0a5cfc87d8"/>
    <w:p>
      <w:pPr>
        <w:pStyle w:val="Heading3"/>
      </w:pPr>
      <w:r>
        <w:t xml:space="preserve">Profiling competencies</w:t>
      </w:r>
    </w:p>
    <w:p>
      <w:pPr>
        <w:pStyle w:val="FirstParagraph"/>
      </w:pPr>
      <w:r>
        <w:t xml:space="preserve">Members wishing to use, participate and/or manage FOSS activities should be familiar with basic FOSS principles, and assess their level of participation accordingly. Understanding the architecture of participation of FOSS varies among projects. In addition to domain and software development competencies, staff require the ability to analyze a given FOSS project and/or community, understanding how development, contributions and social and political infrastructure operate. Staff should also be supported to participate in FOSS as part of their ongoing learning and development. This can include attending conferences and/or code sprints and hackathons. The degree to which these skills are developed depend on the level of FOSS investment by a given Member organization.</w:t>
      </w:r>
    </w:p>
    <w:bookmarkEnd w:id="75"/>
    <w:bookmarkStart w:id="84" w:name="Xeb34abddd4dbe7814f37bd62538a9f1edbf60c6"/>
    <w:p>
      <w:pPr>
        <w:pStyle w:val="Heading3"/>
      </w:pPr>
      <w:r>
        <w:t xml:space="preserve">Infrastructure considerations</w:t>
      </w:r>
    </w:p>
    <w:p>
      <w:pPr>
        <w:pStyle w:val="FirstParagraph"/>
      </w:pPr>
      <w:r>
        <w:t xml:space="preserve">FOSS development and distribution is supported by a rich ecosystem of freely available hosting platforms and services.</w:t>
      </w:r>
      <w:r>
        <w:t xml:space="preserve"> </w:t>
      </w:r>
      <w:r>
        <w:t xml:space="preserve">Understanding this landscape helps Members make informed choices when publishing software, consuming FOSS components, or</w:t>
      </w:r>
      <w:r>
        <w:t xml:space="preserve"> </w:t>
      </w:r>
      <w:r>
        <w:t xml:space="preserve">participating in collaborative development.</w:t>
      </w:r>
    </w:p>
    <w:bookmarkStart w:id="79" w:name="X79a71787404caeca6be9b6da514ecf16c6128c7"/>
    <w:p>
      <w:pPr>
        <w:pStyle w:val="Heading4"/>
      </w:pPr>
      <w:r>
        <w:t xml:space="preserve">Source code hosting and collaboration</w:t>
      </w:r>
    </w:p>
    <w:p>
      <w:pPr>
        <w:pStyle w:val="FirstParagraph"/>
      </w:pPr>
      <w:r>
        <w:t xml:space="preserve">Platforms such as</w:t>
      </w:r>
      <w:r>
        <w:t xml:space="preserve"> </w:t>
      </w:r>
      <w:hyperlink r:id="rId66">
        <w:r>
          <w:rPr>
            <w:rStyle w:val="Hyperlink"/>
          </w:rPr>
          <w:t xml:space="preserve">GitHub</w:t>
        </w:r>
      </w:hyperlink>
      <w:r>
        <w:t xml:space="preserve">,</w:t>
      </w:r>
      <w:r>
        <w:t xml:space="preserve"> </w:t>
      </w:r>
      <w:hyperlink r:id="rId76">
        <w:r>
          <w:rPr>
            <w:rStyle w:val="Hyperlink"/>
          </w:rPr>
          <w:t xml:space="preserve">GitLab</w:t>
        </w:r>
      </w:hyperlink>
      <w:r>
        <w:t xml:space="preserve">, and</w:t>
      </w:r>
      <w:r>
        <w:t xml:space="preserve"> </w:t>
      </w:r>
      <w:hyperlink r:id="rId68">
        <w:r>
          <w:rPr>
            <w:rStyle w:val="Hyperlink"/>
          </w:rPr>
          <w:t xml:space="preserve">Codeberg</w:t>
        </w:r>
      </w:hyperlink>
      <w:r>
        <w:t xml:space="preserve"> </w:t>
      </w:r>
      <w:r>
        <w:t xml:space="preserve">provide the</w:t>
      </w:r>
      <w:r>
        <w:t xml:space="preserve"> </w:t>
      </w:r>
      <w:r>
        <w:t xml:space="preserve">core infrastructure for hosting source code, tracking issues, managing contributions via pull or merge requests, and</w:t>
      </w:r>
      <w:r>
        <w:t xml:space="preserve"> </w:t>
      </w:r>
      <w:r>
        <w:t xml:space="preserve">publishing project documentation. Many of these platforms also offer free tiers for public open-source projects. Members</w:t>
      </w:r>
      <w:r>
        <w:t xml:space="preserve"> </w:t>
      </w:r>
      <w:r>
        <w:t xml:space="preserve">should consider platform accessibility (e.g. connectivity constraints in some regions), governance (commercial vs.</w:t>
      </w:r>
      <w:r>
        <w:t xml:space="preserve"> </w:t>
      </w:r>
      <w:r>
        <w:t xml:space="preserve">community-run), and data sovereignty when making a choice. Some platforms, notably GitLab (Community Edition),</w:t>
      </w:r>
      <w:r>
        <w:t xml:space="preserve"> </w:t>
      </w:r>
      <w:hyperlink r:id="rId77">
        <w:r>
          <w:rPr>
            <w:rStyle w:val="Hyperlink"/>
          </w:rPr>
          <w:t xml:space="preserve">Gitea</w:t>
        </w:r>
      </w:hyperlink>
      <w:r>
        <w:t xml:space="preserve">, and</w:t>
      </w:r>
      <w:r>
        <w:t xml:space="preserve"> </w:t>
      </w:r>
      <w:hyperlink r:id="rId78">
        <w:r>
          <w:rPr>
            <w:rStyle w:val="Hyperlink"/>
          </w:rPr>
          <w:t xml:space="preserve">Forgejo</w:t>
        </w:r>
      </w:hyperlink>
      <w:r>
        <w:t xml:space="preserve">, can also be self-hosted, which may be preferable where</w:t>
      </w:r>
      <w:r>
        <w:t xml:space="preserve"> </w:t>
      </w:r>
      <w:r>
        <w:t xml:space="preserve">organizational policy or national regulations require software infrastructure to remain under institutional control.</w:t>
      </w:r>
    </w:p>
    <w:bookmarkEnd w:id="79"/>
    <w:bookmarkStart w:id="80" w:name="X0cb5d5d510c6036ae660cfd944dedaa190b13c3"/>
    <w:p>
      <w:pPr>
        <w:pStyle w:val="Heading4"/>
      </w:pPr>
      <w:r>
        <w:t xml:space="preserve">Continuous integration and delivery (CI/CD)</w:t>
      </w:r>
    </w:p>
    <w:p>
      <w:pPr>
        <w:pStyle w:val="FirstParagraph"/>
      </w:pPr>
      <w:r>
        <w:t xml:space="preserve">Most major hosting platforms include integrated CI/CD tooling (e.g. GitHub Actions, GitLab CI) that enables automated</w:t>
      </w:r>
      <w:r>
        <w:t xml:space="preserve"> </w:t>
      </w:r>
      <w:r>
        <w:t xml:space="preserve">testing, building, and release workflows. These services are typically free for public repositories and significantly</w:t>
      </w:r>
      <w:r>
        <w:t xml:space="preserve"> </w:t>
      </w:r>
      <w:r>
        <w:t xml:space="preserve">reduce the overhead of maintaining software quality and producing releases. Where platforms are self-hosted, organizations</w:t>
      </w:r>
      <w:r>
        <w:t xml:space="preserve"> </w:t>
      </w:r>
      <w:r>
        <w:t xml:space="preserve">must also provision and maintain the runner infrastructure — the compute resources on which CI/CD jobs execute. This</w:t>
      </w:r>
      <w:r>
        <w:t xml:space="preserve"> </w:t>
      </w:r>
      <w:r>
        <w:t xml:space="preserve">may be on-premises hardware, virtual machines, or cloud instances, and represents an additional operational</w:t>
      </w:r>
      <w:r>
        <w:t xml:space="preserve"> </w:t>
      </w:r>
      <w:r>
        <w:t xml:space="preserve">consideration when choosing a self-hosted deployment model.</w:t>
      </w:r>
    </w:p>
    <w:bookmarkEnd w:id="80"/>
    <w:bookmarkStart w:id="82" w:name="X34910fe38c04bb18303ce3b01c49bb74cbdd05f"/>
    <w:p>
      <w:pPr>
        <w:pStyle w:val="Heading4"/>
      </w:pPr>
      <w:r>
        <w:t xml:space="preserve">Package and artefact registries</w:t>
      </w:r>
    </w:p>
    <w:p>
      <w:pPr>
        <w:pStyle w:val="FirstParagraph"/>
      </w:pPr>
      <w:r>
        <w:t xml:space="preserve">FOSS components are distributed through a variety of public registries depending on the language and runtime</w:t>
      </w:r>
      <w:r>
        <w:t xml:space="preserve"> </w:t>
      </w:r>
      <w:r>
        <w:t xml:space="preserve">environment — for example, PyPI (Python), npm (JavaScript), Docker Hub and GitHub Container Registry (container images),</w:t>
      </w:r>
      <w:r>
        <w:t xml:space="preserve"> </w:t>
      </w:r>
      <w:r>
        <w:t xml:space="preserve">and conda-forge (scientific computing). Members consuming FOSS should be aware of the provenance and integrity guarantees</w:t>
      </w:r>
      <w:r>
        <w:t xml:space="preserve"> </w:t>
      </w:r>
      <w:r>
        <w:t xml:space="preserve">offered by each registry, and consider mirroring critical dependencies where connectivity is a concern. Registry</w:t>
      </w:r>
      <w:r>
        <w:t xml:space="preserve"> </w:t>
      </w:r>
      <w:r>
        <w:t xml:space="preserve">licensing terms can also change: for example, Anaconda Inc. revised their Terms of Service in 2020 to require a paid</w:t>
      </w:r>
      <w:r>
        <w:t xml:space="preserve"> </w:t>
      </w:r>
      <w:r>
        <w:t xml:space="preserve">licence for use of their</w:t>
      </w:r>
      <w:r>
        <w:t xml:space="preserve"> </w:t>
      </w:r>
      <w:r>
        <w:rPr>
          <w:rStyle w:val="VerbatimChar"/>
        </w:rPr>
        <w:t xml:space="preserve">defaults</w:t>
      </w:r>
      <w:r>
        <w:t xml:space="preserve"> </w:t>
      </w:r>
      <w:r>
        <w:t xml:space="preserve">channel by organizations with more than 200 employees, while the community-maintained</w:t>
      </w:r>
      <w:r>
        <w:t xml:space="preserve"> </w:t>
      </w:r>
      <w:hyperlink r:id="rId81">
        <w:r>
          <w:rPr>
            <w:rStyle w:val="Hyperlink"/>
          </w:rPr>
          <w:t xml:space="preserve">conda-forge</w:t>
        </w:r>
      </w:hyperlink>
      <w:r>
        <w:t xml:space="preserve"> </w:t>
      </w:r>
      <w:r>
        <w:t xml:space="preserve">channel remains freely available. This illustrates the importance of reviewing</w:t>
      </w:r>
      <w:r>
        <w:t xml:space="preserve"> </w:t>
      </w:r>
      <w:r>
        <w:t xml:space="preserve">registry terms alongside software licences.</w:t>
      </w:r>
    </w:p>
    <w:bookmarkEnd w:id="82"/>
    <w:bookmarkStart w:id="83" w:name="X8dff1d36b80311eae41d281e05e4bee13831e9c"/>
    <w:p>
      <w:pPr>
        <w:pStyle w:val="Heading4"/>
      </w:pPr>
      <w:r>
        <w:t xml:space="preserve">Community infrastructure</w:t>
      </w:r>
    </w:p>
    <w:p>
      <w:pPr>
        <w:pStyle w:val="FirstParagraph"/>
      </w:pPr>
      <w:r>
        <w:t xml:space="preserve">Beyond code hosting, FOSS projects often rely on additional community infrastructure including mailing lists, discussion</w:t>
      </w:r>
      <w:r>
        <w:t xml:space="preserve"> </w:t>
      </w:r>
      <w:r>
        <w:t xml:space="preserve">forums, chat platforms (e.g. Matrix, Slack, Discourse), and documentation sites. When evaluating or adopting a FOSS</w:t>
      </w:r>
      <w:r>
        <w:t xml:space="preserve"> </w:t>
      </w:r>
      <w:r>
        <w:t xml:space="preserve">project, the health and accessibility of these channels is a useful indicator of community activity and support.</w:t>
      </w:r>
    </w:p>
    <w:bookmarkEnd w:id="83"/>
    <w:bookmarkEnd w:id="84"/>
    <w:bookmarkEnd w:id="85"/>
    <w:bookmarkStart w:id="128" w:name="X6bcf1cf9c376d92376d2e0d9f96c3afb74e806b"/>
    <w:p>
      <w:pPr>
        <w:pStyle w:val="Heading2"/>
      </w:pPr>
      <w:r>
        <w:t xml:space="preserve">WMO Activities</w:t>
      </w:r>
    </w:p>
    <w:bookmarkStart w:id="106"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 coordination at the organizational level has grown accordingly. Historically, software developed, or selected, for use in different projects and programmes has largely been managed on an ad-hoc basis. Independent experts, contractors, and implementing authorities / agencies have typically made independent choices without a common framework for the evaluation, governance, and life-cycle management of FOSS.</w:t>
      </w:r>
    </w:p>
    <w:p>
      <w:pPr>
        <w:pStyle w:val="BodyText"/>
      </w:pPr>
      <w:r>
        <w:t xml:space="preserve">Whilst enabling rapid development and innovation, this approach has led to fragmentation and duplication of effort, and in some cases, reliance on unmaintained or insecure software that puts Members services at risk.</w:t>
      </w:r>
    </w:p>
    <w:p>
      <w:pPr>
        <w:pStyle w:val="BodyText"/>
      </w:pPr>
      <w:r>
        <w:t xml:space="preserve">The WMO Secretariat, as the body supporting the work of its Members and constituent bodies, has a central role in coordinating FOSS activities across WMO programmes and projects and in supporting Members in the adoption of FOSS. This coordination function should ensure that FOSS initiatives adopted through WMO projects and programmes are aligned with the WMO’s regulatory framework and that software used in support of WMO obligations meets appropriate standards of quality and security. Equally important, this coordination should ensure that Members, particularly those with more limited technical capacities, are not left behind.</w:t>
      </w:r>
    </w:p>
    <w:bookmarkStart w:id="86" w:name="Xd65da07cf55abc51ecd99deaff92e5eef27383d"/>
    <w:p>
      <w:pPr>
        <w:pStyle w:val="Heading4"/>
      </w:pPr>
      <w:r>
        <w:t xml:space="preserve">Governance and organizational functions</w:t>
      </w:r>
    </w:p>
    <w:p>
      <w:pPr>
        <w:pStyle w:val="FirstParagraph"/>
      </w:pPr>
      <w:r>
        <w:t xml:space="preserve">Effective FOSS coordination with the WMO requires dedicated governance functions. The following functions are identified as essential:</w:t>
      </w:r>
    </w:p>
    <w:p>
      <w:pPr>
        <w:numPr>
          <w:ilvl w:val="0"/>
          <w:numId w:val="1018"/>
        </w:numPr>
      </w:pPr>
      <w:r>
        <w:rPr>
          <w:bCs/>
          <w:b/>
        </w:rPr>
        <w:t xml:space="preserve">Software evaluation and review</w:t>
      </w:r>
      <w:r>
        <w:t xml:space="preserve">: Providing a consistent process for assessing FOSS used in WMO programmes and projects, applying criteria such as those described in the FOSS evaluation rubric (see</w:t>
      </w:r>
      <w:r>
        <w:t xml:space="preserve"> </w:t>
      </w:r>
      <w:hyperlink w:anchor="annex-evaluation-rubric">
        <w:r>
          <w:rPr>
            <w:rStyle w:val="Hyperlink"/>
          </w:rPr>
          <w:t xml:space="preserve">appendix_title</w:t>
        </w:r>
      </w:hyperlink>
      <w:r>
        <w:t xml:space="preserve">).</w:t>
      </w:r>
      <w:r>
        <w:t xml:space="preserve"> </w:t>
      </w:r>
      <w:r>
        <w:t xml:space="preserve">This includes evaluating licence compatibility, security posture, project and community health, openness of governance, and technical fitness for purpose.</w:t>
      </w:r>
    </w:p>
    <w:p>
      <w:pPr>
        <w:numPr>
          <w:ilvl w:val="0"/>
          <w:numId w:val="1018"/>
        </w:numPr>
      </w:pPr>
      <w:r>
        <w:rPr>
          <w:bCs/>
          <w:b/>
        </w:rPr>
        <w:t xml:space="preserve">Lifecycle oversight</w:t>
      </w:r>
      <w:r>
        <w:t xml:space="preserve">: Tracking the status of FOSS components used across WMO programmes, from initial adoption through operational use to end-of-life, ensuring that migration plans are in place when software is no longer maintained.</w:t>
      </w:r>
    </w:p>
    <w:p>
      <w:pPr>
        <w:numPr>
          <w:ilvl w:val="0"/>
          <w:numId w:val="1018"/>
        </w:numPr>
      </w:pPr>
      <w:r>
        <w:rPr>
          <w:bCs/>
          <w:b/>
        </w:rPr>
        <w:t xml:space="preserve">Standards alignment</w:t>
      </w:r>
      <w:r>
        <w:t xml:space="preserve">: Ensuring that FOSS developed or endorsed within WMO implements relevant Technical Regulations and open standards correctly and consistently.</w:t>
      </w:r>
    </w:p>
    <w:p>
      <w:pPr>
        <w:numPr>
          <w:ilvl w:val="0"/>
          <w:numId w:val="1018"/>
        </w:numPr>
      </w:pPr>
      <w:r>
        <w:rPr>
          <w:bCs/>
          <w:b/>
        </w:rPr>
        <w:t xml:space="preserve">Guidance and advisory support</w:t>
      </w:r>
      <w:r>
        <w:t xml:space="preserve">: Providing practical guidance to Expert Teams, Task Teams, Communities of</w:t>
      </w:r>
      <w:r>
        <w:t xml:space="preserve"> </w:t>
      </w:r>
      <w:r>
        <w:t xml:space="preserve">Practice, and other implementors on FOSS best practices, including licensing, contribution workflows, governance models and release management.</w:t>
      </w:r>
    </w:p>
    <w:p>
      <w:pPr>
        <w:pStyle w:val="FirstParagraph"/>
      </w:pPr>
      <w:r>
        <w:t xml:space="preserve">These functions may be carried out by existing WMO bodies, such as the Standing Committees, Expert Teams, and Task Teams. However, these bodies often have a narrow focus on a particular activity or area, are not typically involved in the projects implementing or using FOSS, and often lack the specialist knowledge on FOSS. Alternatively, a dedicated software review function, such as through an Open Source Program Office (OSPO), could be established. Regardless of the organizational form, there is a clear requirement for software governance to be systematic rather than ad-hoc, and that clear, objective criteria exist for evaluating and endorsing FOSS within WMO.</w:t>
      </w:r>
    </w:p>
    <w:p>
      <w:pPr>
        <w:pStyle w:val="BodyText"/>
      </w:pPr>
      <w:r>
        <w:t xml:space="preserve">It is important to note that WMO should not seek to develop its own registry of open-source software.</w:t>
      </w:r>
    </w:p>
    <w:p>
      <w:pPr>
        <w:pStyle w:val="BodyText"/>
      </w:pPr>
      <w:r>
        <w:t xml:space="preserve">Existing registries and ecosystems (such as those maintained by OSGeo, the Digital Public Goods Alliance, and language-specific package repositories) already serve this purpose. WMO’s coordination role should focus on evaluating and recommending software from within these existing ecosystems, rather than duplicating their efforts.</w:t>
      </w:r>
    </w:p>
    <w:bookmarkEnd w:id="86"/>
    <w:bookmarkStart w:id="87" w:name="Xda8c6d204074370d1bc30d76c548d2f7edf5357"/>
    <w:p>
      <w:pPr>
        <w:pStyle w:val="Heading4"/>
      </w:pPr>
      <w:r>
        <w:t xml:space="preserve">Roles and responsibilities</w:t>
      </w:r>
    </w:p>
    <w:p>
      <w:pPr>
        <w:pStyle w:val="FirstParagraph"/>
      </w:pPr>
      <w:r>
        <w:t xml:space="preserve">Coordination of FOSS activities within the WMO involves a range of actors:</w:t>
      </w:r>
    </w:p>
    <w:p>
      <w:pPr>
        <w:numPr>
          <w:ilvl w:val="0"/>
          <w:numId w:val="1019"/>
        </w:numPr>
      </w:pPr>
      <w:r>
        <w:rPr>
          <w:bCs/>
          <w:b/>
        </w:rPr>
        <w:t xml:space="preserve">WMO Secretariat</w:t>
      </w:r>
      <w:r>
        <w:t xml:space="preserve">: Facilitates coordination across programmes and projects, supports the development and maintenance of FOSS guidance, and manages relationships with external FOSS organizations. The Secretariat also provides continuity and institutional memory for FOSS initiatives that span multiple constituent body sessions.</w:t>
      </w:r>
    </w:p>
    <w:p>
      <w:pPr>
        <w:numPr>
          <w:ilvl w:val="0"/>
          <w:numId w:val="1019"/>
        </w:numPr>
      </w:pPr>
      <w:r>
        <w:rPr>
          <w:bCs/>
          <w:b/>
        </w:rPr>
        <w:t xml:space="preserve">Expert Teams and Task Teams</w:t>
      </w:r>
      <w:r>
        <w:t xml:space="preserve">: Provide domain-specific expertise in evaluating and developing FOSS relevant to their areas of responsibility. Expert Teams and Task Teams may identify candidate software for endorsement or develop</w:t>
      </w:r>
      <w:r>
        <w:t xml:space="preserve"> </w:t>
      </w:r>
      <w:hyperlink w:anchor="Xf84f2d88b0d639a4b91f9fb5af653c48c9e6f00">
        <w:r>
          <w:rPr>
            <w:rStyle w:val="Hyperlink"/>
          </w:rPr>
          <w:t xml:space="preserve">Reference Implementations</w:t>
        </w:r>
      </w:hyperlink>
      <w:r>
        <w:t xml:space="preserve"> </w:t>
      </w:r>
      <w:r>
        <w:t xml:space="preserve">of WMO standards.</w:t>
      </w:r>
    </w:p>
    <w:p>
      <w:pPr>
        <w:numPr>
          <w:ilvl w:val="0"/>
          <w:numId w:val="1019"/>
        </w:numPr>
      </w:pPr>
      <w:r>
        <w:rPr>
          <w:bCs/>
          <w:b/>
        </w:rPr>
        <w:t xml:space="preserve">Communities of Practice</w:t>
      </w:r>
      <w:r>
        <w:t xml:space="preserve">: Serve as collaborative spaces where Members, developers and stakeholders work together on shared FOSS initiatives. Communities of Practice can play an important role in maintaining and evolving software that supports WMO standards, as demonstrated by the development of</w:t>
      </w:r>
      <w:r>
        <w:t xml:space="preserve"> </w:t>
      </w:r>
      <w:hyperlink w:anchor="Xf84f2d88b0d639a4b91f9fb5af653c48c9e6f00">
        <w:r>
          <w:rPr>
            <w:rStyle w:val="Hyperlink"/>
          </w:rPr>
          <w:t xml:space="preserve">Reference Implementations</w:t>
        </w:r>
      </w:hyperlink>
      <w:r>
        <w:t xml:space="preserve"> </w:t>
      </w:r>
      <w:r>
        <w:t xml:space="preserve">within the WIS2 programme and the OpenCDMS project and initiative.</w:t>
      </w:r>
    </w:p>
    <w:p>
      <w:pPr>
        <w:numPr>
          <w:ilvl w:val="0"/>
          <w:numId w:val="1019"/>
        </w:numPr>
      </w:pPr>
      <w:r>
        <w:rPr>
          <w:bCs/>
          <w:b/>
        </w:rPr>
        <w:t xml:space="preserve">Members</w:t>
      </w:r>
      <w:r>
        <w:t xml:space="preserve">: Contribute expertise, code, testing and operational feedback. Members with mature FOSS programmes can serve as mentors and collaborators for those building capacity.</w:t>
      </w:r>
    </w:p>
    <w:p>
      <w:pPr>
        <w:pStyle w:val="FirstParagraph"/>
      </w:pPr>
      <w:r>
        <w:t xml:space="preserve">Whilst "Communities of Practice" have been listed above, these do not exist formally within the WMO’s framework and constituent bodies, instead operating on an informal basis. Strengthening and formally recognizing these communities would have significant benefit.</w:t>
      </w:r>
    </w:p>
    <w:bookmarkEnd w:id="87"/>
    <w:bookmarkStart w:id="90"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20"/>
        </w:numPr>
      </w:pPr>
      <w:r>
        <w:rPr>
          <w:bCs/>
          <w:b/>
        </w:rPr>
        <w:t xml:space="preserve">Concept and prototyping</w:t>
      </w:r>
      <w:r>
        <w:t xml:space="preserve">: An initial requirement is identified and ideas are explored. These may often be part of the development of a new standard, such as the WIS2.0 standards, or in response to an operational need. At this stage, the software may be experimental and maintained by a small number of developers.</w:t>
      </w:r>
    </w:p>
    <w:p>
      <w:pPr>
        <w:numPr>
          <w:ilvl w:val="0"/>
          <w:numId w:val="1020"/>
        </w:numPr>
      </w:pPr>
      <w:r>
        <w:rPr>
          <w:bCs/>
          <w:b/>
        </w:rPr>
        <w:t xml:space="preserve">Development and pilot use</w:t>
      </w:r>
      <w:r>
        <w:t xml:space="preserve">: Following initial prototyping, the software gains maturity and may have additional contributors. The software is tested in pilot environments. Parallel to this, the standards that the software is implementing may also gain maturity and undergo further changes.</w:t>
      </w:r>
    </w:p>
    <w:p>
      <w:pPr>
        <w:numPr>
          <w:ilvl w:val="0"/>
          <w:numId w:val="1020"/>
        </w:numPr>
      </w:pPr>
      <w:r>
        <w:rPr>
          <w:bCs/>
          <w:b/>
        </w:rPr>
        <w:t xml:space="preserve">Operational use</w:t>
      </w:r>
      <w:r>
        <w:t xml:space="preserve">: Software, and standards, are ready for production use in operational environments. There will be established governance processes for the FOSS together with comprehensive documentation and contribution guides. The contributor base will have grown and be sustainable.</w:t>
      </w:r>
    </w:p>
    <w:p>
      <w:pPr>
        <w:numPr>
          <w:ilvl w:val="0"/>
          <w:numId w:val="1020"/>
        </w:numPr>
      </w:pPr>
      <w:r>
        <w:rPr>
          <w:bCs/>
          <w:b/>
        </w:rPr>
        <w:t xml:space="preserve">End-of-life and migration</w:t>
      </w:r>
      <w:r>
        <w:t xml:space="preserve">: When software is no longer actively maintained or has been superseded, clear guidance should exist for migrating to alternative solutions, including data migration. End-of-life planning is particularly important for software that Members depend on for operational services.</w:t>
      </w:r>
    </w:p>
    <w:p>
      <w:pPr>
        <w:pStyle w:val="FirstParagraph"/>
      </w:pPr>
      <w:r>
        <w:t xml:space="preserve">The WMO can support this lifecycle by providing evaluation criteria at each stage, recognizing software that meets established thresholds of maturity, and facilitating transitions when software reaches end-of-life. Established frameworks such as the OSGeo incubator and graduation process</w:t>
      </w:r>
      <w:r>
        <w:rPr>
          <w:rStyle w:val="FootnoteReference"/>
        </w:rPr>
        <w:footnoteReference w:id="88"/>
      </w:r>
      <w:r>
        <w:t xml:space="preserve"> </w:t>
      </w:r>
      <w:r>
        <w:t xml:space="preserve">provide a useful model for structuring such a lifecycle within the WMO.</w:t>
      </w:r>
    </w:p>
    <w:bookmarkEnd w:id="90"/>
    <w:bookmarkStart w:id="91"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 Software that is relied upon by Members, especially for operational services, must be maintained over the long-term, with timely security updates and patches, backwards compatibility and responsive support. Key risks to be managed include:</w:t>
      </w:r>
    </w:p>
    <w:p>
      <w:pPr>
        <w:numPr>
          <w:ilvl w:val="0"/>
          <w:numId w:val="1021"/>
        </w:numPr>
      </w:pPr>
      <w:r>
        <w:rPr>
          <w:bCs/>
          <w:b/>
        </w:rPr>
        <w:t xml:space="preserve">Bus / retirement factor</w:t>
      </w:r>
      <w:r>
        <w:t xml:space="preserve">: Over-reliance on a single, or small team, for critical software. When supporting FOSS development and adoption, the WMO should encourage a broad contributor base, shared governance, and pooling of resources for the support and development of critical software.</w:t>
      </w:r>
    </w:p>
    <w:p>
      <w:pPr>
        <w:numPr>
          <w:ilvl w:val="0"/>
          <w:numId w:val="1021"/>
        </w:numPr>
      </w:pPr>
      <w:r>
        <w:rPr>
          <w:bCs/>
          <w:b/>
        </w:rPr>
        <w:t xml:space="preserve">Lack of long-term support and maintenance</w:t>
      </w:r>
      <w:r>
        <w:t xml:space="preserve">: Not all FOSS projects have a sustained commitment to long-term support. Projects may cease active development without formal end-of-life notice, leaving Members dependent on unmaintained software with unaddressed vulnerabilities and no migration path. Unlike proprietary software, where support obligations are contractually defined, FOSS maintenance relies on community goodwill, institutional backing, or commercial arrangements — none of which are guaranteed. Members should assess the long-term support model of any FOSS solution prior to operational adoption and have contingency plans in place should maintenance cease.</w:t>
      </w:r>
    </w:p>
    <w:p>
      <w:pPr>
        <w:numPr>
          <w:ilvl w:val="0"/>
          <w:numId w:val="1021"/>
        </w:numPr>
      </w:pPr>
      <w:r>
        <w:rPr>
          <w:bCs/>
          <w:b/>
        </w:rPr>
        <w:t xml:space="preserve">Security vulnerabilities</w:t>
      </w:r>
      <w:r>
        <w:t xml:space="preserve">: Software components must be subject to regular security reviews, including vulnerability testing, with clear disclosure and patching policies. Adequate resources must be in place to ensure any identified vulnerabilities are addressed in a timely fashion.</w:t>
      </w:r>
    </w:p>
    <w:p>
      <w:pPr>
        <w:numPr>
          <w:ilvl w:val="0"/>
          <w:numId w:val="1021"/>
        </w:numPr>
      </w:pPr>
      <w:r>
        <w:rPr>
          <w:bCs/>
          <w:b/>
        </w:rPr>
        <w:t xml:space="preserve">Dependency risk</w:t>
      </w:r>
      <w:r>
        <w:t xml:space="preserve">: Software often depends on a chain of upstream libraries and components. Understanding and monitoring these dependencies is essential for assessing overall project health. This includes changes to upstream licensing conditions.</w:t>
      </w:r>
    </w:p>
    <w:p>
      <w:pPr>
        <w:numPr>
          <w:ilvl w:val="0"/>
          <w:numId w:val="1021"/>
        </w:numPr>
      </w:pPr>
      <w:r>
        <w:rPr>
          <w:bCs/>
          <w:b/>
        </w:rPr>
        <w:t xml:space="preserve">Funding and institutional support</w:t>
      </w:r>
      <w:r>
        <w:t xml:space="preserve">: Whilst FOSS may be free of licensing costs there are still costs associated with the development, maintenance, implementation and operation of FOSS software. These costs are often hidden or neglected but should be taken into account. Capacity development costs — including staff training, upskilling, and the ongoing effort required to build and retain the expertise needed to evaluate, deploy and maintain FOSS — represent a significant and frequently underestimated component of these costs, particularly for Members with limited technical resources.</w:t>
      </w:r>
    </w:p>
    <w:p>
      <w:pPr>
        <w:pStyle w:val="FirstParagraph"/>
      </w:pPr>
      <w:r>
        <w:t xml:space="preserve">The WMO has a role in supporting FOSS initiatives and managing risks by promoting and supporting investment in the development and maintenance of FOSS software and in community management. This support may be realized through sources such as the WMO Voluntary Cooperation Programme (VCP), extra-budgetary resources and projects, and through broader stakeholder and donor engagement.</w:t>
      </w:r>
    </w:p>
    <w:p>
      <w:pPr>
        <w:pStyle w:val="BodyText"/>
      </w:pPr>
      <w:r>
        <w:t xml:space="preserve">The WMO’s coordination role should include monitoring the health of FOSS that is critical to WMO programmes and alerting Members to emerging risks, such as previously promoted projects that show declining activity, unpatched vulnerabilities or loss of key maintainers.</w:t>
      </w:r>
    </w:p>
    <w:bookmarkEnd w:id="91"/>
    <w:bookmarkStart w:id="92"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 This includes:</w:t>
      </w:r>
    </w:p>
    <w:p>
      <w:pPr>
        <w:numPr>
          <w:ilvl w:val="0"/>
          <w:numId w:val="1022"/>
        </w:numPr>
      </w:pPr>
      <w:r>
        <w:rPr>
          <w:bCs/>
          <w:b/>
        </w:rPr>
        <w:t xml:space="preserve">Technical Regulations and standards</w:t>
      </w:r>
      <w:r>
        <w:t xml:space="preserve">: Co-development of Reference Implementations alongside the development and implementation of new regulations and standards; FOSS developed or endorsed should conform with and / or implement WMO standards. The WMO should also promote alignment and interoperability with open standards, such as those developed by the Open Geospatial Consortium (OGC).</w:t>
      </w:r>
    </w:p>
    <w:p>
      <w:pPr>
        <w:numPr>
          <w:ilvl w:val="0"/>
          <w:numId w:val="1022"/>
        </w:numPr>
      </w:pPr>
      <w:r>
        <w:rPr>
          <w:bCs/>
          <w:b/>
        </w:rPr>
        <w:t xml:space="preserve">Cross-programme and cross-project coordination</w:t>
      </w:r>
      <w:r>
        <w:t xml:space="preserve">: FOSS components are often relevant to multiple WMO programmes. Coordination can help avoid duplication, identify opportunities for shared development and ensure that Members benefit from a coherent set of tools rather than competing or overlapping solutions.</w:t>
      </w:r>
    </w:p>
    <w:bookmarkEnd w:id="92"/>
    <w:bookmarkStart w:id="93"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 capacity, and making sure that no Member is left behind. This includes:</w:t>
      </w:r>
    </w:p>
    <w:p>
      <w:pPr>
        <w:numPr>
          <w:ilvl w:val="0"/>
          <w:numId w:val="1023"/>
        </w:numPr>
      </w:pPr>
      <w:r>
        <w:rPr>
          <w:bCs/>
          <w:b/>
        </w:rPr>
        <w:t xml:space="preserve">Capacity building</w:t>
      </w:r>
      <w:r>
        <w:t xml:space="preserve">: Providing training, documentation and technical support to help Members evaluate, deploy and maintain FOSS solutions. This is particularly important for developing countries and small island developing states, where resource constraints may limit the ability to engage with FOSS communities directly.</w:t>
      </w:r>
    </w:p>
    <w:p>
      <w:pPr>
        <w:numPr>
          <w:ilvl w:val="0"/>
          <w:numId w:val="1023"/>
        </w:numPr>
      </w:pPr>
      <w:r>
        <w:rPr>
          <w:bCs/>
          <w:b/>
        </w:rPr>
        <w:t xml:space="preserve">Knowledge transfer</w:t>
      </w:r>
      <w:r>
        <w:t xml:space="preserve">: Facilitating the exchange of experience and expertise between Members, for example through workshops, code sprints and hackathons organized alongside WMO events or in collaboration with partner organizations.</w:t>
      </w:r>
    </w:p>
    <w:p>
      <w:pPr>
        <w:numPr>
          <w:ilvl w:val="0"/>
          <w:numId w:val="1023"/>
        </w:numPr>
      </w:pPr>
      <w:r>
        <w:rPr>
          <w:bCs/>
          <w:b/>
        </w:rPr>
        <w:t xml:space="preserve">Visibility and discovery</w:t>
      </w:r>
      <w:r>
        <w:t xml:space="preserve">: Helping Members identify FOSS that is relevant to their needs by curating recommendations and maintaining awareness of available tools within the WMO community, drawing on existing registries and partner ecosystems.</w:t>
      </w:r>
    </w:p>
    <w:bookmarkEnd w:id="93"/>
    <w:bookmarkStart w:id="105"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w:t>
      </w:r>
      <w:r>
        <w:t xml:space="preserve"> </w:t>
      </w:r>
      <w:hyperlink r:id="rId94">
        <w:r>
          <w:rPr>
            <w:rStyle w:val="Hyperlink"/>
          </w:rPr>
          <w:t xml:space="preserve">Open Source Geospatial Foundation (OSGeo)</w:t>
        </w:r>
      </w:hyperlink>
      <w:r>
        <w:t xml:space="preserve">, the</w:t>
      </w:r>
      <w:r>
        <w:t xml:space="preserve"> </w:t>
      </w:r>
      <w:hyperlink r:id="rId95">
        <w:r>
          <w:rPr>
            <w:rStyle w:val="Hyperlink"/>
          </w:rPr>
          <w:t xml:space="preserve">Digital Public Goods Alliance (DPGA)</w:t>
        </w:r>
      </w:hyperlink>
      <w:r>
        <w:t xml:space="preserve">, the</w:t>
      </w:r>
      <w:r>
        <w:t xml:space="preserve"> </w:t>
      </w:r>
      <w:hyperlink r:id="rId96">
        <w:r>
          <w:rPr>
            <w:rStyle w:val="Hyperlink"/>
          </w:rPr>
          <w:t xml:space="preserve">Apache Software Foundation</w:t>
        </w:r>
      </w:hyperlink>
      <w:r>
        <w:t xml:space="preserve"> </w:t>
      </w:r>
      <w:r>
        <w:t xml:space="preserve">and others have developed mature frameworks for FOSS governance, incubation and community management. WMO should seek to leverage these existing frameworks rather than developing parallel structures.</w:t>
      </w:r>
    </w:p>
    <w:p>
      <w:pPr>
        <w:pStyle w:val="BodyText"/>
      </w:pPr>
      <w:r>
        <w:t xml:space="preserve">Potential areas for collaboration include:</w:t>
      </w:r>
    </w:p>
    <w:p>
      <w:pPr>
        <w:numPr>
          <w:ilvl w:val="0"/>
          <w:numId w:val="1024"/>
        </w:numPr>
      </w:pPr>
      <w:r>
        <w:rPr>
          <w:bCs/>
          <w:b/>
        </w:rPr>
        <w:t xml:space="preserve">Formal partnerships:</w:t>
      </w:r>
      <w:r>
        <w:t xml:space="preserve"> </w:t>
      </w:r>
      <w:r>
        <w:t xml:space="preserve">Memoranda of Understanding (MoUs) with organizations such as OSGeo can provide a structured basis for collaboration on project governance, incubation and quality assurance.</w:t>
      </w:r>
    </w:p>
    <w:p>
      <w:pPr>
        <w:numPr>
          <w:ilvl w:val="0"/>
          <w:numId w:val="1024"/>
        </w:numPr>
      </w:pPr>
      <w:r>
        <w:rPr>
          <w:bCs/>
          <w:b/>
        </w:rPr>
        <w:t xml:space="preserve">Registration as Digital Public Goods:</w:t>
      </w:r>
      <w:r>
        <w:t xml:space="preserve"> </w:t>
      </w:r>
      <w:r>
        <w:t xml:space="preserve">Key WMO FOSS implementations may qualify for registration with the DPGA, increasing their visibility and credibility within the broader international development community. The</w:t>
      </w:r>
      <w:r>
        <w:t xml:space="preserve"> </w:t>
      </w:r>
      <w:hyperlink r:id="rId97">
        <w:r>
          <w:rPr>
            <w:rStyle w:val="Hyperlink"/>
          </w:rPr>
          <w:t xml:space="preserve">DPG Standard</w:t>
        </w:r>
      </w:hyperlink>
      <w:r>
        <w:t xml:space="preserve"> </w:t>
      </w:r>
      <w:r>
        <w:t xml:space="preserve">provides a structured quality framework covering licence compliance, documentation, privacy, and standards adherence.</w:t>
      </w:r>
    </w:p>
    <w:p>
      <w:pPr>
        <w:numPr>
          <w:ilvl w:val="0"/>
          <w:numId w:val="1024"/>
        </w:numPr>
      </w:pPr>
      <w:r>
        <w:rPr>
          <w:bCs/>
          <w:b/>
        </w:rPr>
        <w:t xml:space="preserve">Multilateral development partners:</w:t>
      </w:r>
      <w:r>
        <w:t xml:space="preserve"> </w:t>
      </w:r>
      <w:r>
        <w:t xml:space="preserve">The</w:t>
      </w:r>
      <w:r>
        <w:t xml:space="preserve"> </w:t>
      </w:r>
      <w:hyperlink r:id="rId98">
        <w:r>
          <w:rPr>
            <w:rStyle w:val="Hyperlink"/>
          </w:rPr>
          <w:t xml:space="preserve">UNDP</w:t>
        </w:r>
      </w:hyperlink>
      <w:r>
        <w:t xml:space="preserve"> </w:t>
      </w:r>
      <w:r>
        <w:t xml:space="preserve">and</w:t>
      </w:r>
      <w:r>
        <w:t xml:space="preserve"> </w:t>
      </w:r>
      <w:hyperlink r:id="rId99">
        <w:r>
          <w:rPr>
            <w:rStyle w:val="Hyperlink"/>
          </w:rPr>
          <w:t xml:space="preserve">ITU</w:t>
        </w:r>
      </w:hyperlink>
      <w:r>
        <w:t xml:space="preserve">, through their joint Open Source Ecosystem Enabler (OSEE) initiative, provide practical support to developing countries in establishing national open source ecosystems and Open Source Programme Offices (OSPOs). The</w:t>
      </w:r>
      <w:r>
        <w:t xml:space="preserve"> </w:t>
      </w:r>
      <w:hyperlink r:id="rId100">
        <w:r>
          <w:rPr>
            <w:rStyle w:val="Hyperlink"/>
          </w:rPr>
          <w:t xml:space="preserve">World Bank</w:t>
        </w:r>
      </w:hyperlink>
      <w:r>
        <w:t xml:space="preserve"> </w:t>
      </w:r>
      <w:r>
        <w:t xml:space="preserve">maintains its own open source programme and has documented significant returns on institutional FOSS investment in geospatial and environmental data domains directly analogous to NMHS operations.</w:t>
      </w:r>
      <w:r>
        <w:rPr>
          <w:rStyle w:val="FootnoteReference"/>
        </w:rPr>
        <w:footnoteReference w:id="101"/>
      </w:r>
    </w:p>
    <w:p>
      <w:pPr>
        <w:numPr>
          <w:ilvl w:val="0"/>
          <w:numId w:val="1024"/>
        </w:numPr>
      </w:pPr>
      <w:r>
        <w:rPr>
          <w:bCs/>
          <w:b/>
        </w:rPr>
        <w:t xml:space="preserve">Joint events:</w:t>
      </w:r>
      <w:r>
        <w:t xml:space="preserve"> </w:t>
      </w:r>
      <w:r>
        <w:t xml:space="preserve">Code sprints, hackathons and workshops organized in collaboration with partner organizations (such as OGC/OSGeo/ASF joint sprints or</w:t>
      </w:r>
      <w:r>
        <w:t xml:space="preserve"> </w:t>
      </w:r>
      <w:hyperlink r:id="rId102">
        <w:r>
          <w:rPr>
            <w:rStyle w:val="Hyperlink"/>
          </w:rPr>
          <w:t xml:space="preserve">FOSS4G conferences</w:t>
        </w:r>
      </w:hyperlink>
      <w:r>
        <w:t xml:space="preserve">) provide valuable opportunities for capacity building, community engagement and collaborative development.</w:t>
      </w:r>
    </w:p>
    <w:p>
      <w:pPr>
        <w:numPr>
          <w:ilvl w:val="0"/>
          <w:numId w:val="1024"/>
        </w:numPr>
      </w:pPr>
      <w:r>
        <w:rPr>
          <w:bCs/>
          <w:b/>
        </w:rPr>
        <w:t xml:space="preserve">Meteorological sector examples:</w:t>
      </w:r>
      <w:r>
        <w:t xml:space="preserve"> </w:t>
      </w:r>
      <w:r>
        <w:t xml:space="preserve">The European Centre for Medium-Range Weather Forecasts (ECMWF) runs an annual open source innovation programme under the Copernicus Climate Change Service (Code for Earth),</w:t>
      </w:r>
      <w:r>
        <w:rPr>
          <w:rStyle w:val="FootnoteReference"/>
        </w:rPr>
        <w:footnoteReference w:id="103"/>
      </w:r>
      <w:r>
        <w:t xml:space="preserve"> </w:t>
      </w:r>
      <w:r>
        <w:t xml:space="preserve">demonstrating how a major operational meteorological institution can embed FOSS practice as a core activity.</w:t>
      </w:r>
    </w:p>
    <w:p>
      <w:pPr>
        <w:numPr>
          <w:ilvl w:val="0"/>
          <w:numId w:val="1024"/>
        </w:numPr>
      </w:pPr>
      <w:r>
        <w:rPr>
          <w:bCs/>
          <w:b/>
        </w:rPr>
        <w:t xml:space="preserve">Regional digital innovation hubs</w:t>
      </w:r>
      <w:r>
        <w:t xml:space="preserve">: Regional digital innovation hubs, established in collaboration with Members, national and international development agencies, and regional organizations, can play an important role in the development and implementation of FOSS solutions, with a focus on meeting the needs of Members within a region. These could be co-located, or hosted, by existing regional centres.</w:t>
      </w:r>
    </w:p>
    <w:bookmarkEnd w:id="105"/>
    <w:bookmarkEnd w:id="106"/>
    <w:bookmarkStart w:id="107"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(supported network protocols, avaiability of tooling/libraries for</w:t>
      </w:r>
      <w:r>
        <w:t xml:space="preserve"> </w:t>
      </w:r>
      <w:r>
        <w:t xml:space="preserve">integration, as well as speed of implementation (if a FOSS implementation during the development</w:t>
      </w:r>
      <w:r>
        <w:t xml:space="preserve"> </w:t>
      </w:r>
      <w:r>
        <w:t xml:space="preserve">of a standard takes a considerable level of effort, why? Is the complexity acceptable for the</w:t>
      </w:r>
      <w:r>
        <w:t xml:space="preserve"> </w:t>
      </w:r>
      <w:r>
        <w:t xml:space="preserve">scope of the standard? Determining these aspects earlier can help improve and adjust the standard</w:t>
      </w:r>
      <w:r>
        <w:t xml:space="preserve"> </w:t>
      </w:r>
      <w:r>
        <w:t xml:space="preserve">while in development (as opposed to 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107"/>
    <w:bookmarkStart w:id="109"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25"/>
        </w:numPr>
      </w:pPr>
      <w:r>
        <w:t xml:space="preserve">Purpose and scope alignment. The software should have a clearly defined purpose and scope, aligned with the intended operational, research or regulatory use case. Its role within the overall system architecture (e.g. data production, exchange, discovery, processing or visualization) should be explicit and overlaps or dependencies with existing solutions should be identified.</w:t>
      </w:r>
    </w:p>
    <w:p>
      <w:pPr>
        <w:numPr>
          <w:ilvl w:val="0"/>
          <w:numId w:val="1025"/>
        </w:numPr>
      </w:pPr>
      <w:r>
        <w:t xml:space="preserve">Standards and regulatory compliance. The software should demonstrably support relevant WMO Technical Regulations, standards and recommended practices, as applicable (e.g. WIS2, BUFR, GRIB, NetCDF, WMO Core Metadata Profile). Where full compliance is not yet achieved, gaps, limitations and mitigation measures should be clearly documented.</w:t>
      </w:r>
    </w:p>
    <w:p>
      <w:pPr>
        <w:numPr>
          <w:ilvl w:val="0"/>
          <w:numId w:val="1025"/>
        </w:numPr>
      </w:pPr>
      <w:r>
        <w:t xml:space="preserve">Licensing and policy compatibility. Licensing terms must be clearly stated and compatible with national regulations, WMO data policies and operational constraints. For FOSS, licences should be OSI-approved and allow redistribution, modification and operational use without legal ambiguity.</w:t>
      </w:r>
    </w:p>
    <w:p>
      <w:pPr>
        <w:numPr>
          <w:ilvl w:val="0"/>
          <w:numId w:val="1025"/>
        </w:numPr>
      </w:pPr>
      <w:r>
        <w:t xml:space="preserve">Project maturity and sustainability. The assessment should consider the maturity of the project, including release history, roadmap availability, versioning practices and evidence of operational use. Indicators such as the number of active contributors, governance transparency, institutional backing and the “bus factor” provide insight into long-term sustainability and associated risks.</w:t>
      </w:r>
    </w:p>
    <w:p>
      <w:pPr>
        <w:numPr>
          <w:ilvl w:val="0"/>
          <w:numId w:val="1025"/>
        </w:numPr>
      </w:pPr>
      <w:r>
        <w:t xml:space="preserve">Security and risk management.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25"/>
        </w:numPr>
      </w:pPr>
      <w:r>
        <w:t xml:space="preserve">Technical quality and operational fitness. Software quality should be assessed based on documentation availability, test coverage, automation (e.g. CI/CD), performance at NMHS-relevant data volumes, and ease of deployment, operation and maintenance. Evidence of production use within the WMO community or by peer organizations is a strong positive indicator.</w:t>
      </w:r>
    </w:p>
    <w:p>
      <w:pPr>
        <w:numPr>
          <w:ilvl w:val="0"/>
          <w:numId w:val="1025"/>
        </w:numPr>
      </w:pPr>
      <w:r>
        <w:t xml:space="preserve">Organizational readiness and total cost of ownership (TCO). Adopting organizations should evaluate internal capacity, including staff skills, support models, infrastructure requirements and TCO. This includes training needs, long-term maintenance effort and the ability to contribute fixes or enhancements upstream where appropriate.</w:t>
      </w:r>
    </w:p>
    <w:p>
      <w:pPr>
        <w:pStyle w:val="FirstParagraph"/>
      </w:pPr>
      <w:r>
        <w:t xml:space="preserve">To support early-stage identification and comparison, Members and WMO activities may also consult community-maintained software catalogues, such as the FOSS4G Observatory (</w:t>
      </w:r>
      <w:hyperlink r:id="rId108">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bookmarkEnd w:id="109"/>
    <w:bookmarkStart w:id="115" w:name="Xf84f2d88b0d639a4b91f9fb5af653c48c9e6f00"/>
    <w:p>
      <w:pPr>
        <w:pStyle w:val="Heading3"/>
      </w:pPr>
      <w:r>
        <w:t xml:space="preserve">Reference Implementations</w:t>
      </w:r>
    </w:p>
    <w:p>
      <w:pPr>
        <w:pStyle w:val="FirstParagraph"/>
      </w:pPr>
      <w:r>
        <w:t xml:space="preserve">Reference Implementations (RIs) are key resources for the precise implementation of a given standard or requirement set. Benefits of RIs include (but are not limited to):</w:t>
      </w:r>
    </w:p>
    <w:p>
      <w:pPr>
        <w:numPr>
          <w:ilvl w:val="0"/>
          <w:numId w:val="1026"/>
        </w:numPr>
      </w:pPr>
      <w:r>
        <w:t xml:space="preserve">validating the functionality and capability of a given standard (for example, for data encodings or interfaces)</w:t>
      </w:r>
    </w:p>
    <w:p>
      <w:pPr>
        <w:numPr>
          <w:ilvl w:val="0"/>
          <w:numId w:val="1026"/>
        </w:numPr>
      </w:pPr>
      <w:r>
        <w:t xml:space="preserve">providing a publicly available FOSS resource that is definitive and can be studied to better understand and/or implement a standard</w:t>
      </w:r>
    </w:p>
    <w:p>
      <w:pPr>
        <w:numPr>
          <w:ilvl w:val="0"/>
          <w:numId w:val="1026"/>
        </w:numPr>
      </w:pPr>
      <w:r>
        <w:t xml:space="preserve">providing an implementation that may be used by Members as desired</w:t>
      </w:r>
    </w:p>
    <w:p>
      <w:pPr>
        <w:pStyle w:val="FirstParagraph"/>
      </w:pPr>
      <w:r>
        <w:t xml:space="preserve">RIs developed alongside a given specification are especially useful for agile, rapid and iterative feedback during the specification definition phase, leading to the approval of Technical Regulations with confidence. It is therefore strongly recommended to develop RIs as part of WMO Technical Regulation development to ensure fit for purpose and functionality. Citing a RI as part of a WMO Technical Regulation should not be required, but allowed if applicable.</w:t>
      </w:r>
    </w:p>
    <w:p>
      <w:pPr>
        <w:pStyle w:val="BodyText"/>
      </w:pPr>
      <w:r>
        <w:t xml:space="preserve">They key purpose of an RI is functionality coverage. They need not be suitable for mission critical or production environments.</w:t>
      </w:r>
    </w:p>
    <w:bookmarkStart w:id="110" w:name="X70a6559818b95fce2bd9ae81c00ef1d1cefaa26"/>
    <w:p>
      <w:pPr>
        <w:pStyle w:val="Heading4"/>
      </w:pPr>
      <w:r>
        <w:t xml:space="preserve">Compliance (data exchange)</w:t>
      </w:r>
    </w:p>
    <w:p>
      <w:pPr>
        <w:numPr>
          <w:ilvl w:val="0"/>
          <w:numId w:val="1027"/>
        </w:numPr>
      </w:pPr>
      <w:r>
        <w:rPr>
          <w:bCs/>
          <w:b/>
        </w:rPr>
        <w:t xml:space="preserve">Standards alignment</w:t>
      </w:r>
      <w:r>
        <w:t xml:space="preserve">: The software adheres to WMO technical standards and common industry specifications, unifying</w:t>
      </w:r>
      <w:r>
        <w:t xml:space="preserve"> </w:t>
      </w:r>
      <w:r>
        <w:t xml:space="preserve">data exchange interfaces and formats.</w:t>
      </w:r>
    </w:p>
    <w:p>
      <w:pPr>
        <w:numPr>
          <w:ilvl w:val="0"/>
          <w:numId w:val="1027"/>
        </w:numPr>
      </w:pPr>
      <w:r>
        <w:rPr>
          <w:bCs/>
          <w:b/>
        </w:rPr>
        <w:t xml:space="preserve">Data protection</w:t>
      </w:r>
      <w:r>
        <w:t xml:space="preserve">: It complies with international conventions and national data protection regulations by</w:t>
      </w:r>
      <w:r>
        <w:t xml:space="preserve"> </w:t>
      </w:r>
      <w:r>
        <w:t xml:space="preserve">implementing data desensitization, encrypted data transmission, and secure storage of sensitive meteorological data.</w:t>
      </w:r>
    </w:p>
    <w:p>
      <w:pPr>
        <w:numPr>
          <w:ilvl w:val="0"/>
          <w:numId w:val="1027"/>
        </w:numPr>
      </w:pPr>
      <w:r>
        <w:rPr>
          <w:bCs/>
          <w:b/>
        </w:rPr>
        <w:t xml:space="preserve">Cross-border data security</w:t>
      </w:r>
      <w:r>
        <w:t xml:space="preserve">: It meets data cross-border transfer requirements in operational regions by establishing</w:t>
      </w:r>
      <w:r>
        <w:t xml:space="preserve"> </w:t>
      </w:r>
      <w:r>
        <w:t xml:space="preserve">a full lifecycle data-security management mechanism. This mechanism covers data collection, processing, sharing, and</w:t>
      </w:r>
      <w:r>
        <w:t xml:space="preserve"> </w:t>
      </w:r>
      <w:r>
        <w:t xml:space="preserve">archiving in line with WMO data policies.</w:t>
      </w:r>
    </w:p>
    <w:bookmarkEnd w:id="110"/>
    <w:bookmarkStart w:id="111" w:name="Xd6aa053202d81f998ac3c471b2c3701964feada"/>
    <w:p>
      <w:pPr>
        <w:pStyle w:val="Heading4"/>
      </w:pPr>
      <w:r>
        <w:t xml:space="preserve">Software evaluation</w:t>
      </w:r>
    </w:p>
    <w:p>
      <w:pPr>
        <w:numPr>
          <w:ilvl w:val="0"/>
          <w:numId w:val="1028"/>
        </w:numPr>
      </w:pPr>
      <w:r>
        <w:rPr>
          <w:bCs/>
          <w:b/>
        </w:rPr>
        <w:t xml:space="preserve">Core Evaluation Checklist</w:t>
      </w:r>
      <w:r>
        <w:t xml:space="preserve">:</w:t>
      </w:r>
    </w:p>
    <w:p>
      <w:pPr>
        <w:numPr>
          <w:ilvl w:val="1"/>
          <w:numId w:val="1029"/>
        </w:numPr>
      </w:pPr>
      <w:r>
        <w:rPr>
          <w:iCs/>
          <w:i/>
        </w:rPr>
        <w:t xml:space="preserve">Technical Quality</w:t>
      </w:r>
      <w:r>
        <w:t xml:space="preserve">: Functionality completeness and accuracy for meteorological use cases, performance when</w:t>
      </w:r>
      <w:r>
        <w:t xml:space="preserve"> </w:t>
      </w:r>
      <w:r>
        <w:t xml:space="preserve">processing massive meteorological datasets (e.g., real-time observational data, forecast model outputs), reliability</w:t>
      </w:r>
      <w:r>
        <w:t xml:space="preserve"> </w:t>
      </w:r>
      <w:r>
        <w:t xml:space="preserve">under peak load conditions, security, maintainability, and compatibility with existing meteorological systems.</w:t>
      </w:r>
    </w:p>
    <w:p>
      <w:pPr>
        <w:numPr>
          <w:ilvl w:val="1"/>
          <w:numId w:val="1029"/>
        </w:numPr>
      </w:pPr>
      <w:r>
        <w:rPr>
          <w:iCs/>
          <w:i/>
        </w:rPr>
        <w:t xml:space="preserve">Compliance</w:t>
      </w:r>
      <w:r>
        <w:t xml:space="preserve">: Licence is OSI-approved with no licence conflicts, and complies with WMO data policies and relevant regulations.</w:t>
      </w:r>
    </w:p>
    <w:p>
      <w:pPr>
        <w:numPr>
          <w:ilvl w:val="1"/>
          <w:numId w:val="1029"/>
        </w:numPr>
      </w:pPr>
      <w:r>
        <w:rPr>
          <w:iCs/>
          <w:i/>
        </w:rPr>
        <w:t xml:space="preserve">Community Sustainability</w:t>
      </w:r>
      <w:r>
        <w:t xml:space="preserve">: Recent community activity (within the last 6–12 months), stability of the maintenance</w:t>
      </w:r>
      <w:r>
        <w:t xml:space="preserve"> </w:t>
      </w:r>
      <w:r>
        <w:t xml:space="preserve">team, regularity of version releases, and maturity of the ecosystem.</w:t>
      </w:r>
    </w:p>
    <w:p>
      <w:pPr>
        <w:numPr>
          <w:ilvl w:val="1"/>
          <w:numId w:val="1029"/>
        </w:numPr>
      </w:pPr>
      <w:r>
        <w:rPr>
          <w:iCs/>
          <w:i/>
        </w:rPr>
        <w:t xml:space="preserve">Cost-effectiveness</w:t>
      </w:r>
      <w:r>
        <w:t xml:space="preserve">: Controllable costs across the software lifecycle (deployment, operation, maintenance, training,</w:t>
      </w:r>
      <w:r>
        <w:t xml:space="preserve"> </w:t>
      </w:r>
      <w:r>
        <w:t xml:space="preserve">migration, and decommissioning).</w:t>
      </w:r>
    </w:p>
    <w:p>
      <w:pPr>
        <w:numPr>
          <w:ilvl w:val="1"/>
          <w:numId w:val="1029"/>
        </w:numPr>
      </w:pPr>
      <w:r>
        <w:rPr>
          <w:iCs/>
          <w:i/>
        </w:rPr>
        <w:t xml:space="preserve">Business Fit</w:t>
      </w:r>
      <w:r>
        <w:t xml:space="preserve">: Aligns with existing meteorological operational processes, good usability for forecasters and data</w:t>
      </w:r>
      <w:r>
        <w:t xml:space="preserve"> </w:t>
      </w:r>
      <w:r>
        <w:t xml:space="preserve">analysts, and support for future expansion needs.</w:t>
      </w:r>
    </w:p>
    <w:p>
      <w:pPr>
        <w:numPr>
          <w:ilvl w:val="0"/>
          <w:numId w:val="1028"/>
        </w:numPr>
      </w:pPr>
      <w:r>
        <w:rPr>
          <w:bCs/>
          <w:b/>
        </w:rPr>
        <w:t xml:space="preserve">Confidence Assurance:</w:t>
      </w:r>
    </w:p>
    <w:p>
      <w:pPr>
        <w:numPr>
          <w:ilvl w:val="1"/>
          <w:numId w:val="1030"/>
        </w:numPr>
      </w:pPr>
      <w:r>
        <w:t xml:space="preserve">Adopt standardized evaluation processes and quantifiable metrics to ensure objectivity and repeatability of results.</w:t>
      </w:r>
    </w:p>
    <w:p>
      <w:pPr>
        <w:numPr>
          <w:ilvl w:val="1"/>
          <w:numId w:val="1030"/>
        </w:numPr>
      </w:pPr>
      <w:r>
        <w:t xml:space="preserve">Validate core functionality through a Proof-of-Concept (PoC) approach, incorporating feedback collected from real-world operational scenarios.</w:t>
      </w:r>
    </w:p>
    <w:p>
      <w:pPr>
        <w:numPr>
          <w:ilvl w:val="1"/>
          <w:numId w:val="1030"/>
        </w:numPr>
      </w:pPr>
      <w:r>
        <w:t xml:space="preserve">Conduct multi-dimensional verification, including code audits, security vulnerability scans, and in-depth open-source community research, to confirm the reliability of the software.</w:t>
      </w:r>
    </w:p>
    <w:bookmarkEnd w:id="111"/>
    <w:bookmarkStart w:id="112" w:name="Xaba0210f6f18626def01362014b7fe9589db3c4"/>
    <w:p>
      <w:pPr>
        <w:pStyle w:val="Heading4"/>
      </w:pPr>
      <w:r>
        <w:t xml:space="preserve">Readiness</w:t>
      </w:r>
    </w:p>
    <w:p>
      <w:pPr>
        <w:pStyle w:val="FirstParagraph"/>
      </w:pPr>
      <w:r>
        <w:t xml:space="preserve">Completed drafting of requirements specification documents, and form a professional evaluation team (including technical, business, legal, and operations personnel).</w:t>
      </w:r>
    </w:p>
    <w:p>
      <w:pPr>
        <w:pStyle w:val="BodyText"/>
      </w:pPr>
      <w:r>
        <w:t xml:space="preserve">Set up a simulated meteorological operations testing environment, and prepare test data (including extreme weather scenario data) and necessary evaluation tools.</w:t>
      </w:r>
    </w:p>
    <w:p>
      <w:pPr>
        <w:pStyle w:val="BodyText"/>
      </w:pPr>
      <w:r>
        <w:t xml:space="preserve">Define clear priorities for software requirements and establish final decision criteria, such as approval for full adoption, conditional adoption, or rejection. Document the rationale for all decisions for audit purposes.</w:t>
      </w:r>
    </w:p>
    <w:bookmarkEnd w:id="112"/>
    <w:bookmarkStart w:id="113" w:name="X7ac9eb2de0a58765e5e1d02a37aa10e96708288"/>
    <w:p>
      <w:pPr>
        <w:pStyle w:val="Heading4"/>
      </w:pPr>
      <w:r>
        <w:t xml:space="preserve">Bus/retirement factor</w:t>
      </w:r>
    </w:p>
    <w:bookmarkEnd w:id="113"/>
    <w:bookmarkStart w:id="114" w:name="Xfb9753c7dbd15fe1ef39b415a291554b843dc57"/>
    <w:p>
      <w:pPr>
        <w:pStyle w:val="Heading4"/>
      </w:pPr>
      <w:r>
        <w:t xml:space="preserve">Business Fit and Retirement Considerations</w:t>
      </w:r>
    </w:p>
    <w:p>
      <w:pPr>
        <w:numPr>
          <w:ilvl w:val="0"/>
          <w:numId w:val="1031"/>
        </w:numPr>
      </w:pPr>
      <w:r>
        <w:t xml:space="preserve">Business Fit</w:t>
      </w:r>
    </w:p>
    <w:p>
      <w:pPr>
        <w:numPr>
          <w:ilvl w:val="1"/>
          <w:numId w:val="1032"/>
        </w:numPr>
      </w:pPr>
      <w:r>
        <w:t xml:space="preserve">Offers seamless integration with existing meteorological operational processes, minimizing the need for process adjustments.</w:t>
      </w:r>
    </w:p>
    <w:p>
      <w:pPr>
        <w:numPr>
          <w:ilvl w:val="1"/>
          <w:numId w:val="1032"/>
        </w:numPr>
      </w:pPr>
      <w:r>
        <w:t xml:space="preserve">Supports custom development and feature expansion to meet evolving needs (such as business scaling and new scenario integration).</w:t>
      </w:r>
    </w:p>
    <w:p>
      <w:pPr>
        <w:numPr>
          <w:ilvl w:val="1"/>
          <w:numId w:val="1032"/>
        </w:numPr>
      </w:pPr>
      <w:r>
        <w:t xml:space="preserve">Aligns with users’ habits in meteorological operations by providing a user-friendly interface and flexible configuration options.</w:t>
      </w:r>
    </w:p>
    <w:p>
      <w:pPr>
        <w:numPr>
          <w:ilvl w:val="0"/>
          <w:numId w:val="1031"/>
        </w:numPr>
      </w:pPr>
      <w:r>
        <w:t xml:space="preserve">Retirement Planning</w:t>
      </w:r>
    </w:p>
    <w:p>
      <w:pPr>
        <w:numPr>
          <w:ilvl w:val="1"/>
          <w:numId w:val="1033"/>
        </w:numPr>
      </w:pPr>
      <w:r>
        <w:t xml:space="preserve">Establish a clear data archiving plan to ensure secure storage and traceability of historical meteorological data after the software is decommissioned.</w:t>
      </w:r>
    </w:p>
    <w:p>
      <w:pPr>
        <w:numPr>
          <w:ilvl w:val="1"/>
          <w:numId w:val="1033"/>
        </w:numPr>
      </w:pPr>
      <w:r>
        <w:t xml:space="preserve">Proactively assess the costs of migrating to new systems, and establish a smooth migration path to ensure business continuity.</w:t>
      </w:r>
    </w:p>
    <w:p>
      <w:pPr>
        <w:numPr>
          <w:ilvl w:val="1"/>
          <w:numId w:val="1033"/>
        </w:numPr>
      </w:pPr>
      <w:r>
        <w:t xml:space="preserve">Define clear responsibilities and standardized procedures for software retirement to mitigate potential risks (e.g., data leakage, system conflicts, and service disruptions).</w:t>
      </w:r>
    </w:p>
    <w:bookmarkEnd w:id="114"/>
    <w:bookmarkEnd w:id="115"/>
    <w:bookmarkStart w:id="127" w:name="X32ca8d865a8b2cadbc341302bd4a374dbe535e4"/>
    <w:p>
      <w:pPr>
        <w:pStyle w:val="Heading3"/>
      </w:pPr>
      <w:r>
        <w:t xml:space="preserve">Case study: WIS2, FOSS, and agile development</w:t>
      </w:r>
    </w:p>
    <w:p>
      <w:pPr>
        <w:pStyle w:val="FirstParagraph"/>
      </w:pPr>
      <w:r>
        <w:t xml:space="preserve">The WMO Information System 2.0 (WIS 2.0) is the framework for WMO data sharing in the 21st century for all WMO domains and disciplines. It supports the WMO Unified Data policy and the Global Basic Observing Network (GBON) and makes international, regional, and national data sharing simple, effective, and inexpensive. The idea that no Member should be left behind and the objective of lowering the barrier to adoption has been at the core of WIS 2.0 development. These objectives inspire the principles underpinning the WIS 2.0 technical framework, such as adopting open standards and Web technologies to facilitate sharing of increasing variety and volume of real-time data.</w:t>
      </w:r>
      <w:r>
        <w:rPr>
          <w:rStyle w:val="FootnoteReference"/>
        </w:rPr>
        <w:footnoteReference w:id="116"/>
      </w:r>
    </w:p>
    <w:p>
      <w:pPr>
        <w:pStyle w:val="BodyText"/>
      </w:pPr>
      <w:r>
        <w:t xml:space="preserve">The WMO Executive Council, through</w:t>
      </w:r>
      <w:r>
        <w:t xml:space="preserve"> </w:t>
      </w:r>
      <w:hyperlink r:id="rId118">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119"/>
      </w:r>
    </w:p>
    <w:p>
      <w:pPr>
        <w:pStyle w:val="BodyText"/>
      </w:pPr>
      <w:r>
        <w:t xml:space="preserve">WIS2 is comprised of a number of key standards, including (but are not limited to):</w:t>
      </w:r>
    </w:p>
    <w:p>
      <w:pPr>
        <w:numPr>
          <w:ilvl w:val="0"/>
          <w:numId w:val="1034"/>
        </w:numPr>
      </w:pPr>
      <w:r>
        <w:t xml:space="preserve">Internet and messaging protocols for data and metadata transmission (HTTP, MQTT)</w:t>
      </w:r>
    </w:p>
    <w:p>
      <w:pPr>
        <w:numPr>
          <w:ilvl w:val="0"/>
          <w:numId w:val="1034"/>
        </w:numPr>
      </w:pPr>
      <w:r>
        <w:t xml:space="preserve">metadata encodings for dataset descriptions (WMO Core Metadata Profile) and notifications (WIS2 Notification Message)</w:t>
      </w:r>
    </w:p>
    <w:p>
      <w:pPr>
        <w:numPr>
          <w:ilvl w:val="0"/>
          <w:numId w:val="1034"/>
        </w:numPr>
      </w:pPr>
      <w:r>
        <w:t xml:space="preserve">topic structures for real-time notifications (WIS2 Topic Hierarchy)</w:t>
      </w:r>
    </w:p>
    <w:p>
      <w:pPr>
        <w:numPr>
          <w:ilvl w:val="0"/>
          <w:numId w:val="1034"/>
        </w:numPr>
      </w:pPr>
      <w:r>
        <w:t xml:space="preserve">interfaces and APIs for Global Services (Global Discovery Catalogue)</w:t>
      </w:r>
    </w:p>
    <w:p>
      <w:pPr>
        <w:pStyle w:val="FirstParagraph"/>
      </w:pPr>
      <w:r>
        <w:t xml:space="preserve">Throughout the WIS2 Implementation timeline, the</w:t>
      </w:r>
      <w:r>
        <w:t xml:space="preserve"> </w:t>
      </w:r>
      <w:hyperlink r:id="rId121">
        <w:r>
          <w:rPr>
            <w:rStyle w:val="Hyperlink"/>
          </w:rPr>
          <w:t xml:space="preserve">architecture</w:t>
        </w:r>
      </w:hyperlink>
      <w:r>
        <w:t xml:space="preserve">, standards definitions as well as key software components were developed, deployed and tested in parallel, in an agile manner. These software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122">
              <w:r>
                <w:rPr>
                  <w:rStyle w:val="Hyperlink"/>
                </w:rPr>
                <w:t xml:space="preserve">wis2box</w:t>
              </w:r>
            </w:hyperlink>
          </w:p>
        </w:tc>
        <w:tc>
          <w:tcPr/>
          <w:p>
            <w:pPr>
              <w:jc w:val="left"/>
            </w:pPr>
            <w:r>
              <w:t xml:space="preserve">WIS2 Node</w:t>
            </w:r>
          </w:p>
        </w:tc>
      </w:tr>
      <w:tr>
        <w:tc>
          <w:tcPr/>
          <w:p>
            <w:pPr>
              <w:jc w:val="left"/>
            </w:pPr>
            <w:hyperlink r:id="rId123">
              <w:r>
                <w:rPr>
                  <w:rStyle w:val="Hyperlink"/>
                </w:rPr>
                <w:t xml:space="preserve">wis2-gdc</w:t>
              </w:r>
            </w:hyperlink>
          </w:p>
        </w:tc>
        <w:tc>
          <w:tcPr/>
          <w:p>
            <w:pPr>
              <w:jc w:val="left"/>
            </w:pPr>
            <w:r>
              <w:t xml:space="preserve">Global Discovery Catalogue</w:t>
            </w:r>
          </w:p>
        </w:tc>
      </w:tr>
      <w:tr>
        <w:tc>
          <w:tcPr/>
          <w:p>
            <w:pPr>
              <w:jc w:val="left"/>
            </w:pPr>
            <w:hyperlink r:id="rId124">
              <w:r>
                <w:rPr>
                  <w:rStyle w:val="Hyperlink"/>
                </w:rPr>
                <w:t xml:space="preserve">csv2bufr</w:t>
              </w:r>
            </w:hyperlink>
          </w:p>
        </w:tc>
        <w:tc>
          <w:tcPr/>
          <w:p>
            <w:pPr>
              <w:jc w:val="left"/>
            </w:pPr>
            <w:r>
              <w:t xml:space="preserve">CSV to BUFR encoding tool for station data</w:t>
            </w:r>
          </w:p>
        </w:tc>
      </w:tr>
      <w:tr>
        <w:tc>
          <w:tcPr/>
          <w:p>
            <w:pPr>
              <w:jc w:val="left"/>
            </w:pPr>
            <w:hyperlink r:id="rId125">
              <w:r>
                <w:rPr>
                  <w:rStyle w:val="Hyperlink"/>
                </w:rPr>
                <w:t xml:space="preserve">wis2downloader</w:t>
              </w:r>
            </w:hyperlink>
          </w:p>
        </w:tc>
        <w:tc>
          <w:tcPr/>
          <w:p>
            <w:pPr>
              <w:jc w:val="left"/>
            </w:pPr>
            <w:r>
              <w:t xml:space="preserve">Python package for downloading real-time data from WIS2</w:t>
            </w:r>
          </w:p>
        </w:tc>
      </w:tr>
      <w:tr>
        <w:tc>
          <w:tcPr/>
          <w:p>
            <w:pPr>
              <w:jc w:val="left"/>
            </w:pPr>
            <w:hyperlink r:id="rId126">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programme delivery with significantly reduced risk to Members. In addition, some tools have emerged as</w:t>
      </w:r>
      <w:r>
        <w:t xml:space="preserve"> </w:t>
      </w:r>
      <w:hyperlink w:anchor="Xf84f2d88b0d639a4b91f9fb5af653c48c9e6f00">
        <w:r>
          <w:rPr>
            <w:rStyle w:val="Hyperlink"/>
          </w:rPr>
          <w:t xml:space="preserve">Reference Implementations</w:t>
        </w:r>
      </w:hyperlink>
      <w:r>
        <w:t xml:space="preserve">. WIS2 Technical Regulations were approved with confidence as a result of the agile development of open standards and FOSS.</w:t>
      </w:r>
    </w:p>
    <w:bookmarkEnd w:id="127"/>
    <w:bookmarkEnd w:id="128"/>
    <w:bookmarkEnd w:id="129"/>
    <w:bookmarkStart w:id="198" w:name="X7dc5ec89ace04afa0dfcc5c2c63a457bc733b57"/>
    <w:p>
      <w:pPr>
        <w:pStyle w:val="Heading1"/>
      </w:pPr>
      <w:r>
        <w:t xml:space="preserve">References</w:t>
      </w:r>
    </w:p>
    <w:bookmarkStart w:id="141" w:name="X60dcd05f0a94584f5e7ae2f945ca5f575416e69"/>
    <w:p>
      <w:pPr>
        <w:pStyle w:val="Heading2"/>
      </w:pPr>
      <w:r>
        <w:t xml:space="preserve">FOSS practice and governance</w:t>
      </w:r>
    </w:p>
    <w:p>
      <w:pPr>
        <w:numPr>
          <w:ilvl w:val="0"/>
          <w:numId w:val="1035"/>
        </w:numPr>
      </w:pPr>
      <w:bookmarkStart w:id="130" w:name="producing-oss"/>
      <w:bookmarkEnd w:id="130"/>
      <w:r>
        <w:t xml:space="preserve"> </w:t>
      </w:r>
      <w:r>
        <w:t xml:space="preserve">Fogel, Karl: Producing Open Source Software: How to Run a Successful Free Software Project (2024)</w:t>
      </w:r>
      <w:r>
        <w:t xml:space="preserve"> </w:t>
      </w:r>
      <w:r>
        <w:rPr>
          <w:rStyle w:val="FootnoteReference"/>
        </w:rPr>
        <w:footnoteReference w:id="131"/>
      </w:r>
    </w:p>
    <w:p>
      <w:pPr>
        <w:numPr>
          <w:ilvl w:val="0"/>
          <w:numId w:val="1035"/>
        </w:numPr>
      </w:pPr>
      <w:bookmarkStart w:id="133" w:name="osor-handbook"/>
      <w:bookmarkEnd w:id="133"/>
      <w:r>
        <w:t xml:space="preserve"> </w:t>
      </w:r>
      <w:r>
        <w:t xml:space="preserve">European Commission / Open Source Observatory: OSOR Handbook on Open Source Software in Public Administration (2026)</w:t>
      </w:r>
      <w:r>
        <w:t xml:space="preserve"> </w:t>
      </w:r>
      <w:r>
        <w:rPr>
          <w:rStyle w:val="FootnoteReference"/>
        </w:rPr>
        <w:footnoteReference w:id="134"/>
      </w:r>
    </w:p>
    <w:p>
      <w:pPr>
        <w:numPr>
          <w:ilvl w:val="0"/>
          <w:numId w:val="1035"/>
        </w:numPr>
      </w:pPr>
      <w:bookmarkStart w:id="136" w:name="public-digital"/>
      <w:bookmarkEnd w:id="136"/>
      <w:r>
        <w:t xml:space="preserve"> </w:t>
      </w:r>
      <w:r>
        <w:t xml:space="preserve">Public Digital: Open Source in Government (2021)</w:t>
      </w:r>
      <w:r>
        <w:t xml:space="preserve"> </w:t>
      </w:r>
      <w:r>
        <w:rPr>
          <w:rStyle w:val="FootnoteReference"/>
        </w:rPr>
        <w:footnoteReference w:id="137"/>
      </w:r>
    </w:p>
    <w:p>
      <w:pPr>
        <w:numPr>
          <w:ilvl w:val="0"/>
          <w:numId w:val="1035"/>
        </w:numPr>
      </w:pPr>
      <w:bookmarkStart w:id="139" w:name="public-money-public-code"/>
      <w:bookmarkEnd w:id="139"/>
      <w:r>
        <w:t xml:space="preserve"> </w:t>
      </w:r>
      <w:r>
        <w:t xml:space="preserve">Free Software Foundation Europe: Public Money? Public Code!</w:t>
      </w:r>
      <w:r>
        <w:t xml:space="preserve"> </w:t>
      </w:r>
      <w:r>
        <w:rPr>
          <w:rStyle w:val="FootnoteReference"/>
        </w:rPr>
        <w:footnoteReference w:id="140"/>
      </w:r>
    </w:p>
    <w:bookmarkEnd w:id="141"/>
    <w:bookmarkStart w:id="149" w:name="X8474ffd35f348d5ae6783f3fe284806fdb3105a"/>
    <w:p>
      <w:pPr>
        <w:pStyle w:val="Heading2"/>
      </w:pPr>
      <w:r>
        <w:t xml:space="preserve">Economic impact studies</w:t>
      </w:r>
    </w:p>
    <w:p>
      <w:pPr>
        <w:numPr>
          <w:ilvl w:val="0"/>
          <w:numId w:val="1036"/>
        </w:numPr>
      </w:pPr>
      <w:bookmarkStart w:id="142" w:name="ec-oss-impact"/>
      <w:bookmarkEnd w:id="142"/>
      <w:r>
        <w:t xml:space="preserve"> </w:t>
      </w:r>
      <w:r>
        <w:t xml:space="preserve">Blind, K. et al.: The Impact of Open Source Software and Hardware on Technological Independence, Competitiveness and Innovation in the EU Economy, European Commission (2021)</w:t>
      </w:r>
      <w:r>
        <w:t xml:space="preserve"> </w:t>
      </w:r>
      <w:r>
        <w:rPr>
          <w:rStyle w:val="FootnoteReference"/>
        </w:rPr>
        <w:footnoteReference w:id="143"/>
      </w:r>
    </w:p>
    <w:p>
      <w:pPr>
        <w:numPr>
          <w:ilvl w:val="0"/>
          <w:numId w:val="1036"/>
        </w:numPr>
      </w:pPr>
      <w:bookmarkStart w:id="144" w:name="wb-geonode-roi"/>
      <w:bookmarkEnd w:id="144"/>
      <w:r>
        <w:t xml:space="preserve"> </w:t>
      </w:r>
      <w:r>
        <w:t xml:space="preserve">GFDRR/World Bank: OpenDRI and GeoNode — A Case Study for Institutional Investment in Open Source</w:t>
      </w:r>
      <w:r>
        <w:t xml:space="preserve"> </w:t>
      </w:r>
      <w:r>
        <w:rPr>
          <w:rStyle w:val="FootnoteReference"/>
        </w:rPr>
        <w:footnoteReference w:id="145"/>
      </w:r>
    </w:p>
    <w:p>
      <w:pPr>
        <w:numPr>
          <w:ilvl w:val="0"/>
          <w:numId w:val="1036"/>
        </w:numPr>
      </w:pPr>
      <w:bookmarkStart w:id="146" w:name="lf-roi"/>
      <w:bookmarkEnd w:id="146"/>
      <w:r>
        <w:t xml:space="preserve"> </w:t>
      </w:r>
      <w:r>
        <w:t xml:space="preserve">Linux Foundation: Active Open Source Contribution Delivers 2–5x ROI (2025)</w:t>
      </w:r>
      <w:r>
        <w:t xml:space="preserve"> </w:t>
      </w:r>
      <w:r>
        <w:rPr>
          <w:rStyle w:val="FootnoteReference"/>
        </w:rPr>
        <w:footnoteReference w:id="147"/>
      </w:r>
    </w:p>
    <w:bookmarkEnd w:id="149"/>
    <w:bookmarkStart w:id="178" w:name="Xc896f75200517b843631aaf28651998d53f808f"/>
    <w:p>
      <w:pPr>
        <w:pStyle w:val="Heading2"/>
      </w:pPr>
      <w:r>
        <w:t xml:space="preserve">National and regional policies</w:t>
      </w:r>
    </w:p>
    <w:p>
      <w:pPr>
        <w:numPr>
          <w:ilvl w:val="0"/>
          <w:numId w:val="1037"/>
        </w:numPr>
      </w:pPr>
      <w:bookmarkStart w:id="150" w:name="ec-oss-strategy"/>
      <w:bookmarkEnd w:id="150"/>
      <w:r>
        <w:t xml:space="preserve"> </w:t>
      </w:r>
      <w:r>
        <w:t xml:space="preserve">European Commission: Open Source Software Strategy 2020–2023 — Think Open (2020)</w:t>
      </w:r>
      <w:r>
        <w:t xml:space="preserve"> </w:t>
      </w:r>
      <w:r>
        <w:rPr>
          <w:rStyle w:val="FootnoteReference"/>
        </w:rPr>
        <w:footnoteReference w:id="151"/>
      </w:r>
    </w:p>
    <w:p>
      <w:pPr>
        <w:numPr>
          <w:ilvl w:val="0"/>
          <w:numId w:val="1037"/>
        </w:numPr>
      </w:pPr>
      <w:bookmarkStart w:id="153" w:name="interoperable-europe-act"/>
      <w:bookmarkEnd w:id="153"/>
      <w:r>
        <w:t xml:space="preserve"> </w:t>
      </w:r>
      <w:r>
        <w:t xml:space="preserve">Regulation (EU) 2024/903: Interoperable Europe Act</w:t>
      </w:r>
      <w:r>
        <w:t xml:space="preserve"> </w:t>
      </w:r>
      <w:r>
        <w:rPr>
          <w:rStyle w:val="FootnoteReference"/>
        </w:rPr>
        <w:footnoteReference w:id="154"/>
      </w:r>
    </w:p>
    <w:p>
      <w:pPr>
        <w:numPr>
          <w:ilvl w:val="0"/>
          <w:numId w:val="1037"/>
        </w:numPr>
      </w:pPr>
      <w:bookmarkStart w:id="155" w:name="eu-cra"/>
      <w:bookmarkEnd w:id="155"/>
      <w:r>
        <w:t xml:space="preserve"> </w:t>
      </w:r>
      <w:r>
        <w:t xml:space="preserve">Regulation (EU) 2024/2847: Cyber Resilience Act — open source implications</w:t>
      </w:r>
      <w:r>
        <w:t xml:space="preserve"> </w:t>
      </w:r>
      <w:r>
        <w:rPr>
          <w:rStyle w:val="FootnoteReference"/>
        </w:rPr>
        <w:footnoteReference w:id="156"/>
      </w:r>
    </w:p>
    <w:p>
      <w:pPr>
        <w:numPr>
          <w:ilvl w:val="0"/>
          <w:numId w:val="1037"/>
        </w:numPr>
      </w:pPr>
      <w:bookmarkStart w:id="158" w:name="us-fsc-policy"/>
      <w:bookmarkEnd w:id="158"/>
      <w:r>
        <w:t xml:space="preserve"> </w:t>
      </w:r>
      <w:r>
        <w:t xml:space="preserve">United States Office of Management and Budget: Federal Source Code Policy (OMB M-16-21, 2016)</w:t>
      </w:r>
      <w:r>
        <w:t xml:space="preserve"> </w:t>
      </w:r>
      <w:r>
        <w:rPr>
          <w:rStyle w:val="FootnoteReference"/>
        </w:rPr>
        <w:footnoteReference w:id="159"/>
      </w:r>
    </w:p>
    <w:p>
      <w:pPr>
        <w:numPr>
          <w:ilvl w:val="0"/>
          <w:numId w:val="1037"/>
        </w:numPr>
      </w:pPr>
      <w:bookmarkStart w:id="160" w:name="ca-open-first"/>
      <w:bookmarkEnd w:id="160"/>
      <w:r>
        <w:t xml:space="preserve"> </w:t>
      </w:r>
      <w:r>
        <w:t xml:space="preserve">Government of Canada: Open First Whitepaper (2020)</w:t>
      </w:r>
      <w:r>
        <w:t xml:space="preserve"> </w:t>
      </w:r>
      <w:r>
        <w:rPr>
          <w:rStyle w:val="FootnoteReference"/>
        </w:rPr>
        <w:footnoteReference w:id="161"/>
      </w:r>
    </w:p>
    <w:p>
      <w:pPr>
        <w:numPr>
          <w:ilvl w:val="0"/>
          <w:numId w:val="1037"/>
        </w:numPr>
      </w:pPr>
      <w:bookmarkStart w:id="162" w:name="au-dss"/>
      <w:bookmarkEnd w:id="162"/>
      <w:r>
        <w:t xml:space="preserve"> </w:t>
      </w:r>
      <w:r>
        <w:t xml:space="preserve">Australian Government Digital Transformation Agency: Digital Service Standard — Criterion 8: Make source code open</w:t>
      </w:r>
      <w:r>
        <w:t xml:space="preserve"> </w:t>
      </w:r>
      <w:r>
        <w:rPr>
          <w:rStyle w:val="FootnoteReference"/>
        </w:rPr>
        <w:footnoteReference w:id="163"/>
      </w:r>
    </w:p>
    <w:p>
      <w:pPr>
        <w:numPr>
          <w:ilvl w:val="0"/>
          <w:numId w:val="1037"/>
        </w:numPr>
      </w:pPr>
      <w:bookmarkStart w:id="164" w:name="nz-nzgoal-se"/>
      <w:bookmarkEnd w:id="164"/>
      <w:r>
        <w:t xml:space="preserve"> </w:t>
      </w:r>
      <w:r>
        <w:t xml:space="preserve">New Zealand Government: NZGOAL Software Extension (NZGOAL-SE)</w:t>
      </w:r>
      <w:r>
        <w:t xml:space="preserve"> </w:t>
      </w:r>
      <w:r>
        <w:rPr>
          <w:rStyle w:val="FootnoteReference"/>
        </w:rPr>
        <w:footnoteReference w:id="165"/>
      </w:r>
    </w:p>
    <w:p>
      <w:pPr>
        <w:numPr>
          <w:ilvl w:val="0"/>
          <w:numId w:val="1037"/>
        </w:numPr>
      </w:pPr>
      <w:bookmarkStart w:id="166" w:name="india-oss-policy"/>
      <w:bookmarkEnd w:id="166"/>
      <w:r>
        <w:t xml:space="preserve"> </w:t>
      </w:r>
      <w:r>
        <w:t xml:space="preserve">Ministry of Electronics and Information Technology (MeitY), India: Policy on Adoption of Open Source Software for Government of India (2015)</w:t>
      </w:r>
      <w:r>
        <w:t xml:space="preserve"> </w:t>
      </w:r>
      <w:r>
        <w:rPr>
          <w:rStyle w:val="FootnoteReference"/>
        </w:rPr>
        <w:footnoteReference w:id="167"/>
      </w:r>
    </w:p>
    <w:p>
      <w:pPr>
        <w:numPr>
          <w:ilvl w:val="0"/>
          <w:numId w:val="1037"/>
        </w:numPr>
      </w:pPr>
      <w:bookmarkStart w:id="168" w:name="japan-ipa-2024"/>
      <w:bookmarkEnd w:id="168"/>
      <w:r>
        <w:t xml:space="preserve"> </w:t>
      </w:r>
      <w:r>
        <w:t xml:space="preserve">Information-technology Promotion Agency (IPA), Japan: 2024 Open Source Promotion Report</w:t>
      </w:r>
      <w:r>
        <w:t xml:space="preserve"> </w:t>
      </w:r>
      <w:r>
        <w:rPr>
          <w:rStyle w:val="FootnoteReference"/>
        </w:rPr>
        <w:footnoteReference w:id="169"/>
      </w:r>
    </w:p>
    <w:p>
      <w:pPr>
        <w:numPr>
          <w:ilvl w:val="0"/>
          <w:numId w:val="1037"/>
        </w:numPr>
      </w:pPr>
      <w:bookmarkStart w:id="170" w:name="brazil-spb"/>
      <w:bookmarkEnd w:id="170"/>
      <w:r>
        <w:t xml:space="preserve"> </w:t>
      </w:r>
      <w:r>
        <w:t xml:space="preserve">Government of Brazil: Portal do Software Público Brasileiro</w:t>
      </w:r>
      <w:r>
        <w:t xml:space="preserve"> </w:t>
      </w:r>
      <w:r>
        <w:rPr>
          <w:rStyle w:val="FootnoteReference"/>
        </w:rPr>
        <w:footnoteReference w:id="171"/>
      </w:r>
    </w:p>
    <w:p>
      <w:pPr>
        <w:numPr>
          <w:ilvl w:val="0"/>
          <w:numId w:val="1037"/>
        </w:numPr>
      </w:pPr>
      <w:bookmarkStart w:id="173" w:name="au-digital-transformation"/>
      <w:bookmarkEnd w:id="173"/>
      <w:r>
        <w:t xml:space="preserve"> </w:t>
      </w:r>
      <w:r>
        <w:t xml:space="preserve">African Union Commission: Digital Transformation Strategy for Africa 2020–2030</w:t>
      </w:r>
      <w:r>
        <w:t xml:space="preserve"> </w:t>
      </w:r>
      <w:r>
        <w:rPr>
          <w:rStyle w:val="FootnoteReference"/>
        </w:rPr>
        <w:footnoteReference w:id="174"/>
      </w:r>
    </w:p>
    <w:p>
      <w:pPr>
        <w:numPr>
          <w:ilvl w:val="0"/>
          <w:numId w:val="1037"/>
        </w:numPr>
      </w:pPr>
      <w:bookmarkStart w:id="176" w:name="csis-oss-policies"/>
      <w:bookmarkEnd w:id="176"/>
      <w:r>
        <w:t xml:space="preserve"> </w:t>
      </w:r>
      <w:r>
        <w:t xml:space="preserve">Center for Strategic and International Studies (CSIS): Government Open Source Software Policies database</w:t>
      </w:r>
      <w:r>
        <w:t xml:space="preserve"> </w:t>
      </w:r>
      <w:r>
        <w:rPr>
          <w:rStyle w:val="FootnoteReference"/>
        </w:rPr>
        <w:footnoteReference w:id="177"/>
      </w:r>
    </w:p>
    <w:bookmarkEnd w:id="178"/>
    <w:bookmarkStart w:id="191" w:name="X18ff0ed8f6a1232271ed94da238c01a3f2eef14"/>
    <w:p>
      <w:pPr>
        <w:pStyle w:val="Heading2"/>
      </w:pPr>
      <w:r>
        <w:t xml:space="preserve">Multilateral and international resources</w:t>
      </w:r>
    </w:p>
    <w:p>
      <w:pPr>
        <w:numPr>
          <w:ilvl w:val="0"/>
          <w:numId w:val="1038"/>
        </w:numPr>
      </w:pPr>
      <w:bookmarkStart w:id="179" w:name="dpga-standard"/>
      <w:bookmarkEnd w:id="179"/>
      <w:r>
        <w:t xml:space="preserve"> </w:t>
      </w:r>
      <w:r>
        <w:t xml:space="preserve">Digital Public Goods Alliance: Digital Public Goods Standard</w:t>
      </w:r>
      <w:r>
        <w:t xml:space="preserve"> </w:t>
      </w:r>
      <w:r>
        <w:rPr>
          <w:rStyle w:val="FootnoteReference"/>
        </w:rPr>
        <w:footnoteReference w:id="180"/>
      </w:r>
    </w:p>
    <w:p>
      <w:pPr>
        <w:numPr>
          <w:ilvl w:val="0"/>
          <w:numId w:val="1038"/>
        </w:numPr>
      </w:pPr>
      <w:bookmarkStart w:id="181" w:name="undp-osee"/>
      <w:bookmarkEnd w:id="181"/>
      <w:r>
        <w:t xml:space="preserve"> </w:t>
      </w:r>
      <w:r>
        <w:t xml:space="preserve">UNDP / ITU: Open Source Ecosystem Enabler (OSEE)</w:t>
      </w:r>
      <w:r>
        <w:t xml:space="preserve"> </w:t>
      </w:r>
      <w:r>
        <w:rPr>
          <w:rStyle w:val="FootnoteReference"/>
        </w:rPr>
        <w:footnoteReference w:id="182"/>
      </w:r>
    </w:p>
    <w:p>
      <w:pPr>
        <w:numPr>
          <w:ilvl w:val="0"/>
          <w:numId w:val="1038"/>
        </w:numPr>
      </w:pPr>
      <w:bookmarkStart w:id="183" w:name="undp-default-open"/>
      <w:bookmarkEnd w:id="183"/>
      <w:r>
        <w:t xml:space="preserve"> </w:t>
      </w:r>
      <w:r>
        <w:t xml:space="preserve">UNDP Digital Standards — Standard 9: Default to Open</w:t>
      </w:r>
      <w:r>
        <w:t xml:space="preserve"> </w:t>
      </w:r>
      <w:r>
        <w:rPr>
          <w:rStyle w:val="FootnoteReference"/>
        </w:rPr>
        <w:footnoteReference w:id="184"/>
      </w:r>
    </w:p>
    <w:p>
      <w:pPr>
        <w:numPr>
          <w:ilvl w:val="0"/>
          <w:numId w:val="1038"/>
        </w:numPr>
      </w:pPr>
      <w:bookmarkStart w:id="186" w:name="wb-oss-global"/>
      <w:bookmarkEnd w:id="186"/>
      <w:r>
        <w:t xml:space="preserve"> </w:t>
      </w:r>
      <w:r>
        <w:t xml:space="preserve">World Bank: Open Source for Global Public Goods (2020)</w:t>
      </w:r>
      <w:r>
        <w:t xml:space="preserve"> </w:t>
      </w:r>
      <w:r>
        <w:rPr>
          <w:rStyle w:val="FootnoteReference"/>
        </w:rPr>
        <w:footnoteReference w:id="187"/>
      </w:r>
    </w:p>
    <w:p>
      <w:pPr>
        <w:numPr>
          <w:ilvl w:val="0"/>
          <w:numId w:val="1038"/>
        </w:numPr>
      </w:pPr>
      <w:bookmarkStart w:id="189" w:name="osor-country-intel"/>
      <w:bookmarkEnd w:id="189"/>
      <w:r>
        <w:t xml:space="preserve"> </w:t>
      </w:r>
      <w:r>
        <w:t xml:space="preserve">EU Open Source Observatory: Open Source Software Country Intelligence (60+ countries)</w:t>
      </w:r>
      <w:r>
        <w:t xml:space="preserve"> </w:t>
      </w:r>
      <w:r>
        <w:rPr>
          <w:rStyle w:val="FootnoteReference"/>
        </w:rPr>
        <w:footnoteReference w:id="190"/>
      </w:r>
    </w:p>
    <w:bookmarkEnd w:id="191"/>
    <w:bookmarkStart w:id="197" w:name="X1bc7e6b4fc0225a0d72d26b79f533628acb17c9"/>
    <w:p>
      <w:pPr>
        <w:pStyle w:val="Heading2"/>
      </w:pPr>
      <w:r>
        <w:t xml:space="preserve">Meteorological sector</w:t>
      </w:r>
    </w:p>
    <w:p>
      <w:pPr>
        <w:numPr>
          <w:ilvl w:val="0"/>
          <w:numId w:val="1039"/>
        </w:numPr>
      </w:pPr>
      <w:bookmarkStart w:id="192" w:name="ecmwf-code-for-earth"/>
      <w:bookmarkEnd w:id="192"/>
      <w:r>
        <w:t xml:space="preserve"> </w:t>
      </w:r>
      <w:r>
        <w:t xml:space="preserve">ECMWF / Copernicus Climate Change Service: Code for Earth</w:t>
      </w:r>
      <w:r>
        <w:t xml:space="preserve"> </w:t>
      </w:r>
      <w:r>
        <w:rPr>
          <w:rStyle w:val="FootnoteReference"/>
        </w:rPr>
        <w:footnoteReference w:id="193"/>
      </w:r>
    </w:p>
    <w:p>
      <w:pPr>
        <w:numPr>
          <w:ilvl w:val="0"/>
          <w:numId w:val="1039"/>
        </w:numPr>
      </w:pPr>
      <w:bookmarkStart w:id="194" w:name="wis2-transition"/>
      <w:bookmarkEnd w:id="194"/>
      <w:r>
        <w:t xml:space="preserve"> </w:t>
      </w:r>
      <w:r>
        <w:t xml:space="preserve">WMO: WIS2 Transition Guide</w:t>
      </w:r>
      <w:r>
        <w:t xml:space="preserve"> </w:t>
      </w:r>
      <w:r>
        <w:rPr>
          <w:rStyle w:val="FootnoteReference"/>
        </w:rPr>
        <w:footnoteReference w:id="195"/>
      </w:r>
    </w:p>
    <w:bookmarkEnd w:id="197"/>
    <w:bookmarkEnd w:id="198"/>
    <w:bookmarkStart w:id="199"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Licence Compatibility</w:t>
            </w:r>
          </w:p>
        </w:tc>
        <w:tc>
          <w:tcPr/>
          <w:p>
            <w:pPr>
              <w:jc w:val="left"/>
            </w:pPr>
            <w:r>
              <w:t xml:space="preserve">Licence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Licence is OSI-approved</w:t>
            </w:r>
          </w:p>
        </w:tc>
        <w:tc>
          <w:tcPr/>
          <w:p>
            <w:pPr>
              <w:pStyle w:val="Compact"/>
            </w:pPr>
          </w:p>
        </w:tc>
      </w:tr>
      <w:tr>
        <w:tc>
          <w:tcPr/>
          <w:p>
            <w:pPr>
              <w:jc w:val="left"/>
            </w:pPr>
            <w:r>
              <w:t xml:space="preserve">Licence is clearly stated (no licence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(e.g., 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(e.g. 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1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45">
    <w:p>
      <w:pPr>
        <w:pStyle w:val="FootnoteText"/>
      </w:pPr>
      <w:r>
        <w:rPr>
          <w:rStyle w:val="FootnoteReference"/>
        </w:rPr>
        <w:footnoteRef/>
      </w:r>
      <w:r>
        <w:t xml:space="preserve"> </w:t>
      </w:r>
      <w:r>
        <w:t xml:space="preserve">A global database of government open source software policies is maintained by the Center for Strategic and International Studies (CSIS):</w:t>
      </w:r>
      <w:r>
        <w:t xml:space="preserve"> </w:t>
      </w:r>
      <w:hyperlink r:id="rId46">
        <w:r>
          <w:rPr>
            <w:rStyle w:val="Hyperlink"/>
          </w:rPr>
          <w:t xml:space="preserve">https://www.csis.org/programs/strategic-technologies-program/resources/government-open-source-software-policies</w:t>
        </w:r>
      </w:hyperlink>
      <w:r>
        <w:t xml:space="preserve">. Country-level intelligence reports for 60+ countries are also available from the EU Open Source Observatory (OSOR):</w:t>
      </w:r>
      <w:r>
        <w:t xml:space="preserve"> </w:t>
      </w:r>
      <w:hyperlink r:id="rId47">
        <w:r>
          <w:rPr>
            <w:rStyle w:val="Hyperlink"/>
          </w:rPr>
          <w:t xml:space="preserve">https://interoperable-europe.ec.europa.eu/collection/open-source-observatory-osor/open-source-software-country-intelligence</w:t>
        </w:r>
      </w:hyperlink>
    </w:p>
  </w:footnote>
  <w:footnote w:id="48">
    <w:p>
      <w:pPr>
        <w:pStyle w:val="FootnoteText"/>
      </w:pPr>
      <w:r>
        <w:rPr>
          <w:rStyle w:val="FootnoteReference"/>
        </w:rPr>
        <w:footnoteRef/>
      </w:r>
      <w:r>
        <w:t xml:space="preserve"> </w:t>
      </w:r>
      <w:r>
        <w:t xml:space="preserve">OMB Memorandum M-16-21, August 2016:</w:t>
      </w:r>
      <w:r>
        <w:t xml:space="preserve"> </w:t>
      </w:r>
      <w:hyperlink r:id="rId49">
        <w:r>
          <w:rPr>
            <w:rStyle w:val="Hyperlink"/>
          </w:rPr>
          <w:t xml:space="preserve">https://obamawhitehouse.archives.gov/sites/default/files/omb/memoranda/2016/m_16_21.pdf</w:t>
        </w:r>
      </w:hyperlink>
    </w:p>
  </w:footnote>
  <w:footnote w:id="50">
    <w:p>
      <w:pPr>
        <w:pStyle w:val="FootnoteText"/>
      </w:pPr>
      <w:r>
        <w:rPr>
          <w:rStyle w:val="FootnoteReference"/>
        </w:rPr>
        <w:footnoteRef/>
      </w:r>
      <w:r>
        <w:t xml:space="preserve"> </w:t>
      </w:r>
      <w:hyperlink r:id="rId51">
        <w:r>
          <w:rPr>
            <w:rStyle w:val="Hyperlink"/>
          </w:rPr>
          <w:t xml:space="preserve">https://www.canada.ca/en/government/system/digital-government/digital-government-innovations/open-source-software/open-first-whitepaper.html</w:t>
        </w:r>
      </w:hyperlink>
    </w:p>
  </w:footnote>
  <w:footnote w:id="52">
    <w:p>
      <w:pPr>
        <w:pStyle w:val="FootnoteText"/>
      </w:pPr>
      <w:r>
        <w:rPr>
          <w:rStyle w:val="FootnoteReference"/>
        </w:rPr>
        <w:footnoteRef/>
      </w:r>
      <w:r>
        <w:t xml:space="preserve"> </w:t>
      </w:r>
      <w:hyperlink r:id="rId53">
        <w:r>
          <w:rPr>
            <w:rStyle w:val="Hyperlink"/>
          </w:rPr>
          <w:t xml:space="preserve">https://www.dta.gov.au/help-and-advice/digital-service-standard/digital-service-standard-criteria/8-make-source-code-open</w:t>
        </w:r>
      </w:hyperlink>
    </w:p>
  </w:footnote>
  <w:footnote w:id="54">
    <w:p>
      <w:pPr>
        <w:pStyle w:val="FootnoteText"/>
      </w:pPr>
      <w:r>
        <w:rPr>
          <w:rStyle w:val="FootnoteReference"/>
        </w:rPr>
        <w:footnoteRef/>
      </w:r>
      <w:r>
        <w:t xml:space="preserve"> </w:t>
      </w:r>
      <w:hyperlink r:id="rId55">
        <w:r>
          <w:rPr>
            <w:rStyle w:val="Hyperlink"/>
          </w:rPr>
          <w:t xml:space="preserve">https://www.data.govt.nz/manage-data/policies/nzgoal/nzgoal-se-guidance-note-1/</w:t>
        </w:r>
      </w:hyperlink>
    </w:p>
  </w:footnote>
  <w:footnote w:id="56">
    <w:p>
      <w:pPr>
        <w:pStyle w:val="FootnoteText"/>
      </w:pPr>
      <w:r>
        <w:rPr>
          <w:rStyle w:val="FootnoteReference"/>
        </w:rPr>
        <w:footnoteRef/>
      </w:r>
      <w:r>
        <w:t xml:space="preserve"> </w:t>
      </w:r>
      <w:r>
        <w:t xml:space="preserve">Ministry of Electronics and Information Technology (MeitY), 2015:</w:t>
      </w:r>
      <w:r>
        <w:t xml:space="preserve"> </w:t>
      </w:r>
      <w:hyperlink r:id="rId57">
        <w:r>
          <w:rPr>
            <w:rStyle w:val="Hyperlink"/>
          </w:rPr>
          <w:t xml:space="preserve">https://www.meity.gov.in/static/uploads/2024/02/policy_on_adoption_of_oss.pdf</w:t>
        </w:r>
      </w:hyperlink>
    </w:p>
  </w:footnote>
  <w:footnote w:id="58">
    <w:p>
      <w:pPr>
        <w:pStyle w:val="FootnoteText"/>
      </w:pPr>
      <w:r>
        <w:rPr>
          <w:rStyle w:val="FootnoteReference"/>
        </w:rPr>
        <w:footnoteRef/>
      </w:r>
      <w:r>
        <w:t xml:space="preserve"> </w:t>
      </w:r>
      <w:r>
        <w:t xml:space="preserve">Information-technology Promotion Agency (IPA), 2024:</w:t>
      </w:r>
      <w:r>
        <w:t xml:space="preserve"> </w:t>
      </w:r>
      <w:hyperlink r:id="rId59">
        <w:r>
          <w:rPr>
            <w:rStyle w:val="Hyperlink"/>
          </w:rPr>
          <w:t xml:space="preserve">https://interoperable-europe.ec.europa.eu/collection/open-source-observatory-osor/news/japans-2024-open-source-promotion-report</w:t>
        </w:r>
      </w:hyperlink>
    </w:p>
  </w:footnote>
  <w:footnote w:id="60">
    <w:p>
      <w:pPr>
        <w:pStyle w:val="FootnoteText"/>
      </w:pPr>
      <w:r>
        <w:rPr>
          <w:rStyle w:val="FootnoteReference"/>
        </w:rPr>
        <w:footnoteRef/>
      </w:r>
      <w:r>
        <w:t xml:space="preserve"> </w:t>
      </w:r>
      <w:hyperlink r:id="rId61">
        <w:r>
          <w:rPr>
            <w:rStyle w:val="Hyperlink"/>
          </w:rPr>
          <w:t xml:space="preserve">https://fsfe.org/activities/publiccode/index.en.html</w:t>
        </w:r>
      </w:hyperlink>
    </w:p>
  </w:footnote>
  <w:footnote w:id="62">
    <w:p>
      <w:pPr>
        <w:pStyle w:val="FootnoteText"/>
      </w:pPr>
      <w:r>
        <w:rPr>
          <w:rStyle w:val="FootnoteReference"/>
        </w:rPr>
        <w:footnoteRef/>
      </w:r>
      <w:r>
        <w:t xml:space="preserve"> </w:t>
      </w:r>
      <w:r>
        <w:t xml:space="preserve">Regulation (EU) 2024/903:</w:t>
      </w:r>
      <w:r>
        <w:t xml:space="preserve"> </w:t>
      </w:r>
      <w:hyperlink r:id="rId63">
        <w:r>
          <w:rPr>
            <w:rStyle w:val="Hyperlink"/>
          </w:rPr>
          <w:t xml:space="preserve">https://interoperable-europe.ec.europa.eu/interoperable-europe/interoperable-europe-act</w:t>
        </w:r>
      </w:hyperlink>
    </w:p>
  </w:footnote>
  <w:footnote w:id="70">
    <w:p>
      <w:pPr>
        <w:pStyle w:val="FootnoteText"/>
      </w:pPr>
      <w:r>
        <w:rPr>
          <w:rStyle w:val="FootnoteReference"/>
        </w:rPr>
        <w:footnoteRef/>
      </w:r>
      <w:r>
        <w:t xml:space="preserve"> </w:t>
      </w:r>
      <w:r>
        <w:t xml:space="preserve">Blind, K. et al.: The Impact of Open Source Software and Hardware on Technological Independence, Competitiveness and Innovation in the EU Economy, European Commission, 2021:</w:t>
      </w:r>
      <w:r>
        <w:t xml:space="preserve"> </w:t>
      </w:r>
      <w:hyperlink r:id="rId71">
        <w:r>
          <w:rPr>
            <w:rStyle w:val="Hyperlink"/>
          </w:rPr>
          <w:t xml:space="preserve">https://digital-strategy.ec.europa.eu/en/library/study-about-impact-open-source-software-and-hardware-technological-independence-competitiveness-and</w:t>
        </w:r>
      </w:hyperlink>
    </w:p>
  </w:footnote>
  <w:footnote w:id="72">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73">
        <w:r>
          <w:rPr>
            <w:rStyle w:val="Hyperlink"/>
          </w:rPr>
          <w:t xml:space="preserve">https://blogs.worldbank.org/en/opendata/leveraging-open-source-public-institution-new-analysis-reveals-significant-returns-investment-open</w:t>
        </w:r>
      </w:hyperlink>
    </w:p>
  </w:footnote>
  <w:footnote w:id="88">
    <w:p>
      <w:pPr>
        <w:pStyle w:val="FootnoteText"/>
      </w:pPr>
      <w:r>
        <w:rPr>
          <w:rStyle w:val="FootnoteReference"/>
        </w:rPr>
        <w:footnoteRef/>
      </w:r>
      <w:r>
        <w:t xml:space="preserve"> </w:t>
      </w:r>
      <w:hyperlink r:id="rId89">
        <w:r>
          <w:rPr>
            <w:rStyle w:val="Hyperlink"/>
          </w:rPr>
          <w:t xml:space="preserve">https://www.osgeo.org/resources/project-graduation-checklist/</w:t>
        </w:r>
      </w:hyperlink>
    </w:p>
  </w:footnote>
  <w:footnote w:id="101">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73">
        <w:r>
          <w:rPr>
            <w:rStyle w:val="Hyperlink"/>
          </w:rPr>
          <w:t xml:space="preserve">https://blogs.worldbank.org/en/opendata/leveraging-open-source-public-institution-new-analysis-reveals-significant-returns-investment-open</w:t>
        </w:r>
      </w:hyperlink>
    </w:p>
  </w:footnote>
  <w:footnote w:id="103">
    <w:p>
      <w:pPr>
        <w:pStyle w:val="FootnoteText"/>
      </w:pPr>
      <w:r>
        <w:rPr>
          <w:rStyle w:val="FootnoteReference"/>
        </w:rPr>
        <w:footnoteRef/>
      </w:r>
      <w:r>
        <w:t xml:space="preserve"> </w:t>
      </w:r>
      <w:hyperlink r:id="rId104">
        <w:r>
          <w:rPr>
            <w:rStyle w:val="Hyperlink"/>
          </w:rPr>
          <w:t xml:space="preserve">https://climate.copernicus.eu/code-earth-2025-advancing-energy-system-resilience-climate-data</w:t>
        </w:r>
      </w:hyperlink>
    </w:p>
  </w:footnote>
  <w:footnote w:id="116">
    <w:p>
      <w:pPr>
        <w:pStyle w:val="FootnoteText"/>
      </w:pPr>
      <w:r>
        <w:rPr>
          <w:rStyle w:val="FootnoteReference"/>
        </w:rPr>
        <w:footnoteRef/>
      </w:r>
      <w:r>
        <w:t xml:space="preserve"> </w:t>
      </w:r>
      <w:hyperlink r:id="rId117">
        <w:r>
          <w:rPr>
            <w:rStyle w:val="Hyperlink"/>
          </w:rPr>
          <w:t xml:space="preserve">https://wmo.int/wis-20</w:t>
        </w:r>
      </w:hyperlink>
    </w:p>
  </w:footnote>
  <w:footnote w:id="119">
    <w:p>
      <w:pPr>
        <w:pStyle w:val="FootnoteText"/>
      </w:pPr>
      <w:r>
        <w:rPr>
          <w:rStyle w:val="FootnoteReference"/>
        </w:rPr>
        <w:footnoteRef/>
      </w:r>
      <w:r>
        <w:t xml:space="preserve"> </w:t>
      </w:r>
      <w:hyperlink r:id="rId120">
        <w:r>
          <w:rPr>
            <w:rStyle w:val="Hyperlink"/>
          </w:rPr>
          <w:t xml:space="preserve">https://wmo-im.github.io/wis2-transition-guide/transition-guide/wis2-transition-guide-APPROVED.html#_1_introduction</w:t>
        </w:r>
      </w:hyperlink>
    </w:p>
  </w:footnote>
  <w:footnote w:id="131">
    <w:p>
      <w:pPr>
        <w:pStyle w:val="FootnoteText"/>
      </w:pPr>
      <w:r>
        <w:rPr>
          <w:rStyle w:val="FootnoteReference"/>
        </w:rPr>
        <w:footnoteRef/>
      </w:r>
      <w:r>
        <w:t xml:space="preserve"> </w:t>
      </w:r>
      <w:hyperlink r:id="rId132">
        <w:r>
          <w:rPr>
            <w:rStyle w:val="Hyperlink"/>
          </w:rPr>
          <w:t xml:space="preserve">https://producingoss.com</w:t>
        </w:r>
      </w:hyperlink>
    </w:p>
  </w:footnote>
  <w:footnote w:id="134">
    <w:p>
      <w:pPr>
        <w:pStyle w:val="FootnoteText"/>
      </w:pPr>
      <w:r>
        <w:rPr>
          <w:rStyle w:val="FootnoteReference"/>
        </w:rPr>
        <w:footnoteRef/>
      </w:r>
      <w:r>
        <w:t xml:space="preserve"> </w:t>
      </w:r>
      <w:hyperlink r:id="rId135">
        <w:r>
          <w:rPr>
            <w:rStyle w:val="Hyperlink"/>
          </w:rPr>
          <w:t xml:space="preserve">https://interoperable-europe.ec.europa.eu/collection/open-source-observatory-osor/news/updated-osor-handbook-published</w:t>
        </w:r>
      </w:hyperlink>
    </w:p>
  </w:footnote>
  <w:footnote w:id="137">
    <w:p>
      <w:pPr>
        <w:pStyle w:val="FootnoteText"/>
      </w:pPr>
      <w:r>
        <w:rPr>
          <w:rStyle w:val="FootnoteReference"/>
        </w:rPr>
        <w:footnoteRef/>
      </w:r>
      <w:r>
        <w:t xml:space="preserve"> </w:t>
      </w:r>
      <w:hyperlink r:id="rId138">
        <w:r>
          <w:rPr>
            <w:rStyle w:val="Hyperlink"/>
          </w:rPr>
          <w:t xml:space="preserve">https://assets.public.digital/Open_Source_Report.pdf</w:t>
        </w:r>
      </w:hyperlink>
    </w:p>
  </w:footnote>
  <w:footnote w:id="140">
    <w:p>
      <w:pPr>
        <w:pStyle w:val="FootnoteText"/>
      </w:pPr>
      <w:r>
        <w:rPr>
          <w:rStyle w:val="FootnoteReference"/>
        </w:rPr>
        <w:footnoteRef/>
      </w:r>
      <w:r>
        <w:t xml:space="preserve"> </w:t>
      </w:r>
      <w:hyperlink r:id="rId61">
        <w:r>
          <w:rPr>
            <w:rStyle w:val="Hyperlink"/>
          </w:rPr>
          <w:t xml:space="preserve">https://fsfe.org/activities/publiccode/index.en.html</w:t>
        </w:r>
      </w:hyperlink>
    </w:p>
  </w:footnote>
  <w:footnote w:id="143">
    <w:p>
      <w:pPr>
        <w:pStyle w:val="FootnoteText"/>
      </w:pPr>
      <w:r>
        <w:rPr>
          <w:rStyle w:val="FootnoteReference"/>
        </w:rPr>
        <w:footnoteRef/>
      </w:r>
      <w:r>
        <w:t xml:space="preserve"> </w:t>
      </w:r>
      <w:hyperlink r:id="rId71">
        <w:r>
          <w:rPr>
            <w:rStyle w:val="Hyperlink"/>
          </w:rPr>
          <w:t xml:space="preserve">https://digital-strategy.ec.europa.eu/en/library/study-about-impact-open-source-software-and-hardware-technological-independence-competitiveness-and</w:t>
        </w:r>
      </w:hyperlink>
    </w:p>
  </w:footnote>
  <w:footnote w:id="145">
    <w:p>
      <w:pPr>
        <w:pStyle w:val="FootnoteText"/>
      </w:pPr>
      <w:r>
        <w:rPr>
          <w:rStyle w:val="FootnoteReference"/>
        </w:rPr>
        <w:footnoteRef/>
      </w:r>
      <w:r>
        <w:t xml:space="preserve"> </w:t>
      </w:r>
      <w:hyperlink r:id="rId73">
        <w:r>
          <w:rPr>
            <w:rStyle w:val="Hyperlink"/>
          </w:rPr>
          <w:t xml:space="preserve">https://blogs.worldbank.org/en/opendata/leveraging-open-source-public-institution-new-analysis-reveals-significant-returns-investment-open</w:t>
        </w:r>
      </w:hyperlink>
    </w:p>
  </w:footnote>
  <w:footnote w:id="147">
    <w:p>
      <w:pPr>
        <w:pStyle w:val="FootnoteText"/>
      </w:pPr>
      <w:r>
        <w:rPr>
          <w:rStyle w:val="FootnoteReference"/>
        </w:rPr>
        <w:footnoteRef/>
      </w:r>
      <w:r>
        <w:t xml:space="preserve"> </w:t>
      </w:r>
      <w:hyperlink r:id="rId148">
        <w:r>
          <w:rPr>
            <w:rStyle w:val="Hyperlink"/>
          </w:rPr>
          <w:t xml:space="preserve">https://www.linuxfoundation.org/research/open-source-roi</w:t>
        </w:r>
      </w:hyperlink>
    </w:p>
  </w:footnote>
  <w:footnote w:id="151">
    <w:p>
      <w:pPr>
        <w:pStyle w:val="FootnoteText"/>
      </w:pPr>
      <w:r>
        <w:rPr>
          <w:rStyle w:val="FootnoteReference"/>
        </w:rPr>
        <w:footnoteRef/>
      </w:r>
      <w:r>
        <w:t xml:space="preserve"> </w:t>
      </w:r>
      <w:hyperlink r:id="rId152">
        <w:r>
          <w:rPr>
            <w:rStyle w:val="Hyperlink"/>
          </w:rPr>
          <w:t xml:space="preserve">https://commission.europa.eu/about/departments-and-executive-agencies/digital-services/open-source-software-strategy_en</w:t>
        </w:r>
      </w:hyperlink>
    </w:p>
  </w:footnote>
  <w:footnote w:id="154">
    <w:p>
      <w:pPr>
        <w:pStyle w:val="FootnoteText"/>
      </w:pPr>
      <w:r>
        <w:rPr>
          <w:rStyle w:val="FootnoteReference"/>
        </w:rPr>
        <w:footnoteRef/>
      </w:r>
      <w:r>
        <w:t xml:space="preserve"> </w:t>
      </w:r>
      <w:hyperlink r:id="rId63">
        <w:r>
          <w:rPr>
            <w:rStyle w:val="Hyperlink"/>
          </w:rPr>
          <w:t xml:space="preserve">https://interoperable-europe.ec.europa.eu/interoperable-europe/interoperable-europe-act</w:t>
        </w:r>
      </w:hyperlink>
    </w:p>
  </w:footnote>
  <w:footnote w:id="156">
    <w:p>
      <w:pPr>
        <w:pStyle w:val="FootnoteText"/>
      </w:pPr>
      <w:r>
        <w:rPr>
          <w:rStyle w:val="FootnoteReference"/>
        </w:rPr>
        <w:footnoteRef/>
      </w:r>
      <w:r>
        <w:t xml:space="preserve"> </w:t>
      </w:r>
      <w:hyperlink r:id="rId157">
        <w:r>
          <w:rPr>
            <w:rStyle w:val="Hyperlink"/>
          </w:rPr>
          <w:t xml:space="preserve">https://digital-strategy.ec.europa.eu/en/policies/cra-open-source</w:t>
        </w:r>
      </w:hyperlink>
    </w:p>
  </w:footnote>
  <w:footnote w:id="159">
    <w:p>
      <w:pPr>
        <w:pStyle w:val="FootnoteText"/>
      </w:pPr>
      <w:r>
        <w:rPr>
          <w:rStyle w:val="FootnoteReference"/>
        </w:rPr>
        <w:footnoteRef/>
      </w:r>
      <w:r>
        <w:t xml:space="preserve"> </w:t>
      </w:r>
      <w:hyperlink r:id="rId49">
        <w:r>
          <w:rPr>
            <w:rStyle w:val="Hyperlink"/>
          </w:rPr>
          <w:t xml:space="preserve">https://obamawhitehouse.archives.gov/sites/default/files/omb/memoranda/2016/m_16_21.pdf</w:t>
        </w:r>
      </w:hyperlink>
    </w:p>
  </w:footnote>
  <w:footnote w:id="161">
    <w:p>
      <w:pPr>
        <w:pStyle w:val="FootnoteText"/>
      </w:pPr>
      <w:r>
        <w:rPr>
          <w:rStyle w:val="FootnoteReference"/>
        </w:rPr>
        <w:footnoteRef/>
      </w:r>
      <w:r>
        <w:t xml:space="preserve"> </w:t>
      </w:r>
      <w:hyperlink r:id="rId51">
        <w:r>
          <w:rPr>
            <w:rStyle w:val="Hyperlink"/>
          </w:rPr>
          <w:t xml:space="preserve">https://www.canada.ca/en/government/system/digital-government/digital-government-innovations/open-source-software/open-first-whitepaper.html</w:t>
        </w:r>
      </w:hyperlink>
    </w:p>
  </w:footnote>
  <w:footnote w:id="163">
    <w:p>
      <w:pPr>
        <w:pStyle w:val="FootnoteText"/>
      </w:pPr>
      <w:r>
        <w:rPr>
          <w:rStyle w:val="FootnoteReference"/>
        </w:rPr>
        <w:footnoteRef/>
      </w:r>
      <w:r>
        <w:t xml:space="preserve"> </w:t>
      </w:r>
      <w:hyperlink r:id="rId53">
        <w:r>
          <w:rPr>
            <w:rStyle w:val="Hyperlink"/>
          </w:rPr>
          <w:t xml:space="preserve">https://www.dta.gov.au/help-and-advice/digital-service-standard/digital-service-standard-criteria/8-make-source-code-open</w:t>
        </w:r>
      </w:hyperlink>
    </w:p>
  </w:footnote>
  <w:footnote w:id="165">
    <w:p>
      <w:pPr>
        <w:pStyle w:val="FootnoteText"/>
      </w:pPr>
      <w:r>
        <w:rPr>
          <w:rStyle w:val="FootnoteReference"/>
        </w:rPr>
        <w:footnoteRef/>
      </w:r>
      <w:r>
        <w:t xml:space="preserve"> </w:t>
      </w:r>
      <w:hyperlink r:id="rId55">
        <w:r>
          <w:rPr>
            <w:rStyle w:val="Hyperlink"/>
          </w:rPr>
          <w:t xml:space="preserve">https://www.data.govt.nz/manage-data/policies/nzgoal/nzgoal-se-guidance-note-1/</w:t>
        </w:r>
      </w:hyperlink>
    </w:p>
  </w:footnote>
  <w:footnote w:id="167">
    <w:p>
      <w:pPr>
        <w:pStyle w:val="FootnoteText"/>
      </w:pPr>
      <w:r>
        <w:rPr>
          <w:rStyle w:val="FootnoteReference"/>
        </w:rPr>
        <w:footnoteRef/>
      </w:r>
      <w:r>
        <w:t xml:space="preserve"> </w:t>
      </w:r>
      <w:hyperlink r:id="rId57">
        <w:r>
          <w:rPr>
            <w:rStyle w:val="Hyperlink"/>
          </w:rPr>
          <w:t xml:space="preserve">https://www.meity.gov.in/static/uploads/2024/02/policy_on_adoption_of_oss.pdf</w:t>
        </w:r>
      </w:hyperlink>
    </w:p>
  </w:footnote>
  <w:footnote w:id="169">
    <w:p>
      <w:pPr>
        <w:pStyle w:val="FootnoteText"/>
      </w:pPr>
      <w:r>
        <w:rPr>
          <w:rStyle w:val="FootnoteReference"/>
        </w:rPr>
        <w:footnoteRef/>
      </w:r>
      <w:r>
        <w:t xml:space="preserve"> </w:t>
      </w:r>
      <w:hyperlink r:id="rId59">
        <w:r>
          <w:rPr>
            <w:rStyle w:val="Hyperlink"/>
          </w:rPr>
          <w:t xml:space="preserve">https://interoperable-europe.ec.europa.eu/collection/open-source-observatory-osor/news/japans-2024-open-source-promotion-report</w:t>
        </w:r>
      </w:hyperlink>
    </w:p>
  </w:footnote>
  <w:footnote w:id="171">
    <w:p>
      <w:pPr>
        <w:pStyle w:val="FootnoteText"/>
      </w:pPr>
      <w:r>
        <w:rPr>
          <w:rStyle w:val="FootnoteReference"/>
        </w:rPr>
        <w:footnoteRef/>
      </w:r>
      <w:r>
        <w:t xml:space="preserve"> </w:t>
      </w:r>
      <w:hyperlink r:id="rId172">
        <w:r>
          <w:rPr>
            <w:rStyle w:val="Hyperlink"/>
          </w:rPr>
          <w:t xml:space="preserve">https://github.com/spbgovbr</w:t>
        </w:r>
      </w:hyperlink>
    </w:p>
  </w:footnote>
  <w:footnote w:id="174">
    <w:p>
      <w:pPr>
        <w:pStyle w:val="FootnoteText"/>
      </w:pPr>
      <w:r>
        <w:rPr>
          <w:rStyle w:val="FootnoteReference"/>
        </w:rPr>
        <w:footnoteRef/>
      </w:r>
      <w:r>
        <w:t xml:space="preserve"> </w:t>
      </w:r>
      <w:hyperlink r:id="rId175">
        <w:r>
          <w:rPr>
            <w:rStyle w:val="Hyperlink"/>
          </w:rPr>
          <w:t xml:space="preserve">https://au.int/sites/default/files/documents/38507-doc-dts-english.pdf</w:t>
        </w:r>
      </w:hyperlink>
    </w:p>
  </w:footnote>
  <w:footnote w:id="177">
    <w:p>
      <w:pPr>
        <w:pStyle w:val="FootnoteText"/>
      </w:pPr>
      <w:r>
        <w:rPr>
          <w:rStyle w:val="FootnoteReference"/>
        </w:rPr>
        <w:footnoteRef/>
      </w:r>
      <w:r>
        <w:t xml:space="preserve"> </w:t>
      </w:r>
      <w:hyperlink r:id="rId46">
        <w:r>
          <w:rPr>
            <w:rStyle w:val="Hyperlink"/>
          </w:rPr>
          <w:t xml:space="preserve">https://www.csis.org/programs/strategic-technologies-program/resources/government-open-source-software-policies</w:t>
        </w:r>
      </w:hyperlink>
    </w:p>
  </w:footnote>
  <w:footnote w:id="180">
    <w:p>
      <w:pPr>
        <w:pStyle w:val="FootnoteText"/>
      </w:pPr>
      <w:r>
        <w:rPr>
          <w:rStyle w:val="FootnoteReference"/>
        </w:rPr>
        <w:footnoteRef/>
      </w:r>
      <w:r>
        <w:t xml:space="preserve"> </w:t>
      </w:r>
      <w:hyperlink r:id="rId97">
        <w:r>
          <w:rPr>
            <w:rStyle w:val="Hyperlink"/>
          </w:rPr>
          <w:t xml:space="preserve">https://new.digitalpublicgoods.net/standard</w:t>
        </w:r>
      </w:hyperlink>
    </w:p>
  </w:footnote>
  <w:footnote w:id="182">
    <w:p>
      <w:pPr>
        <w:pStyle w:val="FootnoteText"/>
      </w:pPr>
      <w:r>
        <w:rPr>
          <w:rStyle w:val="FootnoteReference"/>
        </w:rPr>
        <w:footnoteRef/>
      </w:r>
      <w:r>
        <w:t xml:space="preserve"> </w:t>
      </w:r>
      <w:hyperlink r:id="rId98">
        <w:r>
          <w:rPr>
            <w:rStyle w:val="Hyperlink"/>
          </w:rPr>
          <w:t xml:space="preserve">https://www.undp.org/digital/osee</w:t>
        </w:r>
      </w:hyperlink>
    </w:p>
  </w:footnote>
  <w:footnote w:id="184">
    <w:p>
      <w:pPr>
        <w:pStyle w:val="FootnoteText"/>
      </w:pPr>
      <w:r>
        <w:rPr>
          <w:rStyle w:val="FootnoteReference"/>
        </w:rPr>
        <w:footnoteRef/>
      </w:r>
      <w:r>
        <w:t xml:space="preserve"> </w:t>
      </w:r>
      <w:hyperlink r:id="rId185">
        <w:r>
          <w:rPr>
            <w:rStyle w:val="Hyperlink"/>
          </w:rPr>
          <w:t xml:space="preserve">https://www.undp.org/digital/standards/9-default-to-Open</w:t>
        </w:r>
      </w:hyperlink>
    </w:p>
  </w:footnote>
  <w:footnote w:id="187">
    <w:p>
      <w:pPr>
        <w:pStyle w:val="FootnoteText"/>
      </w:pPr>
      <w:r>
        <w:rPr>
          <w:rStyle w:val="FootnoteReference"/>
        </w:rPr>
        <w:footnoteRef/>
      </w:r>
      <w:r>
        <w:t xml:space="preserve"> </w:t>
      </w:r>
      <w:hyperlink r:id="rId188">
        <w:r>
          <w:rPr>
            <w:rStyle w:val="Hyperlink"/>
          </w:rPr>
          <w:t xml:space="preserve">https://documents.worldbank.org/en/publication/documents-reports/documentdetail/672901582561140400/open-source-for-global-public-goods</w:t>
        </w:r>
      </w:hyperlink>
    </w:p>
  </w:footnote>
  <w:footnote w:id="190">
    <w:p>
      <w:pPr>
        <w:pStyle w:val="FootnoteText"/>
      </w:pPr>
      <w:r>
        <w:rPr>
          <w:rStyle w:val="FootnoteReference"/>
        </w:rPr>
        <w:footnoteRef/>
      </w:r>
      <w:r>
        <w:t xml:space="preserve"> </w:t>
      </w:r>
      <w:hyperlink r:id="rId47">
        <w:r>
          <w:rPr>
            <w:rStyle w:val="Hyperlink"/>
          </w:rPr>
          <w:t xml:space="preserve">https://interoperable-europe.ec.europa.eu/collection/open-source-observatory-osor/open-source-software-country-intelligence</w:t>
        </w:r>
      </w:hyperlink>
    </w:p>
  </w:footnote>
  <w:footnote w:id="193">
    <w:p>
      <w:pPr>
        <w:pStyle w:val="FootnoteText"/>
      </w:pPr>
      <w:r>
        <w:rPr>
          <w:rStyle w:val="FootnoteReference"/>
        </w:rPr>
        <w:footnoteRef/>
      </w:r>
      <w:r>
        <w:t xml:space="preserve"> </w:t>
      </w:r>
      <w:hyperlink r:id="rId104">
        <w:r>
          <w:rPr>
            <w:rStyle w:val="Hyperlink"/>
          </w:rPr>
          <w:t xml:space="preserve">https://climate.copernicus.eu/code-earth-2025-advancing-energy-system-resilience-climate-data</w:t>
        </w:r>
      </w:hyperlink>
    </w:p>
  </w:footnote>
  <w:footnote w:id="195">
    <w:p>
      <w:pPr>
        <w:pStyle w:val="FootnoteText"/>
      </w:pPr>
      <w:r>
        <w:rPr>
          <w:rStyle w:val="FootnoteReference"/>
        </w:rPr>
        <w:footnoteRef/>
      </w:r>
      <w:r>
        <w:t xml:space="preserve"> </w:t>
      </w:r>
      <w:hyperlink r:id="rId196">
        <w:r>
          <w:rPr>
            <w:rStyle w:val="Hyperlink"/>
          </w:rPr>
          <w:t xml:space="preserve">https://wmo-im.github.io/wis2-transition-guide/transition-guide/wis2-transition-guide-APPROVED.html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8" Target="https://assets.public.digital/Open_Source_Report.pdf" TargetMode="External" /><Relationship Type="http://schemas.openxmlformats.org/officeDocument/2006/relationships/hyperlink" Id="rId175" Target="https://au.int/sites/default/files/documents/38507-doc-dts-english.pdf" TargetMode="External" /><Relationship Type="http://schemas.openxmlformats.org/officeDocument/2006/relationships/hyperlink" Id="rId73" Target="https://blogs.worldbank.org/en/opendata/leveraging-open-source-public-institution-new-analysis-reveals-significant-returns-investment-open" TargetMode="External" /><Relationship Type="http://schemas.openxmlformats.org/officeDocument/2006/relationships/hyperlink" Id="rId104" Target="https://climate.copernicus.eu/code-earth-2025-advancing-energy-system-resilience-climate-data" TargetMode="External" /><Relationship Type="http://schemas.openxmlformats.org/officeDocument/2006/relationships/hyperlink" Id="rId68" Target="https://codeberg.org" TargetMode="External" /><Relationship Type="http://schemas.openxmlformats.org/officeDocument/2006/relationships/hyperlink" Id="rId152"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81" Target="https://conda-forge.org" TargetMode="External" /><Relationship Type="http://schemas.openxmlformats.org/officeDocument/2006/relationships/hyperlink" Id="rId37" Target="https://data.ecmwf.int/" TargetMode="External" /><Relationship Type="http://schemas.openxmlformats.org/officeDocument/2006/relationships/hyperlink" Id="rId71" Target="https://digital-strategy.ec.europa.eu/en/library/study-about-impact-open-source-software-and-hardware-technological-independence-competitiveness-and" TargetMode="External" /><Relationship Type="http://schemas.openxmlformats.org/officeDocument/2006/relationships/hyperlink" Id="rId157" Target="https://digital-strategy.ec.europa.eu/en/policies/cra-open-source" TargetMode="External" /><Relationship Type="http://schemas.openxmlformats.org/officeDocument/2006/relationships/hyperlink" Id="rId34" Target="https://digital-strategy.ec.europa.eu/en/policies/legislation-open-data" TargetMode="External" /><Relationship Type="http://schemas.openxmlformats.org/officeDocument/2006/relationships/hyperlink" Id="rId122" Target="https://docs.wis2box.wis.wmo.int" TargetMode="External" /><Relationship Type="http://schemas.openxmlformats.org/officeDocument/2006/relationships/hyperlink" Id="rId188" Target="https://documents.worldbank.org/en/publication/documents-reports/documentdetail/672901582561140400/open-source-for-global-public-goods" TargetMode="External" /><Relationship Type="http://schemas.openxmlformats.org/officeDocument/2006/relationships/hyperlink" Id="rId78" Target="https://forgejo.org" TargetMode="External" /><Relationship Type="http://schemas.openxmlformats.org/officeDocument/2006/relationships/hyperlink" Id="rId102" Target="https://foss4g.org" TargetMode="External" /><Relationship Type="http://schemas.openxmlformats.org/officeDocument/2006/relationships/hyperlink" Id="rId61" Target="https://fsfe.org/activities/publiccode/index.en.html" TargetMode="External" /><Relationship Type="http://schemas.openxmlformats.org/officeDocument/2006/relationships/hyperlink" Id="rId77" Target="https://gitea.io" TargetMode="External" /><Relationship Type="http://schemas.openxmlformats.org/officeDocument/2006/relationships/hyperlink" Id="rId66" Target="https://github.com" TargetMode="External" /><Relationship Type="http://schemas.openxmlformats.org/officeDocument/2006/relationships/hyperlink" Id="rId124" Target="https://github.com/World-Meteorological-Organization/csv2bufr" TargetMode="External" /><Relationship Type="http://schemas.openxmlformats.org/officeDocument/2006/relationships/hyperlink" Id="rId126" Target="https://github.com/World-Meteorological-Organization/pywis-pubsub" TargetMode="External" /><Relationship Type="http://schemas.openxmlformats.org/officeDocument/2006/relationships/hyperlink" Id="rId125" Target="https://github.com/World-Meteorological-Organization/wis2downloader" TargetMode="External" /><Relationship Type="http://schemas.openxmlformats.org/officeDocument/2006/relationships/hyperlink" Id="rId172" Target="https://github.com/spbgovbr" TargetMode="External" /><Relationship Type="http://schemas.openxmlformats.org/officeDocument/2006/relationships/hyperlink" Id="rId123" Target="https://github.com/wmo-im/wis2-gdc" TargetMode="External" /><Relationship Type="http://schemas.openxmlformats.org/officeDocument/2006/relationships/hyperlink" Id="rId76" Target="https://gitlab.com" TargetMode="External" /><Relationship Type="http://schemas.openxmlformats.org/officeDocument/2006/relationships/hyperlink" Id="rId67" Target="https://gitlab.com/gitlab-org" TargetMode="External" /><Relationship Type="http://schemas.openxmlformats.org/officeDocument/2006/relationships/hyperlink" Id="rId59" Target="https://interoperable-europe.ec.europa.eu/collection/open-source-observatory-osor/news/japans-2024-open-source-promotion-report" TargetMode="External" /><Relationship Type="http://schemas.openxmlformats.org/officeDocument/2006/relationships/hyperlink" Id="rId135" Target="https://interoperable-europe.ec.europa.eu/collection/open-source-observatory-osor/news/updated-osor-handbook-published" TargetMode="External" /><Relationship Type="http://schemas.openxmlformats.org/officeDocument/2006/relationships/hyperlink" Id="rId47" Target="https://interoperable-europe.ec.europa.eu/collection/open-source-observatory-osor/open-source-software-country-intelligence" TargetMode="External" /><Relationship Type="http://schemas.openxmlformats.org/officeDocument/2006/relationships/hyperlink" Id="rId63" Target="https://interoperable-europe.ec.europa.eu/interoperable-europe/interoperable-europe-act" TargetMode="External" /><Relationship Type="http://schemas.openxmlformats.org/officeDocument/2006/relationships/hyperlink" Id="rId118" Target="https://library.wmo.int/idviewer/66258/1147" TargetMode="External" /><Relationship Type="http://schemas.openxmlformats.org/officeDocument/2006/relationships/hyperlink" Id="rId97" Target="https://new.digitalpublicgoods.net/standard" TargetMode="External" /><Relationship Type="http://schemas.openxmlformats.org/officeDocument/2006/relationships/hyperlink" Id="rId49" Target="https://obamawhitehouse.archives.gov/sites/default/files/omb/memoranda/2016/m_16_21.pdf" TargetMode="External" /><Relationship Type="http://schemas.openxmlformats.org/officeDocument/2006/relationships/hyperlink" Id="rId30" Target="https://opendefinition.org/licenses/" TargetMode="External" /><Relationship Type="http://schemas.openxmlformats.org/officeDocument/2006/relationships/hyperlink" Id="rId100" Target="https://opensource.worldbank.org" TargetMode="External" /><Relationship Type="http://schemas.openxmlformats.org/officeDocument/2006/relationships/hyperlink" Id="rId94" Target="https://osgeo.org" TargetMode="External" /><Relationship Type="http://schemas.openxmlformats.org/officeDocument/2006/relationships/hyperlink" Id="rId132" Target="https://producingoss.com" TargetMode="External" /><Relationship Type="http://schemas.openxmlformats.org/officeDocument/2006/relationships/hyperlink" Id="rId108" Target="https://project.oss4geo.org/" TargetMode="External" /><Relationship Type="http://schemas.openxmlformats.org/officeDocument/2006/relationships/hyperlink" Id="rId121" Target="https://raw.githubusercontent.com/wmo-im/wis2-guide/refs/heads/main/guide/images/architecture/c4.container.png" TargetMode="External" /><Relationship Type="http://schemas.openxmlformats.org/officeDocument/2006/relationships/hyperlink" Id="rId196" Target="https://wmo-im.github.io/wis2-transition-guide/transition-guide/wis2-transition-guide-APPROVED.html" TargetMode="External" /><Relationship Type="http://schemas.openxmlformats.org/officeDocument/2006/relationships/hyperlink" Id="rId120"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17"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96" Target="https://www.apache.org" TargetMode="External" /><Relationship Type="http://schemas.openxmlformats.org/officeDocument/2006/relationships/hyperlink" Id="rId38" Target="https://www.canada.ca/en/government/system/digital-government/digital-government-innovations/information-management.html" TargetMode="External" /><Relationship Type="http://schemas.openxmlformats.org/officeDocument/2006/relationships/hyperlink" Id="rId51" Target="https://www.canada.ca/en/government/system/digital-government/digital-government-innovations/open-source-software/open-first-whitepaper.html" TargetMode="External" /><Relationship Type="http://schemas.openxmlformats.org/officeDocument/2006/relationships/hyperlink" Id="rId46" Target="https://www.csis.org/programs/strategic-technologies-program/resources/government-open-source-software-policies" TargetMode="External" /><Relationship Type="http://schemas.openxmlformats.org/officeDocument/2006/relationships/hyperlink" Id="rId55" Target="https://www.data.govt.nz/manage-data/policies/nzgoal/nzgoal-se-guidance-note-1/" TargetMode="External" /><Relationship Type="http://schemas.openxmlformats.org/officeDocument/2006/relationships/hyperlink" Id="rId95" Target="https://www.digitalpublicgoods.net" TargetMode="External" /><Relationship Type="http://schemas.openxmlformats.org/officeDocument/2006/relationships/hyperlink" Id="rId53" Target="https://www.dta.gov.au/help-and-advice/digital-service-standard/digital-service-standard-criteria/8-make-source-code-open" TargetMode="External" /><Relationship Type="http://schemas.openxmlformats.org/officeDocument/2006/relationships/hyperlink" Id="rId36" Target="https://www.ecmwf.int/en/forecasts/access-forecasts/access-real-time-open-data" TargetMode="External" /><Relationship Type="http://schemas.openxmlformats.org/officeDocument/2006/relationships/hyperlink" Id="rId35" Target="https://www.ecmwf.int/en/forecasts/datasets/open-data" TargetMode="External" /><Relationship Type="http://schemas.openxmlformats.org/officeDocument/2006/relationships/hyperlink" Id="rId99" Target="https://www.itu.int" TargetMode="External" /><Relationship Type="http://schemas.openxmlformats.org/officeDocument/2006/relationships/hyperlink" Id="rId148" Target="https://www.linuxfoundation.org/research/open-source-roi" TargetMode="External" /><Relationship Type="http://schemas.openxmlformats.org/officeDocument/2006/relationships/hyperlink" Id="rId57" Target="https://www.meity.gov.in/static/uploads/2024/02/policy_on_adoption_of_oss.pdf" TargetMode="External" /><Relationship Type="http://schemas.openxmlformats.org/officeDocument/2006/relationships/hyperlink" Id="rId89" Target="https://www.osgeo.org/resources/project-graduation-checklist/" TargetMode="External" /><Relationship Type="http://schemas.openxmlformats.org/officeDocument/2006/relationships/hyperlink" Id="rId98" Target="https://www.undp.org/digital/osee" TargetMode="External" /><Relationship Type="http://schemas.openxmlformats.org/officeDocument/2006/relationships/hyperlink" Id="rId185" Target="https://www.undp.org/digital/standards/9-default-to-Open" TargetMode="External" /></Relationships>
</file>

<file path=word/_rels/footnotes.xml.rels><?xml version="1.0" encoding="UTF-8"?><Relationships xmlns="http://schemas.openxmlformats.org/package/2006/relationships"><Relationship Type="http://schemas.openxmlformats.org/officeDocument/2006/relationships/hyperlink" Id="rId138" Target="https://assets.public.digital/Open_Source_Report.pdf" TargetMode="External" /><Relationship Type="http://schemas.openxmlformats.org/officeDocument/2006/relationships/hyperlink" Id="rId175" Target="https://au.int/sites/default/files/documents/38507-doc-dts-english.pdf" TargetMode="External" /><Relationship Type="http://schemas.openxmlformats.org/officeDocument/2006/relationships/hyperlink" Id="rId73" Target="https://blogs.worldbank.org/en/opendata/leveraging-open-source-public-institution-new-analysis-reveals-significant-returns-investment-open" TargetMode="External" /><Relationship Type="http://schemas.openxmlformats.org/officeDocument/2006/relationships/hyperlink" Id="rId104" Target="https://climate.copernicus.eu/code-earth-2025-advancing-energy-system-resilience-climate-data" TargetMode="External" /><Relationship Type="http://schemas.openxmlformats.org/officeDocument/2006/relationships/hyperlink" Id="rId68" Target="https://codeberg.org" TargetMode="External" /><Relationship Type="http://schemas.openxmlformats.org/officeDocument/2006/relationships/hyperlink" Id="rId152"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81" Target="https://conda-forge.org" TargetMode="External" /><Relationship Type="http://schemas.openxmlformats.org/officeDocument/2006/relationships/hyperlink" Id="rId37" Target="https://data.ecmwf.int/" TargetMode="External" /><Relationship Type="http://schemas.openxmlformats.org/officeDocument/2006/relationships/hyperlink" Id="rId71" Target="https://digital-strategy.ec.europa.eu/en/library/study-about-impact-open-source-software-and-hardware-technological-independence-competitiveness-and" TargetMode="External" /><Relationship Type="http://schemas.openxmlformats.org/officeDocument/2006/relationships/hyperlink" Id="rId157" Target="https://digital-strategy.ec.europa.eu/en/policies/cra-open-source" TargetMode="External" /><Relationship Type="http://schemas.openxmlformats.org/officeDocument/2006/relationships/hyperlink" Id="rId34" Target="https://digital-strategy.ec.europa.eu/en/policies/legislation-open-data" TargetMode="External" /><Relationship Type="http://schemas.openxmlformats.org/officeDocument/2006/relationships/hyperlink" Id="rId122" Target="https://docs.wis2box.wis.wmo.int" TargetMode="External" /><Relationship Type="http://schemas.openxmlformats.org/officeDocument/2006/relationships/hyperlink" Id="rId188" Target="https://documents.worldbank.org/en/publication/documents-reports/documentdetail/672901582561140400/open-source-for-global-public-goods" TargetMode="External" /><Relationship Type="http://schemas.openxmlformats.org/officeDocument/2006/relationships/hyperlink" Id="rId78" Target="https://forgejo.org" TargetMode="External" /><Relationship Type="http://schemas.openxmlformats.org/officeDocument/2006/relationships/hyperlink" Id="rId102" Target="https://foss4g.org" TargetMode="External" /><Relationship Type="http://schemas.openxmlformats.org/officeDocument/2006/relationships/hyperlink" Id="rId61" Target="https://fsfe.org/activities/publiccode/index.en.html" TargetMode="External" /><Relationship Type="http://schemas.openxmlformats.org/officeDocument/2006/relationships/hyperlink" Id="rId77" Target="https://gitea.io" TargetMode="External" /><Relationship Type="http://schemas.openxmlformats.org/officeDocument/2006/relationships/hyperlink" Id="rId66" Target="https://github.com" TargetMode="External" /><Relationship Type="http://schemas.openxmlformats.org/officeDocument/2006/relationships/hyperlink" Id="rId124" Target="https://github.com/World-Meteorological-Organization/csv2bufr" TargetMode="External" /><Relationship Type="http://schemas.openxmlformats.org/officeDocument/2006/relationships/hyperlink" Id="rId126" Target="https://github.com/World-Meteorological-Organization/pywis-pubsub" TargetMode="External" /><Relationship Type="http://schemas.openxmlformats.org/officeDocument/2006/relationships/hyperlink" Id="rId125" Target="https://github.com/World-Meteorological-Organization/wis2downloader" TargetMode="External" /><Relationship Type="http://schemas.openxmlformats.org/officeDocument/2006/relationships/hyperlink" Id="rId172" Target="https://github.com/spbgovbr" TargetMode="External" /><Relationship Type="http://schemas.openxmlformats.org/officeDocument/2006/relationships/hyperlink" Id="rId123" Target="https://github.com/wmo-im/wis2-gdc" TargetMode="External" /><Relationship Type="http://schemas.openxmlformats.org/officeDocument/2006/relationships/hyperlink" Id="rId76" Target="https://gitlab.com" TargetMode="External" /><Relationship Type="http://schemas.openxmlformats.org/officeDocument/2006/relationships/hyperlink" Id="rId67" Target="https://gitlab.com/gitlab-org" TargetMode="External" /><Relationship Type="http://schemas.openxmlformats.org/officeDocument/2006/relationships/hyperlink" Id="rId59" Target="https://interoperable-europe.ec.europa.eu/collection/open-source-observatory-osor/news/japans-2024-open-source-promotion-report" TargetMode="External" /><Relationship Type="http://schemas.openxmlformats.org/officeDocument/2006/relationships/hyperlink" Id="rId135" Target="https://interoperable-europe.ec.europa.eu/collection/open-source-observatory-osor/news/updated-osor-handbook-published" TargetMode="External" /><Relationship Type="http://schemas.openxmlformats.org/officeDocument/2006/relationships/hyperlink" Id="rId47" Target="https://interoperable-europe.ec.europa.eu/collection/open-source-observatory-osor/open-source-software-country-intelligence" TargetMode="External" /><Relationship Type="http://schemas.openxmlformats.org/officeDocument/2006/relationships/hyperlink" Id="rId63" Target="https://interoperable-europe.ec.europa.eu/interoperable-europe/interoperable-europe-act" TargetMode="External" /><Relationship Type="http://schemas.openxmlformats.org/officeDocument/2006/relationships/hyperlink" Id="rId118" Target="https://library.wmo.int/idviewer/66258/1147" TargetMode="External" /><Relationship Type="http://schemas.openxmlformats.org/officeDocument/2006/relationships/hyperlink" Id="rId97" Target="https://new.digitalpublicgoods.net/standard" TargetMode="External" /><Relationship Type="http://schemas.openxmlformats.org/officeDocument/2006/relationships/hyperlink" Id="rId49" Target="https://obamawhitehouse.archives.gov/sites/default/files/omb/memoranda/2016/m_16_21.pdf" TargetMode="External" /><Relationship Type="http://schemas.openxmlformats.org/officeDocument/2006/relationships/hyperlink" Id="rId30" Target="https://opendefinition.org/licenses/" TargetMode="External" /><Relationship Type="http://schemas.openxmlformats.org/officeDocument/2006/relationships/hyperlink" Id="rId100" Target="https://opensource.worldbank.org" TargetMode="External" /><Relationship Type="http://schemas.openxmlformats.org/officeDocument/2006/relationships/hyperlink" Id="rId94" Target="https://osgeo.org" TargetMode="External" /><Relationship Type="http://schemas.openxmlformats.org/officeDocument/2006/relationships/hyperlink" Id="rId132" Target="https://producingoss.com" TargetMode="External" /><Relationship Type="http://schemas.openxmlformats.org/officeDocument/2006/relationships/hyperlink" Id="rId108" Target="https://project.oss4geo.org/" TargetMode="External" /><Relationship Type="http://schemas.openxmlformats.org/officeDocument/2006/relationships/hyperlink" Id="rId121" Target="https://raw.githubusercontent.com/wmo-im/wis2-guide/refs/heads/main/guide/images/architecture/c4.container.png" TargetMode="External" /><Relationship Type="http://schemas.openxmlformats.org/officeDocument/2006/relationships/hyperlink" Id="rId196" Target="https://wmo-im.github.io/wis2-transition-guide/transition-guide/wis2-transition-guide-APPROVED.html" TargetMode="External" /><Relationship Type="http://schemas.openxmlformats.org/officeDocument/2006/relationships/hyperlink" Id="rId120"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17"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96" Target="https://www.apache.org" TargetMode="External" /><Relationship Type="http://schemas.openxmlformats.org/officeDocument/2006/relationships/hyperlink" Id="rId38" Target="https://www.canada.ca/en/government/system/digital-government/digital-government-innovations/information-management.html" TargetMode="External" /><Relationship Type="http://schemas.openxmlformats.org/officeDocument/2006/relationships/hyperlink" Id="rId51" Target="https://www.canada.ca/en/government/system/digital-government/digital-government-innovations/open-source-software/open-first-whitepaper.html" TargetMode="External" /><Relationship Type="http://schemas.openxmlformats.org/officeDocument/2006/relationships/hyperlink" Id="rId46" Target="https://www.csis.org/programs/strategic-technologies-program/resources/government-open-source-software-policies" TargetMode="External" /><Relationship Type="http://schemas.openxmlformats.org/officeDocument/2006/relationships/hyperlink" Id="rId55" Target="https://www.data.govt.nz/manage-data/policies/nzgoal/nzgoal-se-guidance-note-1/" TargetMode="External" /><Relationship Type="http://schemas.openxmlformats.org/officeDocument/2006/relationships/hyperlink" Id="rId95" Target="https://www.digitalpublicgoods.net" TargetMode="External" /><Relationship Type="http://schemas.openxmlformats.org/officeDocument/2006/relationships/hyperlink" Id="rId53" Target="https://www.dta.gov.au/help-and-advice/digital-service-standard/digital-service-standard-criteria/8-make-source-code-open" TargetMode="External" /><Relationship Type="http://schemas.openxmlformats.org/officeDocument/2006/relationships/hyperlink" Id="rId36" Target="https://www.ecmwf.int/en/forecasts/access-forecasts/access-real-time-open-data" TargetMode="External" /><Relationship Type="http://schemas.openxmlformats.org/officeDocument/2006/relationships/hyperlink" Id="rId35" Target="https://www.ecmwf.int/en/forecasts/datasets/open-data" TargetMode="External" /><Relationship Type="http://schemas.openxmlformats.org/officeDocument/2006/relationships/hyperlink" Id="rId99" Target="https://www.itu.int" TargetMode="External" /><Relationship Type="http://schemas.openxmlformats.org/officeDocument/2006/relationships/hyperlink" Id="rId148" Target="https://www.linuxfoundation.org/research/open-source-roi" TargetMode="External" /><Relationship Type="http://schemas.openxmlformats.org/officeDocument/2006/relationships/hyperlink" Id="rId57" Target="https://www.meity.gov.in/static/uploads/2024/02/policy_on_adoption_of_oss.pdf" TargetMode="External" /><Relationship Type="http://schemas.openxmlformats.org/officeDocument/2006/relationships/hyperlink" Id="rId89" Target="https://www.osgeo.org/resources/project-graduation-checklist/" TargetMode="External" /><Relationship Type="http://schemas.openxmlformats.org/officeDocument/2006/relationships/hyperlink" Id="rId98" Target="https://www.undp.org/digital/osee" TargetMode="External" /><Relationship Type="http://schemas.openxmlformats.org/officeDocument/2006/relationships/hyperlink" Id="rId185" Target="https://www.undp.org/digital/standards/9-default-to-Op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2026-04-23T14:05:53Z</dcterms:created>
  <dcterms:modified xsi:type="dcterms:W3CDTF">2026-04-23T14:05:53Z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2026-04-23</vt:lpwstr>
  </property>
</Properties>
</file>