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sz w:val="26"/>
          <w:szCs w:val="26"/>
          <w:rtl w:val="0"/>
        </w:rPr>
        <w:t xml:space="preserve">Tutorial para criação de orçamento </w:t>
      </w:r>
    </w:p>
    <w:p w:rsidR="00000000" w:rsidDel="00000000" w:rsidP="00000000" w:rsidRDefault="00000000" w:rsidRPr="00000000" w14:paraId="00000002">
      <w:pPr>
        <w:jc w:val="both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r2c9a0rwtybd" w:id="0"/>
      <w:bookmarkEnd w:id="0"/>
      <w:r w:rsidDel="00000000" w:rsidR="00000000" w:rsidRPr="00000000">
        <w:rPr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Este POP tem como objetivo apresentar as diretrizes para criação de propostas orçamentárias e levantamento de custo em geral para a empresa Universidade Federal de Catalão (UFCAT). O trabalho é dividido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Levantamento de serviços;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Composições de custo;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 Planilha orçamentária.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Cálculo do BDI.</w:t>
      </w:r>
    </w:p>
    <w:p w:rsidR="00000000" w:rsidDel="00000000" w:rsidP="00000000" w:rsidRDefault="00000000" w:rsidRPr="00000000" w14:paraId="00000009">
      <w:pPr>
        <w:pStyle w:val="Heading1"/>
        <w:jc w:val="both"/>
        <w:rPr/>
      </w:pPr>
      <w:bookmarkStart w:colFirst="0" w:colLast="0" w:name="_pzdqvy5u9a31" w:id="1"/>
      <w:bookmarkEnd w:id="1"/>
      <w:r w:rsidDel="00000000" w:rsidR="00000000" w:rsidRPr="00000000">
        <w:rPr>
          <w:rtl w:val="0"/>
        </w:rPr>
        <w:t xml:space="preserve">2. LEVANTAMENTO DE SERVIÇOS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 levantamento</w:t>
      </w:r>
      <w:r w:rsidDel="00000000" w:rsidR="00000000" w:rsidRPr="00000000">
        <w:rPr>
          <w:rtl w:val="0"/>
        </w:rPr>
        <w:t xml:space="preserve"> de serviços é realizado através de arquivos físicos e digitais denominado pranchas. Estes arquivos normalmente são divididos entre as disciplinas projeto, caracterizando assim um projeto completo de uma edificação.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Para fazer o levantamento do serviço deve </w:t>
      </w:r>
      <w:r w:rsidDel="00000000" w:rsidR="00000000" w:rsidRPr="00000000">
        <w:rPr>
          <w:b w:val="1"/>
          <w:rtl w:val="0"/>
        </w:rPr>
        <w:t xml:space="preserve">criar layers</w:t>
      </w:r>
      <w:r w:rsidDel="00000000" w:rsidR="00000000" w:rsidRPr="00000000">
        <w:rPr>
          <w:rtl w:val="0"/>
        </w:rPr>
        <w:t xml:space="preserve"> no projeto detalhando qual o polígono ou perímetro levantado. Sempre que possível crie um código para o levantamento que está realizando como no caso do exemplo apresentado na </w:t>
      </w:r>
      <w:r w:rsidDel="00000000" w:rsidR="00000000" w:rsidRPr="00000000">
        <w:rPr>
          <w:b w:val="1"/>
          <w:rtl w:val="0"/>
        </w:rPr>
        <w:t xml:space="preserve">Figura 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Figura 1 - Exemplo de levto de alvenaria do </w:t>
      </w:r>
      <w:r w:rsidDel="00000000" w:rsidR="00000000" w:rsidRPr="00000000">
        <w:rPr>
          <w:rFonts w:ascii="Josefin Sans" w:cs="Josefin Sans" w:eastAsia="Josefin Sans" w:hAnsi="Josefin Sans"/>
          <w:i w:val="1"/>
          <w:rtl w:val="0"/>
        </w:rPr>
        <w:t xml:space="preserve">software</w:t>
      </w: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 autocad.</w:t>
      </w:r>
    </w:p>
    <w:p w:rsidR="00000000" w:rsidDel="00000000" w:rsidP="00000000" w:rsidRDefault="00000000" w:rsidRPr="00000000" w14:paraId="0000000D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14300" distT="114300" distL="114300" distR="114300">
            <wp:extent cx="4889357" cy="3776663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357" cy="3776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14300" distT="114300" distL="114300" distR="114300">
            <wp:extent cx="4937368" cy="279558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7368" cy="2795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</w:rPr>
        <w:drawing>
          <wp:inline distB="114300" distT="114300" distL="114300" distR="114300">
            <wp:extent cx="4205288" cy="24594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5799" l="18438" r="17940" t="28153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459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2"/>
          <w:szCs w:val="12"/>
        </w:rPr>
      </w:pPr>
      <w:r w:rsidDel="00000000" w:rsidR="00000000" w:rsidRPr="00000000">
        <w:rPr>
          <w:color w:val="ff00ff"/>
          <w:rtl w:val="0"/>
        </w:rPr>
        <w:t xml:space="preserve">PRISCILA COLOCAR EXEMPLO 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Veja na </w:t>
      </w:r>
      <w:r w:rsidDel="00000000" w:rsidR="00000000" w:rsidRPr="00000000">
        <w:rPr>
          <w:b w:val="1"/>
          <w:rtl w:val="0"/>
        </w:rPr>
        <w:t xml:space="preserve">Figura 1 </w:t>
      </w:r>
      <w:r w:rsidDel="00000000" w:rsidR="00000000" w:rsidRPr="00000000">
        <w:rPr>
          <w:rtl w:val="0"/>
        </w:rPr>
        <w:t xml:space="preserve">que para o exemplo da alvenaria foi estabelecido o código </w:t>
      </w:r>
      <w:r w:rsidDel="00000000" w:rsidR="00000000" w:rsidRPr="00000000">
        <w:rPr>
          <w:i w:val="1"/>
          <w:rtl w:val="0"/>
        </w:rPr>
        <w:t xml:space="preserve">ALV001</w:t>
      </w:r>
      <w:r w:rsidDel="00000000" w:rsidR="00000000" w:rsidRPr="00000000">
        <w:rPr>
          <w:rtl w:val="0"/>
        </w:rPr>
        <w:t xml:space="preserve"> para caracterizar a polilinha que gerará o comprimento total daquele elemento.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cy5d9dr7q3l6" w:id="2"/>
      <w:bookmarkEnd w:id="2"/>
      <w:r w:rsidDel="00000000" w:rsidR="00000000" w:rsidRPr="00000000">
        <w:rPr>
          <w:rtl w:val="0"/>
        </w:rPr>
        <w:t xml:space="preserve">3. COMPOSIÇÃO DE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Os valores de preços unitários dos serviços devem seguir essencialmente os preços de banco de dados públicos como </w:t>
      </w:r>
      <w:r w:rsidDel="00000000" w:rsidR="00000000" w:rsidRPr="00000000">
        <w:rPr>
          <w:b w:val="1"/>
          <w:rtl w:val="0"/>
        </w:rPr>
        <w:t xml:space="preserve">SINAPI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GOINFRA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ORSE</w:t>
      </w:r>
      <w:r w:rsidDel="00000000" w:rsidR="00000000" w:rsidRPr="00000000">
        <w:rPr>
          <w:rtl w:val="0"/>
        </w:rPr>
        <w:t xml:space="preserve">. Os </w:t>
      </w:r>
      <w:r w:rsidDel="00000000" w:rsidR="00000000" w:rsidRPr="00000000">
        <w:rPr>
          <w:i w:val="1"/>
          <w:rtl w:val="0"/>
        </w:rPr>
        <w:t xml:space="preserve">links</w:t>
      </w:r>
      <w:r w:rsidDel="00000000" w:rsidR="00000000" w:rsidRPr="00000000">
        <w:rPr>
          <w:rtl w:val="0"/>
        </w:rPr>
        <w:t xml:space="preserve"> das planilhas desoneradas de um dos bancos são apresentados a seguir: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SINAPI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ff00ff"/>
          <w:rtl w:val="0"/>
        </w:rPr>
        <w:t xml:space="preserve">https://www.caixa.gov.br/Downloads/sinapi-a-partir-jul-2009-go/SINAPI_ref_Insumos_Composicoes_GO_062022_Desonerado.zip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2. GOINFRA (</w:t>
      </w:r>
      <w:r w:rsidDel="00000000" w:rsidR="00000000" w:rsidRPr="00000000">
        <w:rPr>
          <w:color w:val="ff00ff"/>
          <w:rtl w:val="0"/>
        </w:rPr>
        <w:t xml:space="preserve">http://www.goinfra.go.gov.br/tabela-de-composicao/114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ORSE (</w:t>
      </w:r>
      <w:r w:rsidDel="00000000" w:rsidR="00000000" w:rsidRPr="00000000">
        <w:rPr>
          <w:color w:val="ff00ff"/>
          <w:rtl w:val="0"/>
        </w:rPr>
        <w:t xml:space="preserve">http://orse.cehop.se.gov.br/servicos.asp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557iik0bf68" w:id="3"/>
      <w:bookmarkEnd w:id="3"/>
      <w:r w:rsidDel="00000000" w:rsidR="00000000" w:rsidRPr="00000000">
        <w:rPr>
          <w:rtl w:val="0"/>
        </w:rPr>
        <w:t xml:space="preserve">4. PLANILHA ORÇAMENTÁRIA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Para criação do orçamento deve-se estabelecer uma Estrutura Análitica de Projeto (EAP) com quatro níveis caracterizando os seguintes esquemas: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Custo;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 Etapa;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Sub-Etapa;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Composição de custo unitário.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Para maior esclarecimento do POP a </w:t>
      </w:r>
      <w:r w:rsidDel="00000000" w:rsidR="00000000" w:rsidRPr="00000000">
        <w:rPr>
          <w:rtl w:val="0"/>
        </w:rPr>
        <w:t xml:space="preserve">Figura 2</w:t>
      </w:r>
      <w:r w:rsidDel="00000000" w:rsidR="00000000" w:rsidRPr="00000000">
        <w:rPr>
          <w:rtl w:val="0"/>
        </w:rPr>
        <w:t xml:space="preserve"> apresenta o nível de divisão recomendado</w:t>
      </w:r>
    </w:p>
    <w:p w:rsidR="00000000" w:rsidDel="00000000" w:rsidP="00000000" w:rsidRDefault="00000000" w:rsidRPr="00000000" w14:paraId="0000001F">
      <w:pPr>
        <w:jc w:val="center"/>
        <w:rPr>
          <w:rFonts w:ascii="Josefin Sans" w:cs="Josefin Sans" w:eastAsia="Josefin Sans" w:hAnsi="Josefin Sans"/>
        </w:rPr>
      </w:pPr>
      <w:r w:rsidDel="00000000" w:rsidR="00000000" w:rsidRPr="00000000">
        <w:rPr>
          <w:rFonts w:ascii="Josefin Sans" w:cs="Josefin Sans" w:eastAsia="Josefin Sans" w:hAnsi="Josefin Sans"/>
          <w:rtl w:val="0"/>
        </w:rPr>
        <w:t xml:space="preserve">Figura 2 - Exemplo de uma Estrutura Análitica de Projeto (EAP).</w:t>
      </w:r>
    </w:p>
    <w:p w:rsidR="00000000" w:rsidDel="00000000" w:rsidP="00000000" w:rsidRDefault="00000000" w:rsidRPr="00000000" w14:paraId="00000020">
      <w:pPr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 planilha orçamentária modelo pode ser baixada no link disponibilizado pelo SEINFRA ou pelo seguinte QR CODE.</w:t>
      </w:r>
    </w:p>
    <w:p w:rsidR="00000000" w:rsidDel="00000000" w:rsidP="00000000" w:rsidRDefault="00000000" w:rsidRPr="00000000" w14:paraId="00000022">
      <w:pPr>
        <w:rPr/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 M Pereira Junior_Planilhas padrão SEINFRA.xlsx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0"/>
        <w:gridCol w:w="4320"/>
        <w:tblGridChange w:id="0">
          <w:tblGrid>
            <w:gridCol w:w="465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commentRangeStart w:id="0"/>
            <w:r w:rsidDel="00000000" w:rsidR="00000000" w:rsidRPr="00000000">
              <w:rPr/>
              <w:drawing>
                <wp:inline distB="114300" distT="114300" distL="114300" distR="114300">
                  <wp:extent cx="2724150" cy="2730500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73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ff"/>
              </w:rPr>
            </w:pPr>
            <w:r w:rsidDel="00000000" w:rsidR="00000000" w:rsidRPr="00000000">
              <w:rPr>
                <w:color w:val="ff00ff"/>
              </w:rPr>
              <w:drawing>
                <wp:inline distB="114300" distT="114300" distL="114300" distR="114300">
                  <wp:extent cx="2609850" cy="2616200"/>
                  <wp:effectExtent b="0" l="0" r="0" t="0"/>
                  <wp:docPr id="2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Salientamos que o padrão de entrega e que todo o levantamento de custo seja desenvolvido na plataforma GOOGLE com o uso do sistema Google Planilhas.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u5311f3pyw4r" w:id="4"/>
      <w:bookmarkEnd w:id="4"/>
      <w:r w:rsidDel="00000000" w:rsidR="00000000" w:rsidRPr="00000000">
        <w:rPr>
          <w:rtl w:val="0"/>
        </w:rPr>
        <w:t xml:space="preserve">4. CÁLCULO DO BDI</w:t>
      </w:r>
    </w:p>
    <w:p w:rsidR="00000000" w:rsidDel="00000000" w:rsidP="00000000" w:rsidRDefault="00000000" w:rsidRPr="00000000" w14:paraId="00000028">
      <w:pPr>
        <w:rPr>
          <w:color w:val="ff00ff"/>
        </w:rPr>
      </w:pPr>
      <w:r w:rsidDel="00000000" w:rsidR="00000000" w:rsidRPr="00000000">
        <w:rPr>
          <w:color w:val="ff00ff"/>
          <w:rtl w:val="0"/>
        </w:rPr>
        <w:t xml:space="preserve">PRISCILA e WANDER FAZER DEPOIS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Georgia" w:cs="Georgia" w:eastAsia="Georgia" w:hAnsi="Georgia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WANDERLEI MALAQUIAS PEREIRA JUNIOR" w:id="0" w:date="2022-08-09T17:14:58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ao final o hyperlink de onde vai ficar a planilha padrão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Josefi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PT"/>
      </w:rPr>
    </w:rPrDefault>
    <w:pPrDefault>
      <w:pPr>
        <w:spacing w:after="120" w:before="12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rFonts w:ascii="Josefin Sans" w:cs="Josefin Sans" w:eastAsia="Josefin Sans" w:hAnsi="Josefin Sans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HlTXerDXX4APiIuoWRjb6KiL6l_I7xhn/edit#gid=1610551782" TargetMode="External"/><Relationship Id="rId10" Type="http://schemas.openxmlformats.org/officeDocument/2006/relationships/image" Target="media/image1.jpg"/><Relationship Id="rId13" Type="http://schemas.openxmlformats.org/officeDocument/2006/relationships/image" Target="media/image4.jp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osefinSans-regular.ttf"/><Relationship Id="rId2" Type="http://schemas.openxmlformats.org/officeDocument/2006/relationships/font" Target="fonts/JosefinSans-bold.ttf"/><Relationship Id="rId3" Type="http://schemas.openxmlformats.org/officeDocument/2006/relationships/font" Target="fonts/JosefinSans-italic.ttf"/><Relationship Id="rId4" Type="http://schemas.openxmlformats.org/officeDocument/2006/relationships/font" Target="fonts/Josefi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