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6d3cefbcc1e418fe9d420645c9add54c118fa5"/>
    <w:p>
      <w:pPr>
        <w:pStyle w:val="Heading1"/>
      </w:pPr>
      <w:r>
        <w:t xml:space="preserve">Relatório de evolução do FundaIA após a vetorização da sobreposição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Projeto:</w:t>
      </w:r>
      <w:r>
        <w:t xml:space="preserve"> </w:t>
      </w:r>
      <w:r>
        <w:t xml:space="preserve">FundaIA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Autor:</w:t>
      </w:r>
      <w:r>
        <w:t xml:space="preserve"> </w:t>
      </w:r>
      <w:r>
        <w:t xml:space="preserve">Lucas Teixeira Correia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12/07/2026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Ponto de partida:</w:t>
      </w:r>
      <w:r>
        <w:t xml:space="preserve"> </w:t>
      </w:r>
      <w:r>
        <w:t xml:space="preserve">versão em que a principal mudança era a vetorização da verificação de sobreposição entre sapatas.</w:t>
      </w:r>
    </w:p>
    <w:p>
      <w:r>
        <w:pict>
          <v:rect style="width:0;height:1.5pt" o:hralign="center" o:hrstd="t" o:hr="t"/>
        </w:pict>
      </w:r>
    </w:p>
    <w:bookmarkStart w:id="9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Depois da última versão apresentada, o projeto mudou bastante. A vetorização da sobreposição continuou sendo importante, porque deixou a função objetivo muito mais rápida, mas ela acabou virando só uma parte de uma reorganização maior.</w:t>
      </w:r>
    </w:p>
    <w:p>
      <w:pPr>
        <w:pStyle w:val="BodyText"/>
      </w:pPr>
      <w:r>
        <w:t xml:space="preserve">O trabalho mais recente consolidou três coisas:</w:t>
      </w:r>
    </w:p>
    <w:p>
      <w:pPr>
        <w:pStyle w:val="Compact"/>
        <w:numPr>
          <w:ilvl w:val="0"/>
          <w:numId w:val="1002"/>
        </w:numPr>
      </w:pPr>
      <w:r>
        <w:t xml:space="preserve">uma base de código mais organizada e testável;</w:t>
      </w:r>
    </w:p>
    <w:p>
      <w:pPr>
        <w:pStyle w:val="Compact"/>
        <w:numPr>
          <w:ilvl w:val="0"/>
          <w:numId w:val="1002"/>
        </w:numPr>
      </w:pPr>
      <w:r>
        <w:t xml:space="preserve">uma formulação de engenharia mais clara para tensão no solo e punção;</w:t>
      </w:r>
    </w:p>
    <w:p>
      <w:pPr>
        <w:pStyle w:val="Compact"/>
        <w:numPr>
          <w:ilvl w:val="0"/>
          <w:numId w:val="1002"/>
        </w:numPr>
      </w:pPr>
      <w:r>
        <w:t xml:space="preserve">um protocolo experimental mais honesto para o artigo.</w:t>
      </w:r>
    </w:p>
    <w:p>
      <w:pPr>
        <w:pStyle w:val="FirstParagraph"/>
      </w:pPr>
      <w:r>
        <w:t xml:space="preserve">O ponto principal é que o artigo atual não está mais tentando parecer um projeto executivo completo de fundações. Ele foi reposicionado como um estudo de pré-dimensionamento geométrico otimizado de sapatas isoladas, com hipóteses declaradas, resultados regeneráveis e limitações explícitas. Isso deixa o trabalho mais forte, porque separa o que já está implementado do que ainda precisa entrar em uma etapa posterior.</w:t>
      </w:r>
    </w:p>
    <w:p>
      <w:r>
        <w:pict>
          <v:rect style="width:0;height:1.5pt" o:hralign="center" o:hrstd="t" o:hr="t"/>
        </w:pict>
      </w:r>
    </w:p>
    <w:bookmarkEnd w:id="9"/>
    <w:bookmarkStart w:id="13" w:name="o-que-mudou-no-código"/>
    <w:p>
      <w:pPr>
        <w:pStyle w:val="Heading2"/>
      </w:pPr>
      <w:r>
        <w:t xml:space="preserve">2. O que mudou no código</w:t>
      </w:r>
    </w:p>
    <w:bookmarkStart w:id="10" w:name="organização-do-projeto"/>
    <w:p>
      <w:pPr>
        <w:pStyle w:val="Heading3"/>
      </w:pPr>
      <w:r>
        <w:t xml:space="preserve">2.1. Organização do projeto</w:t>
      </w:r>
    </w:p>
    <w:p>
      <w:pPr>
        <w:pStyle w:val="FirstParagraph"/>
      </w:pPr>
      <w:r>
        <w:t xml:space="preserve">O código foi reorganizado em camadas. A lógica de engenharia, otimização, entrada e saída, API e interface deixou de ficar misturada em poucos arquivos grandes.</w:t>
      </w:r>
    </w:p>
    <w:p>
      <w:pPr>
        <w:pStyle w:val="BodyText"/>
      </w:pPr>
      <w:r>
        <w:t xml:space="preserve">Hoje a estrutura principal está assim: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core/domain</w:t>
      </w:r>
      <w:r>
        <w:t xml:space="preserve">: entidades e validações de domínio;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core/engineering</w:t>
      </w:r>
      <w:r>
        <w:t xml:space="preserve">: fórmulas de engenharia, como tensão, punção, solo e sobreposição;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core/api</w:t>
      </w:r>
      <w:r>
        <w:t xml:space="preserve">: funções de avaliação e otimização usadas pela interface e pelos scripts;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core/optimization</w:t>
      </w:r>
      <w:r>
        <w:t xml:space="preserve">: EGO, GPR, CBO, GA e rotinas de otimização;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core/io</w:t>
      </w:r>
      <w:r>
        <w:t xml:space="preserve">: leitura de planilhas, exportações e persistência de experimentos;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frontend</w:t>
      </w:r>
      <w:r>
        <w:t xml:space="preserve">: interface Streamlit;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</w:t>
      </w:r>
      <w:r>
        <w:t xml:space="preserve">: execução dos experimentos e geração dos artefatos do artigo.</w:t>
      </w:r>
    </w:p>
    <w:p>
      <w:pPr>
        <w:pStyle w:val="FirstParagraph"/>
      </w:pPr>
      <w:r>
        <w:t xml:space="preserve">Essa mudança não altera a ideia do método, mas deixa o projeto mais fácil de auditar. Também facilita separar o artigo atual da próxima etapa, que envolve posicionamento conjunto das sapatas.</w:t>
      </w:r>
    </w:p>
    <w:bookmarkEnd w:id="10"/>
    <w:bookmarkStart w:id="11" w:name="vetorização-da-sobreposição"/>
    <w:p>
      <w:pPr>
        <w:pStyle w:val="Heading3"/>
      </w:pPr>
      <w:r>
        <w:t xml:space="preserve">2.2. Vetorização da sobreposição</w:t>
      </w:r>
    </w:p>
    <w:p>
      <w:pPr>
        <w:pStyle w:val="FirstParagraph"/>
      </w:pPr>
      <w:r>
        <w:t xml:space="preserve">A verificação de sobreposição entre sapatas, que antes era feita por laços par a par, foi reescrita usando uma matriz</w:t>
      </w:r>
      <w:r>
        <w:t xml:space="preserve"> </w:t>
      </w:r>
      <w:r>
        <w:rPr>
          <w:rStyle w:val="VerbatimChar"/>
        </w:rPr>
        <w:t xml:space="preserve">N x N</w:t>
      </w:r>
      <w:r>
        <w:t xml:space="preserve"> </w:t>
      </w:r>
      <w:r>
        <w:t xml:space="preserve">em NumPy.</w:t>
      </w:r>
    </w:p>
    <w:p>
      <w:pPr>
        <w:pStyle w:val="BodyText"/>
      </w:pPr>
      <w:r>
        <w:t xml:space="preserve">Cada célula da matriz representa a área de interseção entre duas sapatas em planta. A diagonal é zerada, porque uma sapata não deve ser comparada com ela mesma.</w:t>
      </w:r>
    </w:p>
    <w:p>
      <w:pPr>
        <w:pStyle w:val="BodyText"/>
      </w:pPr>
      <w:r>
        <w:t xml:space="preserve">Na prática, o cálculo passou a ser:</w:t>
      </w:r>
    </w:p>
    <w:p>
      <w:pPr>
        <w:pStyle w:val="SourceCode"/>
      </w:pPr>
      <w:r>
        <w:rPr>
          <w:rStyle w:val="VerbatimChar"/>
        </w:rPr>
        <w:t xml:space="preserve">interseção em x * interseção em y = área de sobreposição</w:t>
      </w:r>
    </w:p>
    <w:p>
      <w:pPr>
        <w:pStyle w:val="FirstParagraph"/>
      </w:pPr>
      <w:r>
        <w:t xml:space="preserve">Um exemplo simples ajuda. Imagine três sapatas retangulares vistas em planta:</w:t>
      </w:r>
    </w:p>
    <w:p>
      <w:pPr>
        <w:pStyle w:val="SourceCode"/>
      </w:pPr>
      <w:r>
        <w:rPr>
          <w:rStyle w:val="VerbatimChar"/>
        </w:rPr>
        <w:t xml:space="preserve">S1: x = [0,0 ; 2,0]   y = [0,0 ; 2,0]</w:t>
      </w:r>
      <w:r>
        <w:br/>
      </w:r>
      <w:r>
        <w:rPr>
          <w:rStyle w:val="VerbatimChar"/>
        </w:rPr>
        <w:t xml:space="preserve">S2: x = [1,5 ; 3,5]   y = [0,5 ; 2,5]</w:t>
      </w:r>
      <w:r>
        <w:br/>
      </w:r>
      <w:r>
        <w:rPr>
          <w:rStyle w:val="VerbatimChar"/>
        </w:rPr>
        <w:t xml:space="preserve">S3: x = [4,0 ; 5,0]   y = [0,0 ; 1,0]</w:t>
      </w:r>
    </w:p>
    <w:p>
      <w:pPr>
        <w:pStyle w:val="FirstParagraph"/>
      </w:pPr>
      <w:r>
        <w:t xml:space="preserve">Para comparar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S2</w:t>
      </w:r>
      <w:r>
        <w:t xml:space="preserve">, o código calcula primeiro quanto elas se cruzam em cada direção:</w:t>
      </w:r>
    </w:p>
    <w:p>
      <w:pPr>
        <w:pStyle w:val="SourceCode"/>
      </w:pPr>
      <w:r>
        <w:rPr>
          <w:rStyle w:val="VerbatimChar"/>
        </w:rPr>
        <w:t xml:space="preserve">interseção em x = min(2,0, 3,5) - max(0,0, 1,5) = 2,0 - 1,5 = 0,5 m</w:t>
      </w:r>
      <w:r>
        <w:br/>
      </w:r>
      <w:r>
        <w:rPr>
          <w:rStyle w:val="VerbatimChar"/>
        </w:rPr>
        <w:t xml:space="preserve">interseção em y = min(2,0, 2,5) - max(0,0, 0,5) = 2,0 - 0,5 = 1,5 m</w:t>
      </w:r>
      <w:r>
        <w:br/>
      </w:r>
      <w:r>
        <w:br/>
      </w:r>
      <w:r>
        <w:rPr>
          <w:rStyle w:val="VerbatimChar"/>
        </w:rPr>
        <w:t xml:space="preserve">área sobreposta = 0,5 * 1,5 = 0,75 m2</w:t>
      </w:r>
    </w:p>
    <w:p>
      <w:pPr>
        <w:pStyle w:val="FirstParagraph"/>
      </w:pPr>
      <w:r>
        <w:t xml:space="preserve">Já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não se cruza em</w:t>
      </w:r>
      <w:r>
        <w:t xml:space="preserve"> </w:t>
      </w:r>
      <w:r>
        <w:rPr>
          <w:rStyle w:val="VerbatimChar"/>
        </w:rPr>
        <w:t xml:space="preserve">x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termina em</w:t>
      </w:r>
      <w:r>
        <w:t xml:space="preserve"> </w:t>
      </w:r>
      <w:r>
        <w:rPr>
          <w:rStyle w:val="VerbatimChar"/>
        </w:rPr>
        <w:t xml:space="preserve">x = 2,0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só começa em</w:t>
      </w:r>
      <w:r>
        <w:t xml:space="preserve"> </w:t>
      </w:r>
      <w:r>
        <w:rPr>
          <w:rStyle w:val="VerbatimChar"/>
        </w:rPr>
        <w:t xml:space="preserve">x = 4,0</w:t>
      </w:r>
      <w:r>
        <w:t xml:space="preserve">. Então a interseção em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vira zero e a área sobreposta também é zero.</w:t>
      </w:r>
    </w:p>
    <w:p>
      <w:pPr>
        <w:pStyle w:val="BodyText"/>
      </w:pPr>
      <w:r>
        <w:t xml:space="preserve">Com três sapatas, a matriz</w:t>
      </w:r>
      <w:r>
        <w:t xml:space="preserve"> </w:t>
      </w:r>
      <w:r>
        <w:rPr>
          <w:rStyle w:val="VerbatimChar"/>
        </w:rPr>
        <w:t xml:space="preserve">N x N</w:t>
      </w:r>
      <w:r>
        <w:t xml:space="preserve"> </w:t>
      </w:r>
      <w:r>
        <w:t xml:space="preserve">fica assim:</w:t>
      </w:r>
    </w:p>
    <w:p>
      <w:pPr>
        <w:pStyle w:val="SourceCode"/>
      </w:pPr>
      <w:r>
        <w:rPr>
          <w:rStyle w:val="VerbatimChar"/>
        </w:rPr>
        <w:t xml:space="preserve">           S1     S2     S3</w:t>
      </w:r>
      <w:r>
        <w:br/>
      </w:r>
      <w:r>
        <w:rPr>
          <w:rStyle w:val="VerbatimChar"/>
        </w:rPr>
        <w:t xml:space="preserve">S1       0,00   0,75   0,00</w:t>
      </w:r>
      <w:r>
        <w:br/>
      </w:r>
      <w:r>
        <w:rPr>
          <w:rStyle w:val="VerbatimChar"/>
        </w:rPr>
        <w:t xml:space="preserve">S2       0,75   0,00   0,00</w:t>
      </w:r>
      <w:r>
        <w:br/>
      </w:r>
      <w:r>
        <w:rPr>
          <w:rStyle w:val="VerbatimChar"/>
        </w:rPr>
        <w:t xml:space="preserve">S3       0,00   0,00   0,00</w:t>
      </w:r>
    </w:p>
    <w:p>
      <w:pPr>
        <w:pStyle w:val="FirstParagraph"/>
      </w:pPr>
      <w:r>
        <w:t xml:space="preserve">A diagonal é zero porque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não interessam. A matriz é simétrica porque a área de sobreposição de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é a mesma de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S1</w:t>
      </w:r>
      <w:r>
        <w:t xml:space="preserve">.</w:t>
      </w:r>
    </w:p>
    <w:p>
      <w:pPr>
        <w:pStyle w:val="BodyText"/>
      </w:pPr>
      <w:r>
        <w:t xml:space="preserve">Essa simetria explica a pendência da dupla contagem: se a penalidade global simplesmente somar todas as células da matriz, o par</w:t>
      </w:r>
      <w:r>
        <w:t xml:space="preserve"> </w:t>
      </w:r>
      <w:r>
        <w:rPr>
          <w:rStyle w:val="VerbatimChar"/>
        </w:rPr>
        <w:t xml:space="preserve">S1</w:t>
      </w:r>
      <w:r>
        <w:t xml:space="preserve">-</w:t>
      </w:r>
      <w:r>
        <w:rPr>
          <w:rStyle w:val="VerbatimChar"/>
        </w:rPr>
        <w:t xml:space="preserve">S2</w:t>
      </w:r>
      <w:r>
        <w:t xml:space="preserve"> </w:t>
      </w:r>
      <w:r>
        <w:t xml:space="preserve">aparece duas vezes. Para uma leitura global da sobreposição, seria preciso somar só metade da matriz, por exemplo apenas os pares acima da diagonal, ou dividir a soma por dois. No código atual, a matriz é usada para montar uma restrição por sapata; por isso a decisão precisa ser fechada com cuidado antes da Frente 2, em que a sobreposição vai ficar ativa.</w:t>
      </w:r>
    </w:p>
    <w:p>
      <w:pPr>
        <w:pStyle w:val="BodyText"/>
      </w:pPr>
      <w:r>
        <w:t xml:space="preserve">O resultado numérico foi preservado em relação à versão escalar, mas o tempo caiu muito nos casos com mais sapatas. Essa parte está em</w:t>
      </w:r>
      <w:r>
        <w:t xml:space="preserve"> </w:t>
      </w:r>
      <w:r>
        <w:rPr>
          <w:rStyle w:val="VerbatimChar"/>
        </w:rPr>
        <w:t xml:space="preserve">core/engineering/packing.py</w:t>
      </w:r>
      <w:r>
        <w:t xml:space="preserve">.</w:t>
      </w:r>
    </w:p>
    <w:p>
      <w:pPr>
        <w:pStyle w:val="BodyText"/>
      </w:pPr>
      <w:r>
        <w:t xml:space="preserve">Ainda existe uma decisão pendente: como a matriz é simétrica, a penalidade global de sobreposição pode estar contando o mesmo par duas vezes. Nos casos do artigo isso não altera os resultados, porque a sobreposição fica inativa por construção. Mas para a Frente 2, em que o packing passa a ser ativo, essa decisão precisa ser fechada.</w:t>
      </w:r>
    </w:p>
    <w:bookmarkEnd w:id="11"/>
    <w:bookmarkStart w:id="12" w:name="função-objetivo-consolidada"/>
    <w:p>
      <w:pPr>
        <w:pStyle w:val="Heading3"/>
      </w:pPr>
      <w:r>
        <w:t xml:space="preserve">2.3. Função objetivo consolidada</w:t>
      </w:r>
    </w:p>
    <w:p>
      <w:pPr>
        <w:pStyle w:val="FirstParagraph"/>
      </w:pPr>
      <w:r>
        <w:t xml:space="preserve">A função objetivo atual trabalha com as dimensões de cada sapata:</w:t>
      </w:r>
    </w:p>
    <w:p>
      <w:pPr>
        <w:pStyle w:val="SourceCode"/>
      </w:pPr>
      <w:r>
        <w:rPr>
          <w:rStyle w:val="VerbatimChar"/>
        </w:rPr>
        <w:t xml:space="preserve">[h_x, h_y, h_z]</w:t>
      </w:r>
    </w:p>
    <w:p>
      <w:pPr>
        <w:pStyle w:val="FirstParagraph"/>
      </w:pPr>
      <w:r>
        <w:t xml:space="preserve">O objetivo principal é minimizar o volume de concreto:</w:t>
      </w:r>
    </w:p>
    <w:p>
      <w:pPr>
        <w:pStyle w:val="SourceCode"/>
      </w:pPr>
      <w:r>
        <w:rPr>
          <w:rStyle w:val="VerbatimChar"/>
        </w:rPr>
        <w:t xml:space="preserve">V = h_x * h_y * h_z</w:t>
      </w:r>
    </w:p>
    <w:p>
      <w:pPr>
        <w:pStyle w:val="FirstParagraph"/>
      </w:pPr>
      <w:r>
        <w:t xml:space="preserve">Como uma solução de volume mínimo pode violar critérios de projeto, o valor otimizado é uma pseudo-função objetivo penalizada:</w:t>
      </w:r>
    </w:p>
    <w:p>
      <w:pPr>
        <w:pStyle w:val="SourceCode"/>
      </w:pPr>
      <w:r>
        <w:rPr>
          <w:rStyle w:val="VerbatimChar"/>
        </w:rPr>
        <w:t xml:space="preserve">Theta = volume + penalidades</w:t>
      </w:r>
    </w:p>
    <w:p>
      <w:pPr>
        <w:pStyle w:val="FirstParagraph"/>
      </w:pPr>
      <w:r>
        <w:t xml:space="preserve">As restrições seguem a convenção:</w:t>
      </w:r>
    </w:p>
    <w:p>
      <w:pPr>
        <w:pStyle w:val="SourceCode"/>
      </w:pPr>
      <w:r>
        <w:rPr>
          <w:rStyle w:val="VerbatimChar"/>
        </w:rPr>
        <w:t xml:space="preserve">g &lt;= 0  -&gt; restrição atendida</w:t>
      </w:r>
      <w:r>
        <w:br/>
      </w:r>
      <w:r>
        <w:rPr>
          <w:rStyle w:val="VerbatimChar"/>
        </w:rPr>
        <w:t xml:space="preserve">g &gt; 0   -&gt; restrição violada</w:t>
      </w:r>
    </w:p>
    <w:p>
      <w:pPr>
        <w:pStyle w:val="FirstParagraph"/>
      </w:pPr>
      <w:r>
        <w:t xml:space="preserve">Os grupos atuais são:</w:t>
      </w:r>
    </w:p>
    <w:p>
      <w:pPr>
        <w:pStyle w:val="Compact"/>
        <w:numPr>
          <w:ilvl w:val="0"/>
          <w:numId w:val="1004"/>
        </w:numPr>
      </w:pPr>
      <w:r>
        <w:t xml:space="preserve">sobreposição em planta;</w:t>
      </w:r>
    </w:p>
    <w:p>
      <w:pPr>
        <w:pStyle w:val="Compact"/>
        <w:numPr>
          <w:ilvl w:val="0"/>
          <w:numId w:val="1004"/>
        </w:numPr>
      </w:pPr>
      <w:r>
        <w:t xml:space="preserve">punção;</w:t>
      </w:r>
    </w:p>
    <w:p>
      <w:pPr>
        <w:pStyle w:val="Compact"/>
        <w:numPr>
          <w:ilvl w:val="0"/>
          <w:numId w:val="1004"/>
        </w:numPr>
      </w:pPr>
      <w:r>
        <w:t xml:space="preserve">tensão no solo;</w:t>
      </w:r>
    </w:p>
    <w:p>
      <w:pPr>
        <w:pStyle w:val="Compact"/>
        <w:numPr>
          <w:ilvl w:val="0"/>
          <w:numId w:val="1004"/>
        </w:numPr>
      </w:pPr>
      <w:r>
        <w:t xml:space="preserve">geometria mínima em torno do pilar.</w:t>
      </w:r>
    </w:p>
    <w:p>
      <w:pPr>
        <w:pStyle w:val="FirstParagraph"/>
      </w:pPr>
      <w:r>
        <w:t xml:space="preserve">A função principal está em</w:t>
      </w:r>
      <w:r>
        <w:t xml:space="preserve"> </w:t>
      </w:r>
      <w:r>
        <w:rPr>
          <w:rStyle w:val="VerbatimChar"/>
        </w:rPr>
        <w:t xml:space="preserve">core/api/objective.py</w:t>
      </w:r>
      <w:r>
        <w:t xml:space="preserve">. Também foi criada uma versão por componentes, usada pelo CBO, que separa volume e restrições.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ajustes-de-engenharia"/>
    <w:p>
      <w:pPr>
        <w:pStyle w:val="Heading2"/>
      </w:pPr>
      <w:r>
        <w:t xml:space="preserve">3. Ajustes de engenharia</w:t>
      </w:r>
    </w:p>
    <w:bookmarkStart w:id="14" w:name="tensão-no-solo"/>
    <w:p>
      <w:pPr>
        <w:pStyle w:val="Heading3"/>
      </w:pPr>
      <w:r>
        <w:t xml:space="preserve">3.1. Tensão no solo</w:t>
      </w:r>
    </w:p>
    <w:p>
      <w:pPr>
        <w:pStyle w:val="FirstParagraph"/>
      </w:pPr>
      <w:r>
        <w:t xml:space="preserve">A formulação da tensão no solo foi corrigida para ficar mais coerente fisicamente.</w:t>
      </w:r>
    </w:p>
    <w:p>
      <w:pPr>
        <w:pStyle w:val="BodyText"/>
      </w:pPr>
      <w:r>
        <w:t xml:space="preserve">Antes havia coeficientes legados, como</w:t>
      </w:r>
      <w:r>
        <w:t xml:space="preserve"> </w:t>
      </w:r>
      <w:r>
        <w:rPr>
          <w:rStyle w:val="VerbatimChar"/>
        </w:rPr>
        <w:t xml:space="preserve">1,05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1,30</w:t>
      </w:r>
      <w:r>
        <w:t xml:space="preserve">, e o peso próprio da sapata não aparecia de forma limpa. Agora o peso próprio é calculado diretamente a partir do volume:</w:t>
      </w:r>
    </w:p>
    <w:p>
      <w:pPr>
        <w:pStyle w:val="SourceCode"/>
      </w:pPr>
      <w:r>
        <w:rPr>
          <w:rStyle w:val="VerbatimChar"/>
        </w:rPr>
        <w:t xml:space="preserve">peso_proprio = gamma_c * h_x * h_y * h_z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gamma_c = 25 kN/m3</w:t>
      </w:r>
    </w:p>
    <w:p>
      <w:pPr>
        <w:pStyle w:val="FirstParagraph"/>
      </w:pPr>
      <w:r>
        <w:t xml:space="preserve">A tensão máxima e mínima na base usam flexão composta:</w:t>
      </w:r>
    </w:p>
    <w:p>
      <w:pPr>
        <w:pStyle w:val="SourceCode"/>
      </w:pPr>
      <w:r>
        <w:rPr>
          <w:rStyle w:val="VerbatimChar"/>
        </w:rPr>
        <w:t xml:space="preserve">area = h_x * h_y</w:t>
      </w:r>
      <w:r>
        <w:br/>
      </w:r>
      <w:r>
        <w:rPr>
          <w:rStyle w:val="VerbatimChar"/>
        </w:rPr>
        <w:t xml:space="preserve">sigma_axial = (F_z + peso_proprio) / area</w:t>
      </w:r>
      <w:r>
        <w:br/>
      </w:r>
      <w:r>
        <w:rPr>
          <w:rStyle w:val="VerbatimChar"/>
        </w:rPr>
        <w:t xml:space="preserve">sigma_mx = 6 * |M_x| / (area * h_x)</w:t>
      </w:r>
      <w:r>
        <w:br/>
      </w:r>
      <w:r>
        <w:rPr>
          <w:rStyle w:val="VerbatimChar"/>
        </w:rPr>
        <w:t xml:space="preserve">sigma_my = 6 * |M_y| / (area * h_y)</w:t>
      </w:r>
      <w:r>
        <w:br/>
      </w:r>
      <w:r>
        <w:br/>
      </w:r>
      <w:r>
        <w:rPr>
          <w:rStyle w:val="VerbatimChar"/>
        </w:rPr>
        <w:t xml:space="preserve">sigma_max = sigma_axial + sigma_mx + sigma_my</w:t>
      </w:r>
      <w:r>
        <w:br/>
      </w:r>
      <w:r>
        <w:rPr>
          <w:rStyle w:val="VerbatimChar"/>
        </w:rPr>
        <w:t xml:space="preserve">sigma_min = sigma_axial - sigma_mx - sigma_my</w:t>
      </w:r>
    </w:p>
    <w:p>
      <w:pPr>
        <w:pStyle w:val="FirstParagraph"/>
      </w:pPr>
      <w:r>
        <w:t xml:space="preserve">Com isso, uma sapata maior ou mais alta passa a transmitir mais peso ao solo, como deveria acontecer. Também foi documentada a convenção interna dos momentos:</w:t>
      </w:r>
    </w:p>
    <w:p>
      <w:pPr>
        <w:pStyle w:val="SourceCode"/>
      </w:pPr>
      <w:r>
        <w:rPr>
          <w:rStyle w:val="VerbatimChar"/>
        </w:rPr>
        <w:t xml:space="preserve">Mx = Fz * ex</w:t>
      </w:r>
      <w:r>
        <w:br/>
      </w:r>
      <w:r>
        <w:rPr>
          <w:rStyle w:val="VerbatimChar"/>
        </w:rPr>
        <w:t xml:space="preserve">My = Fz * ey</w:t>
      </w:r>
    </w:p>
    <w:p>
      <w:pPr>
        <w:pStyle w:val="FirstParagraph"/>
      </w:pPr>
      <w:r>
        <w:t xml:space="preserve">Essa observação é importante porque alguns softwares estruturais podem fornecer momentos em torno dos eixos globais, e nesses casos pode ser necessário converter a convenção antes de importar os dados.</w:t>
      </w:r>
    </w:p>
    <w:bookmarkEnd w:id="14"/>
    <w:bookmarkStart w:id="15" w:name="tensão-admissível-por-spt"/>
    <w:p>
      <w:pPr>
        <w:pStyle w:val="Heading3"/>
      </w:pPr>
      <w:r>
        <w:t xml:space="preserve">3.2. Tensão admissível por SPT</w:t>
      </w:r>
    </w:p>
    <w:p>
      <w:pPr>
        <w:pStyle w:val="FirstParagraph"/>
      </w:pPr>
      <w:r>
        <w:t xml:space="preserve">O código ainda usa uma correlação simples para estimar a tensão admissível:</w:t>
      </w:r>
    </w:p>
    <w:p>
      <w:pPr>
        <w:pStyle w:val="SourceCode"/>
      </w:pPr>
      <w:r>
        <w:rPr>
          <w:rStyle w:val="VerbatimChar"/>
        </w:rPr>
        <w:t xml:space="preserve">pedregulho: Nspt / 30 * 1000</w:t>
      </w:r>
      <w:r>
        <w:br/>
      </w:r>
      <w:r>
        <w:rPr>
          <w:rStyle w:val="VerbatimChar"/>
        </w:rPr>
        <w:t xml:space="preserve">areia:      Nspt / 40 * 1000</w:t>
      </w:r>
      <w:r>
        <w:br/>
      </w:r>
      <w:r>
        <w:rPr>
          <w:rStyle w:val="VerbatimChar"/>
        </w:rPr>
        <w:t xml:space="preserve">silte/argila: Nspt / 50 * 1000</w:t>
      </w:r>
    </w:p>
    <w:p>
      <w:pPr>
        <w:pStyle w:val="FirstParagraph"/>
      </w:pPr>
      <w:r>
        <w:t xml:space="preserve">Essa correlação ficou tratada como hipótese preliminar de pré-dimensionamento, não como prescrição direta da NBR 6122. Essa distinção foi colocada no código e no artigo.</w:t>
      </w:r>
    </w:p>
    <w:p>
      <w:pPr>
        <w:pStyle w:val="BodyText"/>
      </w:pPr>
      <w:r>
        <w:t xml:space="preserve">Esse é um dos principais pontos a melhorar antes de uma submissão mais forte: ou a correlação precisa ser melhor justificada por bibliografia geotécnica, ou deve ser substituída por um modelo mais bem calibrado.</w:t>
      </w:r>
    </w:p>
    <w:bookmarkEnd w:id="15"/>
    <w:bookmarkStart w:id="16" w:name="punção-nos-contornos-c-e-c"/>
    <w:p>
      <w:pPr>
        <w:pStyle w:val="Heading3"/>
      </w:pPr>
      <w:r>
        <w:t xml:space="preserve">3.3. Punção nos contornos C e C’</w:t>
      </w:r>
    </w:p>
    <w:p>
      <w:pPr>
        <w:pStyle w:val="FirstParagraph"/>
      </w:pPr>
      <w:r>
        <w:t xml:space="preserve">Antes a verificação de punção considerava apenas o contorno</w:t>
      </w:r>
      <w:r>
        <w:t xml:space="preserve"> </w:t>
      </w:r>
      <w:r>
        <w:rPr>
          <w:rStyle w:val="VerbatimChar"/>
        </w:rPr>
        <w:t xml:space="preserve">C</w:t>
      </w:r>
      <w:r>
        <w:t xml:space="preserve">, na face do pilar. A versão atual também verifica o contorno</w:t>
      </w:r>
      <w:r>
        <w:t xml:space="preserve"> </w:t>
      </w:r>
      <w:r>
        <w:rPr>
          <w:rStyle w:val="VerbatimChar"/>
        </w:rPr>
        <w:t xml:space="preserve">C'</w:t>
      </w:r>
      <w:r>
        <w:t xml:space="preserve">, a</w:t>
      </w:r>
      <w:r>
        <w:t xml:space="preserve"> </w:t>
      </w:r>
      <w:r>
        <w:rPr>
          <w:rStyle w:val="VerbatimChar"/>
        </w:rPr>
        <w:t xml:space="preserve">2d</w:t>
      </w:r>
      <w:r>
        <w:t xml:space="preserve"> </w:t>
      </w:r>
      <w:r>
        <w:t xml:space="preserve">da face do pilar, seguindo a leitura da NBR 6118 para punção.</w:t>
      </w:r>
    </w:p>
    <w:p>
      <w:pPr>
        <w:pStyle w:val="BodyText"/>
      </w:pPr>
      <w:r>
        <w:t xml:space="preserve">O avaliador considera o pior caso:</w:t>
      </w:r>
    </w:p>
    <w:p>
      <w:pPr>
        <w:pStyle w:val="SourceCode"/>
      </w:pPr>
      <w:r>
        <w:rPr>
          <w:rStyle w:val="VerbatimChar"/>
        </w:rPr>
        <w:t xml:space="preserve">g_puncao = max(g_C, g_C')</w:t>
      </w:r>
    </w:p>
    <w:p>
      <w:pPr>
        <w:pStyle w:val="FirstParagraph"/>
      </w:pPr>
      <w:r>
        <w:t xml:space="preserve">No contorno</w:t>
      </w:r>
      <w:r>
        <w:t xml:space="preserve"> </w:t>
      </w:r>
      <w:r>
        <w:rPr>
          <w:rStyle w:val="VerbatimChar"/>
        </w:rPr>
        <w:t xml:space="preserve">C'</w:t>
      </w:r>
      <w:r>
        <w:t xml:space="preserve">, foram adotadas duas hipóteses conservadoras:</w:t>
      </w:r>
    </w:p>
    <w:p>
      <w:pPr>
        <w:pStyle w:val="Compact"/>
        <w:numPr>
          <w:ilvl w:val="0"/>
          <w:numId w:val="1005"/>
        </w:numPr>
      </w:pPr>
      <w:r>
        <w:t xml:space="preserve">como o projeto ainda não dimensiona armadura de flexão, usa-se taxa mínima de armadura;</w:t>
      </w:r>
    </w:p>
    <w:p>
      <w:pPr>
        <w:pStyle w:val="Compact"/>
        <w:numPr>
          <w:ilvl w:val="0"/>
          <w:numId w:val="1005"/>
        </w:numPr>
      </w:pPr>
      <w:r>
        <w:t xml:space="preserve">a reação do solo dentro do perímetro crítico não é abatida da solicitação.</w:t>
      </w:r>
    </w:p>
    <w:p>
      <w:pPr>
        <w:pStyle w:val="FirstParagraph"/>
      </w:pPr>
      <w:r>
        <w:t xml:space="preserve">Nos três casos do artigo, a punção ficou folgada. Ou seja, a verificação ficou mais completa, mas não governou os resultados obtidos.</w:t>
      </w:r>
    </w:p>
    <w:bookmarkEnd w:id="16"/>
    <w:bookmarkStart w:id="17" w:name="validações-de-fronteira"/>
    <w:p>
      <w:pPr>
        <w:pStyle w:val="Heading3"/>
      </w:pPr>
      <w:r>
        <w:t xml:space="preserve">3.4. Validações de fronteira</w:t>
      </w:r>
    </w:p>
    <w:p>
      <w:pPr>
        <w:pStyle w:val="FirstParagraph"/>
      </w:pPr>
      <w:r>
        <w:t xml:space="preserve">Também foram adicionadas proteções para evitar entradas fisicamente inválidas: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Fz</w:t>
      </w:r>
      <w:r>
        <w:t xml:space="preserve"> </w:t>
      </w:r>
      <w:r>
        <w:t xml:space="preserve">precisa ser positivo, porque o modelo atual considera contato comprimido solo-sapata;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h_z</w:t>
      </w:r>
      <w:r>
        <w:t xml:space="preserve"> </w:t>
      </w:r>
      <w:r>
        <w:t xml:space="preserve">precisa ser maior que o cobrimento, para garantir altura útil positiva;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f_ck</w:t>
      </w:r>
      <w:r>
        <w:t xml:space="preserve"> </w:t>
      </w:r>
      <w:r>
        <w:t xml:space="preserve">é esperado em kPa, por exemplo</w:t>
      </w:r>
      <w:r>
        <w:t xml:space="preserve"> </w:t>
      </w:r>
      <w:r>
        <w:rPr>
          <w:rStyle w:val="VerbatimChar"/>
        </w:rPr>
        <w:t xml:space="preserve">25 MPa = 25000 kPa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dimensões e parâmetros básicos são checados antes da otimização.</w:t>
      </w:r>
    </w:p>
    <w:p>
      <w:pPr>
        <w:pStyle w:val="FirstParagraph"/>
      </w:pPr>
      <w:r>
        <w:t xml:space="preserve">Essas validações ajudam a evitar soluções aparentemente boas, mas geradas por erro de unidade ou entrada fora do domínio do modelo.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interface-e-rastreabilidade"/>
    <w:p>
      <w:pPr>
        <w:pStyle w:val="Heading2"/>
      </w:pPr>
      <w:r>
        <w:t xml:space="preserve">4. Interface e rastreabilidade</w:t>
      </w:r>
    </w:p>
    <w:p>
      <w:pPr>
        <w:pStyle w:val="FirstParagraph"/>
      </w:pPr>
      <w:r>
        <w:t xml:space="preserve">A interface Streamlit foi ampliada. Ela agora permite acompanhar melhor uma execução e entender visualmente o resultado.</w:t>
      </w:r>
    </w:p>
    <w:p>
      <w:pPr>
        <w:pStyle w:val="BodyText"/>
      </w:pPr>
      <w:r>
        <w:t xml:space="preserve">Foram adicionados:</w:t>
      </w:r>
    </w:p>
    <w:p>
      <w:pPr>
        <w:pStyle w:val="Compact"/>
        <w:numPr>
          <w:ilvl w:val="0"/>
          <w:numId w:val="1007"/>
        </w:numPr>
      </w:pPr>
      <w:r>
        <w:t xml:space="preserve">visualização 2D/3D das sapatas;</w:t>
      </w:r>
    </w:p>
    <w:p>
      <w:pPr>
        <w:pStyle w:val="Compact"/>
        <w:numPr>
          <w:ilvl w:val="0"/>
          <w:numId w:val="1007"/>
        </w:numPr>
      </w:pPr>
      <w:r>
        <w:t xml:space="preserve">gráfico de convergência do EGO;</w:t>
      </w:r>
    </w:p>
    <w:p>
      <w:pPr>
        <w:pStyle w:val="Compact"/>
        <w:numPr>
          <w:ilvl w:val="0"/>
          <w:numId w:val="1007"/>
        </w:numPr>
      </w:pPr>
      <w:r>
        <w:t xml:space="preserve">progresso ao vivo;</w:t>
      </w:r>
    </w:p>
    <w:p>
      <w:pPr>
        <w:pStyle w:val="Compact"/>
        <w:numPr>
          <w:ilvl w:val="0"/>
          <w:numId w:val="1007"/>
        </w:numPr>
      </w:pPr>
      <w:r>
        <w:t xml:space="preserve">cancelamento cooperativo;</w:t>
      </w:r>
    </w:p>
    <w:p>
      <w:pPr>
        <w:pStyle w:val="Compact"/>
        <w:numPr>
          <w:ilvl w:val="0"/>
          <w:numId w:val="1007"/>
        </w:numPr>
      </w:pPr>
      <w:r>
        <w:t xml:space="preserve">exportação de artefatos;</w:t>
      </w:r>
    </w:p>
    <w:p>
      <w:pPr>
        <w:pStyle w:val="Compact"/>
        <w:numPr>
          <w:ilvl w:val="0"/>
          <w:numId w:val="1007"/>
        </w:numPr>
      </w:pPr>
      <w:r>
        <w:t xml:space="preserve">página de experimentos para comparação entre algoritmos.</w:t>
      </w:r>
    </w:p>
    <w:p>
      <w:pPr>
        <w:pStyle w:val="FirstParagraph"/>
      </w:pPr>
      <w:r>
        <w:t xml:space="preserve">Também foram adicionados logs estruturados e persistência de experimentos. Cada rodada pode salvar configurações, histórico, métricas, ambiente e artefatos. Isso é importante porque os números do artigo não ficam soltos: eles podem ser regenerados a partir de scripts e arquivos persistidos.</w:t>
      </w:r>
    </w:p>
    <w:p>
      <w:r>
        <w:pict>
          <v:rect style="width:0;height:1.5pt" o:hralign="center" o:hrstd="t" o:hr="t"/>
        </w:pict>
      </w:r>
    </w:p>
    <w:bookmarkEnd w:id="19"/>
    <w:bookmarkStart w:id="20" w:name="protocolo-experimental"/>
    <w:p>
      <w:pPr>
        <w:pStyle w:val="Heading2"/>
      </w:pPr>
      <w:r>
        <w:t xml:space="preserve">5. Protocolo experimental</w:t>
      </w:r>
    </w:p>
    <w:p>
      <w:pPr>
        <w:pStyle w:val="FirstParagraph"/>
      </w:pPr>
      <w:r>
        <w:t xml:space="preserve">O protocolo do artigo foi fechado para evitar comparações frágeis.</w:t>
      </w:r>
    </w:p>
    <w:p>
      <w:pPr>
        <w:pStyle w:val="BodyText"/>
      </w:pPr>
      <w:r>
        <w:t xml:space="preserve">Foram usados três casos:</w:t>
      </w:r>
    </w:p>
    <w:p>
      <w:pPr>
        <w:pStyle w:val="Compact"/>
        <w:numPr>
          <w:ilvl w:val="0"/>
          <w:numId w:val="1008"/>
        </w:numPr>
      </w:pPr>
      <w:r>
        <w:t xml:space="preserve">Caso 1: uma sapata, 3 variáveis;</w:t>
      </w:r>
    </w:p>
    <w:p>
      <w:pPr>
        <w:pStyle w:val="Compact"/>
        <w:numPr>
          <w:ilvl w:val="0"/>
          <w:numId w:val="1008"/>
        </w:numPr>
      </w:pPr>
      <w:r>
        <w:t xml:space="preserve">Caso 2: duas sapatas, 6 variáveis;</w:t>
      </w:r>
    </w:p>
    <w:p>
      <w:pPr>
        <w:pStyle w:val="Compact"/>
        <w:numPr>
          <w:ilvl w:val="0"/>
          <w:numId w:val="1008"/>
        </w:numPr>
      </w:pPr>
      <w:r>
        <w:t xml:space="preserve">Caso 3: três sapatas, 9 variáveis.</w:t>
      </w:r>
    </w:p>
    <w:p>
      <w:pPr>
        <w:pStyle w:val="FirstParagraph"/>
      </w:pPr>
      <w:r>
        <w:t xml:space="preserve">Parâmetros comuns:</w:t>
      </w:r>
    </w:p>
    <w:p>
      <w:pPr>
        <w:pStyle w:val="SourceCode"/>
      </w:pPr>
      <w:r>
        <w:rPr>
          <w:rStyle w:val="VerbatimChar"/>
        </w:rPr>
        <w:t xml:space="preserve">h_min = 0,60 m</w:t>
      </w:r>
      <w:r>
        <w:br/>
      </w:r>
      <w:r>
        <w:rPr>
          <w:rStyle w:val="VerbatimChar"/>
        </w:rPr>
        <w:t xml:space="preserve">h_max = 3,00 m</w:t>
      </w:r>
      <w:r>
        <w:br/>
      </w:r>
      <w:r>
        <w:rPr>
          <w:rStyle w:val="VerbatimChar"/>
        </w:rPr>
        <w:t xml:space="preserve">f_ck = 25 MPa</w:t>
      </w:r>
      <w:r>
        <w:br/>
      </w:r>
      <w:r>
        <w:rPr>
          <w:rStyle w:val="VerbatimChar"/>
        </w:rPr>
        <w:t xml:space="preserve">cobrimento = 0,04 m</w:t>
      </w:r>
      <w:r>
        <w:br/>
      </w:r>
      <w:r>
        <w:rPr>
          <w:rStyle w:val="VerbatimChar"/>
        </w:rPr>
        <w:t xml:space="preserve">30 repetições por célula experimental</w:t>
      </w:r>
      <w:r>
        <w:br/>
      </w:r>
      <w:r>
        <w:rPr>
          <w:rStyle w:val="VerbatimChar"/>
        </w:rPr>
        <w:t xml:space="preserve">sementes pareadas entre algoritmos</w:t>
      </w:r>
    </w:p>
    <w:p>
      <w:pPr>
        <w:pStyle w:val="FirstParagraph"/>
      </w:pPr>
      <w:r>
        <w:t xml:space="preserve">Foram definidos dois cenários: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S1:</w:t>
      </w:r>
      <w:r>
        <w:t xml:space="preserve"> </w:t>
      </w:r>
      <w:r>
        <w:t xml:space="preserve">todos os algoritmos com 150 avaliações reais;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S2:</w:t>
      </w:r>
      <w:r>
        <w:t xml:space="preserve"> </w:t>
      </w:r>
      <w:r>
        <w:t xml:space="preserve">buscas diretas com 3000 avaliações, para testar o que acontece quando a função objetivo é barata.</w:t>
      </w:r>
    </w:p>
    <w:p>
      <w:pPr>
        <w:pStyle w:val="FirstParagraph"/>
      </w:pPr>
      <w:r>
        <w:t xml:space="preserve">A comparação estatística usa teste pareado de Wilcoxon com correção de Holm. Isso é mais adequado do que tratar as repetições como independentes, porque as sementes foram pareadas.</w:t>
      </w:r>
    </w:p>
    <w:p>
      <w:pPr>
        <w:pStyle w:val="BodyText"/>
      </w:pPr>
      <w:r>
        <w:t xml:space="preserve">O resultado principal é equilibrado: sob orçamento igual de avaliações, os métodos assistidos por modelo substituto ficam competitivos. Mas, quando a função objetivo é muito barata e as buscas diretas recebem orçamento maior, PSO/GWO conseguem soluções melhores em menos tempo de parede. Essa conclusão é importante, porque evita uma justificativa exagerada do EGO no problema atual.</w:t>
      </w:r>
    </w:p>
    <w:p>
      <w:r>
        <w:pict>
          <v:rect style="width:0;height:1.5pt" o:hralign="center" o:hrstd="t" o:hr="t"/>
        </w:pict>
      </w:r>
    </w:p>
    <w:bookmarkEnd w:id="20"/>
    <w:bookmarkStart w:id="21" w:name="cbo-e-tratamento-explícito-de-restrições"/>
    <w:p>
      <w:pPr>
        <w:pStyle w:val="Heading2"/>
      </w:pPr>
      <w:r>
        <w:t xml:space="preserve">6. CBO e tratamento explícito de restrições</w:t>
      </w:r>
    </w:p>
    <w:p>
      <w:pPr>
        <w:pStyle w:val="FirstParagraph"/>
      </w:pPr>
      <w:r>
        <w:t xml:space="preserve">Além do EGO penalizado, foi implementada uma versão de otimização bayesiana com restrições, baseada em Gardner et al. (2014).</w:t>
      </w:r>
    </w:p>
    <w:p>
      <w:pPr>
        <w:pStyle w:val="BodyText"/>
      </w:pPr>
      <w:r>
        <w:t xml:space="preserve">A diferença é esta:</w:t>
      </w:r>
    </w:p>
    <w:p>
      <w:pPr>
        <w:pStyle w:val="SourceCode"/>
      </w:pPr>
      <w:r>
        <w:rPr>
          <w:rStyle w:val="VerbatimChar"/>
        </w:rPr>
        <w:t xml:space="preserve">EGO penalizado:</w:t>
      </w:r>
      <w:r>
        <w:br/>
      </w:r>
      <w:r>
        <w:rPr>
          <w:rStyle w:val="VerbatimChar"/>
        </w:rPr>
        <w:t xml:space="preserve">1 GP aprende volume + penalidades</w:t>
      </w:r>
      <w:r>
        <w:br/>
      </w:r>
      <w:r>
        <w:br/>
      </w:r>
      <w:r>
        <w:rPr>
          <w:rStyle w:val="VerbatimChar"/>
        </w:rPr>
        <w:t xml:space="preserve">CBO:</w:t>
      </w:r>
      <w:r>
        <w:br/>
      </w:r>
      <w:r>
        <w:rPr>
          <w:rStyle w:val="VerbatimChar"/>
        </w:rPr>
        <w:t xml:space="preserve">1 GP aprende o volume</w:t>
      </w:r>
      <w:r>
        <w:br/>
      </w:r>
      <w:r>
        <w:rPr>
          <w:rStyle w:val="VerbatimChar"/>
        </w:rPr>
        <w:t xml:space="preserve">1 GP aprende cada grupo de restrição</w:t>
      </w:r>
    </w:p>
    <w:p>
      <w:pPr>
        <w:pStyle w:val="FirstParagraph"/>
      </w:pPr>
      <w:r>
        <w:t xml:space="preserve">A aquisição usada segue a ideia:</w:t>
      </w:r>
    </w:p>
    <w:p>
      <w:pPr>
        <w:pStyle w:val="SourceCode"/>
      </w:pPr>
      <w:r>
        <w:rPr>
          <w:rStyle w:val="VerbatimChar"/>
        </w:rPr>
        <w:t xml:space="preserve">ECI(x) = EI(volume) * P(g_1 &lt;= 0) * ... * P(g_k &lt;= 0)</w:t>
      </w:r>
    </w:p>
    <w:p>
      <w:pPr>
        <w:pStyle w:val="FirstParagraph"/>
      </w:pPr>
      <w:r>
        <w:t xml:space="preserve">Se ainda não há ponto factível, o método prioriza encontrar a região factível.</w:t>
      </w:r>
    </w:p>
    <w:p>
      <w:pPr>
        <w:pStyle w:val="BodyText"/>
      </w:pPr>
      <w:r>
        <w:t xml:space="preserve">Nos resultados do artigo, o CBO melhorou a média de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em relação ao EGO e encontrou bons volumes factíveis, mas ainda perdeu factibilidade estrita em alguns casos. A leitura correta é que o CBO é promissor, principalmente para a próxima fase com restrições ativas de posicionamento, mas ainda precisa de regra final de seleção factível.</w:t>
      </w:r>
    </w:p>
    <w:p>
      <w:r>
        <w:pict>
          <v:rect style="width:0;height:1.5pt" o:hralign="center" o:hrstd="t" o:hr="t"/>
        </w:pict>
      </w:r>
    </w:p>
    <w:bookmarkEnd w:id="21"/>
    <w:bookmarkStart w:id="22" w:name="auditoria-por-decomposição"/>
    <w:p>
      <w:pPr>
        <w:pStyle w:val="Heading2"/>
      </w:pPr>
      <w:r>
        <w:t xml:space="preserve">7. Auditoria por decomposição</w:t>
      </w:r>
    </w:p>
    <w:p>
      <w:pPr>
        <w:pStyle w:val="FirstParagraph"/>
      </w:pPr>
      <w:r>
        <w:t xml:space="preserve">Uma crítica importante era que os casos do artigo talvez fossem quase separáveis. Em outras palavras: otimizar cada sapata isoladamente e juntar os resultados poderia dar quase o mesmo resultado que otimizar tudo junto.</w:t>
      </w:r>
    </w:p>
    <w:p>
      <w:pPr>
        <w:pStyle w:val="BodyText"/>
      </w:pPr>
      <w:r>
        <w:t xml:space="preserve">Essa hipótese foi testada com um baseline de Differential Evolution por sapata:</w:t>
      </w:r>
    </w:p>
    <w:p>
      <w:pPr>
        <w:pStyle w:val="Compact"/>
        <w:numPr>
          <w:ilvl w:val="0"/>
          <w:numId w:val="1010"/>
        </w:numPr>
      </w:pPr>
      <w:r>
        <w:t xml:space="preserve">otimiza-se cada sapata separadamente;</w:t>
      </w:r>
    </w:p>
    <w:p>
      <w:pPr>
        <w:pStyle w:val="Compact"/>
        <w:numPr>
          <w:ilvl w:val="0"/>
          <w:numId w:val="1010"/>
        </w:numPr>
      </w:pPr>
      <w:r>
        <w:t xml:space="preserve">junta-se a solução;</w:t>
      </w:r>
    </w:p>
    <w:p>
      <w:pPr>
        <w:pStyle w:val="Compact"/>
        <w:numPr>
          <w:ilvl w:val="0"/>
          <w:numId w:val="1010"/>
        </w:numPr>
      </w:pPr>
      <w:r>
        <w:t xml:space="preserve">reavalia-se tudo no avaliador global.</w:t>
      </w:r>
    </w:p>
    <w:p>
      <w:pPr>
        <w:pStyle w:val="FirstParagraph"/>
      </w:pPr>
      <w:r>
        <w:t xml:space="preserve">Resultado: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 decomposto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Melhor protocolo global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3,108824 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3,108826 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menor que 0,01%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4,750747 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4,787486 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2,122252 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2,167259 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2,08%</w:t>
            </w:r>
          </w:p>
        </w:tc>
      </w:tr>
    </w:tbl>
    <w:p>
      <w:pPr>
        <w:pStyle w:val="BodyText"/>
      </w:pPr>
      <w:r>
        <w:t xml:space="preserve">Isso mostra que os casos atuais são bons para testar a formulação, a penalidade, o GPR, o CBO e o protocolo. Mas eles ainda não demonstram plenamente o ganho do posicionamento conjunto, porque a sobreposição está inativa.</w:t>
      </w:r>
    </w:p>
    <w:p>
      <w:pPr>
        <w:pStyle w:val="BodyText"/>
      </w:pPr>
      <w:r>
        <w:t xml:space="preserve">Essa auditoria foi incorporada ao artigo para deixar a limitação clara.</w:t>
      </w:r>
    </w:p>
    <w:p>
      <w:r>
        <w:pict>
          <v:rect style="width:0;height:1.5pt" o:hralign="center" o:hrstd="t" o:hr="t"/>
        </w:pict>
      </w:r>
    </w:p>
    <w:bookmarkEnd w:id="22"/>
    <w:bookmarkStart w:id="23" w:name="fase-b-posicionamento-e-packing"/>
    <w:p>
      <w:pPr>
        <w:pStyle w:val="Heading2"/>
      </w:pPr>
      <w:r>
        <w:t xml:space="preserve">8. Fase B: posicionamento e packing</w:t>
      </w:r>
    </w:p>
    <w:p>
      <w:pPr>
        <w:pStyle w:val="FirstParagraph"/>
      </w:pPr>
      <w:r>
        <w:t xml:space="preserve">Depois da auditoria de decomposição, foi iniciado um piloto de posicionamento conjunto.</w:t>
      </w:r>
    </w:p>
    <w:p>
      <w:pPr>
        <w:pStyle w:val="BodyText"/>
      </w:pPr>
      <w:r>
        <w:t xml:space="preserve">Nessa nova formulação, cada sapata pode ter:</w:t>
      </w:r>
    </w:p>
    <w:p>
      <w:pPr>
        <w:pStyle w:val="SourceCode"/>
      </w:pPr>
      <w:r>
        <w:rPr>
          <w:rStyle w:val="VerbatimChar"/>
        </w:rPr>
        <w:t xml:space="preserve">h_x, h_y, h_z, dx, dy</w:t>
      </w:r>
    </w:p>
    <w:p>
      <w:pPr>
        <w:pStyle w:val="FirstParagraph"/>
      </w:pPr>
      <w:r>
        <w:t xml:space="preserve">Os deslocamentos</w:t>
      </w:r>
      <w:r>
        <w:t xml:space="preserve"> </w:t>
      </w:r>
      <w:r>
        <w:rPr>
          <w:rStyle w:val="VerbatimChar"/>
        </w:rPr>
        <w:t xml:space="preserve">dx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dy</w:t>
      </w:r>
      <w:r>
        <w:t xml:space="preserve"> </w:t>
      </w:r>
      <w:r>
        <w:t xml:space="preserve">representam o deslocamento do centro da sapata em relação ao pilar. Com isso, as sapatas podem se mover em planta, desde que:</w:t>
      </w:r>
    </w:p>
    <w:p>
      <w:pPr>
        <w:pStyle w:val="Compact"/>
        <w:numPr>
          <w:ilvl w:val="0"/>
          <w:numId w:val="1011"/>
        </w:numPr>
      </w:pPr>
      <w:r>
        <w:t xml:space="preserve">o pilar continue dentro da sapata;</w:t>
      </w:r>
    </w:p>
    <w:p>
      <w:pPr>
        <w:pStyle w:val="Compact"/>
        <w:numPr>
          <w:ilvl w:val="0"/>
          <w:numId w:val="1011"/>
        </w:numPr>
      </w:pPr>
      <w:r>
        <w:t xml:space="preserve">a sapata continue dentro dos limites do lote;</w:t>
      </w:r>
    </w:p>
    <w:p>
      <w:pPr>
        <w:pStyle w:val="Compact"/>
        <w:numPr>
          <w:ilvl w:val="0"/>
          <w:numId w:val="1011"/>
        </w:numPr>
      </w:pPr>
      <w:r>
        <w:t xml:space="preserve">não haja sobreposição;</w:t>
      </w:r>
    </w:p>
    <w:p>
      <w:pPr>
        <w:pStyle w:val="Compact"/>
        <w:numPr>
          <w:ilvl w:val="0"/>
          <w:numId w:val="1011"/>
        </w:numPr>
      </w:pPr>
      <w:r>
        <w:t xml:space="preserve">tensão, punção e geometria continuem atendidas.</w:t>
      </w:r>
    </w:p>
    <w:p>
      <w:pPr>
        <w:pStyle w:val="FirstParagraph"/>
      </w:pPr>
      <w:r>
        <w:t xml:space="preserve">No piloto, os momentos efetivos foram ajustados assim:</w:t>
      </w:r>
    </w:p>
    <w:p>
      <w:pPr>
        <w:pStyle w:val="SourceCode"/>
      </w:pPr>
      <w:r>
        <w:rPr>
          <w:rStyle w:val="VerbatimChar"/>
        </w:rPr>
        <w:t xml:space="preserve">Mx_eff = Mx_input - Fz * dx</w:t>
      </w:r>
      <w:r>
        <w:br/>
      </w:r>
      <w:r>
        <w:rPr>
          <w:rStyle w:val="VerbatimChar"/>
        </w:rPr>
        <w:t xml:space="preserve">My_eff = My_input - Fz * dy</w:t>
      </w:r>
    </w:p>
    <w:p>
      <w:pPr>
        <w:pStyle w:val="FirstParagraph"/>
      </w:pPr>
      <w:r>
        <w:t xml:space="preserve">Resultado do caso mínimo:</w:t>
      </w:r>
    </w:p>
    <w:p>
      <w:pPr>
        <w:pStyle w:val="Compact"/>
        <w:numPr>
          <w:ilvl w:val="0"/>
          <w:numId w:val="1012"/>
        </w:numPr>
      </w:pPr>
      <w:r>
        <w:t xml:space="preserve">Com os ótimos individuais centralizados, o volume ficou em</w:t>
      </w:r>
      <w:r>
        <w:t xml:space="preserve"> </w:t>
      </w:r>
      <w:r>
        <w:rPr>
          <w:rStyle w:val="VerbatimChar"/>
        </w:rPr>
        <w:t xml:space="preserve">4,750747 m3</w:t>
      </w:r>
      <w:r>
        <w:t xml:space="preserve">, mas a solução não foi factível, porque as sapatas se sobrepõem (</w:t>
      </w:r>
      <w:r>
        <w:rPr>
          <w:rStyle w:val="VerbatimChar"/>
        </w:rPr>
        <w:t xml:space="preserve">g_sob = 0,2307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Mantendo centros fixos e redimensionando as sapatas, a solução ficou factível, sem sobreposição, mas o volume subiu para</w:t>
      </w:r>
      <w:r>
        <w:t xml:space="preserve"> </w:t>
      </w:r>
      <w:r>
        <w:rPr>
          <w:rStyle w:val="VerbatimChar"/>
        </w:rPr>
        <w:t xml:space="preserve">4,929703 m3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Permitindo deslocamentos</w:t>
      </w:r>
      <w:r>
        <w:t xml:space="preserve"> </w:t>
      </w:r>
      <w:r>
        <w:rPr>
          <w:rStyle w:val="VerbatimChar"/>
        </w:rPr>
        <w:t xml:space="preserve">dx, dy</w:t>
      </w:r>
      <w:r>
        <w:t xml:space="preserve">, a solução também ficou factível, sem sobreposição, e o volume caiu para</w:t>
      </w:r>
      <w:r>
        <w:t xml:space="preserve"> </w:t>
      </w:r>
      <w:r>
        <w:rPr>
          <w:rStyle w:val="VerbatimChar"/>
        </w:rPr>
        <w:t xml:space="preserve">4,525122 m3</w:t>
      </w:r>
      <w:r>
        <w:t xml:space="preserve">.</w:t>
      </w:r>
    </w:p>
    <w:p>
      <w:pPr>
        <w:pStyle w:val="FirstParagraph"/>
      </w:pPr>
      <w:r>
        <w:t xml:space="preserve">Esse resultado ainda é piloto. Ele não deve entrar como resultado principal do artigo atual. O papel dele é mostrar que a próxima fase é relevante e que, quando o posicionamento entra no problema, a decomposição por sapata deixa de ser suficiente.</w:t>
      </w:r>
    </w:p>
    <w:p>
      <w:r>
        <w:pict>
          <v:rect style="width:0;height:1.5pt" o:hralign="center" o:hrstd="t" o:hr="t"/>
        </w:pict>
      </w:r>
    </w:p>
    <w:bookmarkEnd w:id="23"/>
    <w:bookmarkStart w:id="24" w:name="situação-do-artigo"/>
    <w:p>
      <w:pPr>
        <w:pStyle w:val="Heading2"/>
      </w:pPr>
      <w:r>
        <w:t xml:space="preserve">9. Situação do artigo</w:t>
      </w:r>
    </w:p>
    <w:p>
      <w:pPr>
        <w:pStyle w:val="FirstParagraph"/>
      </w:pPr>
      <w:r>
        <w:t xml:space="preserve">O artigo em</w:t>
      </w:r>
      <w:r>
        <w:t xml:space="preserve"> </w:t>
      </w:r>
      <w:r>
        <w:rPr>
          <w:rStyle w:val="VerbatimChar"/>
        </w:rPr>
        <w:t xml:space="preserve">docs/artigo_ic_lucas</w:t>
      </w:r>
      <w:r>
        <w:t xml:space="preserve"> </w:t>
      </w:r>
      <w:r>
        <w:t xml:space="preserve">foi bastante revisado.</w:t>
      </w:r>
    </w:p>
    <w:p>
      <w:pPr>
        <w:pStyle w:val="BodyText"/>
      </w:pPr>
      <w:r>
        <w:t xml:space="preserve">As principais mudanças foram:</w:t>
      </w:r>
    </w:p>
    <w:p>
      <w:pPr>
        <w:pStyle w:val="Compact"/>
        <w:numPr>
          <w:ilvl w:val="0"/>
          <w:numId w:val="1013"/>
        </w:numPr>
      </w:pPr>
      <w:r>
        <w:t xml:space="preserve">mudança para formato de duas colunas;</w:t>
      </w:r>
    </w:p>
    <w:p>
      <w:pPr>
        <w:pStyle w:val="Compact"/>
        <w:numPr>
          <w:ilvl w:val="0"/>
          <w:numId w:val="1013"/>
        </w:numPr>
      </w:pPr>
      <w:r>
        <w:t xml:space="preserve">reposicionamento como pré-dimensionamento geométrico experimental;</w:t>
      </w:r>
    </w:p>
    <w:p>
      <w:pPr>
        <w:pStyle w:val="Compact"/>
        <w:numPr>
          <w:ilvl w:val="0"/>
          <w:numId w:val="1013"/>
        </w:numPr>
      </w:pPr>
      <w:r>
        <w:t xml:space="preserve">inclusão da punção nos contornos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correção da tensão no solo;</w:t>
      </w:r>
    </w:p>
    <w:p>
      <w:pPr>
        <w:pStyle w:val="Compact"/>
        <w:numPr>
          <w:ilvl w:val="0"/>
          <w:numId w:val="1013"/>
        </w:numPr>
      </w:pPr>
      <w:r>
        <w:t xml:space="preserve">inclusão do CBO;</w:t>
      </w:r>
    </w:p>
    <w:p>
      <w:pPr>
        <w:pStyle w:val="Compact"/>
        <w:numPr>
          <w:ilvl w:val="0"/>
          <w:numId w:val="1013"/>
        </w:numPr>
      </w:pPr>
      <w:r>
        <w:t xml:space="preserve">protocolo S1/S2;</w:t>
      </w:r>
    </w:p>
    <w:p>
      <w:pPr>
        <w:pStyle w:val="Compact"/>
        <w:numPr>
          <w:ilvl w:val="0"/>
          <w:numId w:val="1013"/>
        </w:numPr>
      </w:pPr>
      <w:r>
        <w:t xml:space="preserve">estudo de penalidade e kernels;</w:t>
      </w:r>
    </w:p>
    <w:p>
      <w:pPr>
        <w:pStyle w:val="Compact"/>
        <w:numPr>
          <w:ilvl w:val="0"/>
          <w:numId w:val="1013"/>
        </w:numPr>
      </w:pPr>
      <w:r>
        <w:t xml:space="preserve">auditoria por decomposição;</w:t>
      </w:r>
    </w:p>
    <w:p>
      <w:pPr>
        <w:pStyle w:val="Compact"/>
        <w:numPr>
          <w:ilvl w:val="0"/>
          <w:numId w:val="1013"/>
        </w:numPr>
      </w:pPr>
      <w:r>
        <w:t xml:space="preserve">discussão mais clara das limitações;</w:t>
      </w:r>
    </w:p>
    <w:p>
      <w:pPr>
        <w:pStyle w:val="Compact"/>
        <w:numPr>
          <w:ilvl w:val="0"/>
          <w:numId w:val="1013"/>
        </w:numPr>
      </w:pPr>
      <w:r>
        <w:t xml:space="preserve">dados, figuras e tabelas regeneráveis por scripts.</w:t>
      </w:r>
    </w:p>
    <w:p>
      <w:pPr>
        <w:pStyle w:val="FirstParagraph"/>
      </w:pPr>
      <w:r>
        <w:t xml:space="preserve">O PDF atual compila com 22 páginas. Na última verificação, não havia citações indefinidas nem erro de compilação.</w:t>
      </w:r>
    </w:p>
    <w:p>
      <w:pPr>
        <w:pStyle w:val="BodyText"/>
      </w:pPr>
      <w:r>
        <w:t xml:space="preserve">O texto está coerente com o código. O principal cuidado é manter o escopo bem delimitado: ainda não há dimensionamento de armadura, flexão, cisalhamento unidirecional, ancoragem, custo total, recalque ou modelo geotécnico calibrado.</w:t>
      </w:r>
    </w:p>
    <w:p>
      <w:r>
        <w:pict>
          <v:rect style="width:0;height:1.5pt" o:hralign="center" o:hrstd="t" o:hr="t"/>
        </w:pict>
      </w:r>
    </w:p>
    <w:bookmarkEnd w:id="24"/>
    <w:bookmarkStart w:id="25" w:name="pendências-reais"/>
    <w:p>
      <w:pPr>
        <w:pStyle w:val="Heading2"/>
      </w:pPr>
      <w:r>
        <w:t xml:space="preserve">10. Pendências reais</w:t>
      </w:r>
    </w:p>
    <w:p>
      <w:pPr>
        <w:pStyle w:val="FirstParagraph"/>
      </w:pPr>
      <w:r>
        <w:t xml:space="preserve">Esses pontos ainda precisam ser tratados com cuidado: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Correlação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Nspt</w:t>
      </w:r>
      <w:r>
        <w:rPr>
          <w:b/>
          <w:bCs/>
        </w:rPr>
        <w:t xml:space="preserve">-tensão admissível:</w:t>
      </w:r>
      <w:r>
        <w:t xml:space="preserve"> </w:t>
      </w:r>
      <w:r>
        <w:t xml:space="preserve">continua sendo a hipótese geotécnica mais fraca. Precisa ser validada, substituída ou muito bem declarada como aproximação preliminar.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Combinações de ações:</w:t>
      </w:r>
      <w:r>
        <w:t xml:space="preserve"> </w:t>
      </w:r>
      <w:r>
        <w:t xml:space="preserve">ainda falta separar formalmente verificações de serviço e estado limite último.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Projeto estrutural completo:</w:t>
      </w:r>
      <w:r>
        <w:t xml:space="preserve"> </w:t>
      </w:r>
      <w:r>
        <w:t xml:space="preserve">o artigo não dimensiona armadura nem faz verificação completa de flexão, cisalhamento unidirecional, ancoragem e custo.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Sobreposição contada duas vezes:</w:t>
      </w:r>
      <w:r>
        <w:t xml:space="preserve"> </w:t>
      </w:r>
      <w:r>
        <w:t xml:space="preserve">não afeta os casos atuais, mas precisa ser resolvida antes da Frente 2.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Frente B ainda é piloto:</w:t>
      </w:r>
      <w:r>
        <w:t xml:space="preserve"> </w:t>
      </w:r>
      <w:r>
        <w:t xml:space="preserve">precisa virar protocolo experimental com casos acoplados congelados, seeds pareadas e estatística.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Normas:</w:t>
      </w:r>
      <w:r>
        <w:t xml:space="preserve"> </w:t>
      </w:r>
      <w:r>
        <w:t xml:space="preserve">é necessário conferir a forma bibliográfica final da NBR 6118 e da NBR 6122 antes da submissão.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Nome do software:</w:t>
      </w:r>
      <w:r>
        <w:t xml:space="preserve"> </w:t>
      </w:r>
      <w:r>
        <w:t xml:space="preserve">o repositório usa majoritariamente FundaIA, enquanto o artigo aparece como FundaAI. É melhor padronizar antes de enviar.</w:t>
      </w:r>
    </w:p>
    <w:p>
      <w:r>
        <w:pict>
          <v:rect style="width:0;height:1.5pt" o:hralign="center" o:hrstd="t" o:hr="t"/>
        </w:pict>
      </w:r>
    </w:p>
    <w:bookmarkEnd w:id="25"/>
    <w:bookmarkStart w:id="26" w:name="validações-feitas"/>
    <w:p>
      <w:pPr>
        <w:pStyle w:val="Heading2"/>
      </w:pPr>
      <w:r>
        <w:t xml:space="preserve">11. Validações feitas</w:t>
      </w:r>
    </w:p>
    <w:p>
      <w:pPr>
        <w:pStyle w:val="FirstParagraph"/>
      </w:pPr>
      <w:r>
        <w:t xml:space="preserve">Foram conferidos:</w:t>
      </w:r>
    </w:p>
    <w:p>
      <w:pPr>
        <w:pStyle w:val="Compact"/>
        <w:numPr>
          <w:ilvl w:val="0"/>
          <w:numId w:val="1015"/>
        </w:numPr>
      </w:pPr>
      <w:r>
        <w:t xml:space="preserve">implementação da função objetivo contra</w:t>
      </w:r>
      <w:r>
        <w:t xml:space="preserve"> </w:t>
      </w:r>
      <w:r>
        <w:rPr>
          <w:rStyle w:val="VerbatimChar"/>
        </w:rPr>
        <w:t xml:space="preserve">core/api/objective.py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tensão no solo contra</w:t>
      </w:r>
      <w:r>
        <w:t xml:space="preserve"> </w:t>
      </w:r>
      <w:r>
        <w:rPr>
          <w:rStyle w:val="VerbatimChar"/>
        </w:rPr>
        <w:t xml:space="preserve">core/engineering/tensao.py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punção contra</w:t>
      </w:r>
      <w:r>
        <w:t xml:space="preserve"> </w:t>
      </w:r>
      <w:r>
        <w:rPr>
          <w:rStyle w:val="VerbatimChar"/>
        </w:rPr>
        <w:t xml:space="preserve">core/engineering/puncao.py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CBO contra</w:t>
      </w:r>
      <w:r>
        <w:t xml:space="preserve"> </w:t>
      </w:r>
      <w:r>
        <w:rPr>
          <w:rStyle w:val="VerbatimChar"/>
        </w:rPr>
        <w:t xml:space="preserve">core/optimization/cbo.py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piloto de packing contra</w:t>
      </w:r>
      <w:r>
        <w:t xml:space="preserve"> </w:t>
      </w:r>
      <w:r>
        <w:rPr>
          <w:rStyle w:val="VerbatimChar"/>
        </w:rPr>
        <w:t xml:space="preserve">scripts/run_packing_phase_b_pilot.py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resultados do artigo contra os artefatos e notas de auditoria.</w:t>
      </w:r>
    </w:p>
    <w:p>
      <w:pPr>
        <w:pStyle w:val="FirstParagraph"/>
      </w:pPr>
      <w:r>
        <w:t xml:space="preserve">Também foi executada a suíte de testes:</w:t>
      </w:r>
    </w:p>
    <w:p>
      <w:pPr>
        <w:pStyle w:val="SourceCode"/>
      </w:pPr>
      <w:r>
        <w:rPr>
          <w:rStyle w:val="VerbatimChar"/>
        </w:rPr>
        <w:t xml:space="preserve">264 testes passaram</w:t>
      </w:r>
    </w:p>
    <w:p>
      <w:pPr>
        <w:pStyle w:val="FirstParagraph"/>
      </w:pPr>
      <w:r>
        <w:t xml:space="preserve">E o artigo compilou em LaTeX:</w:t>
      </w:r>
    </w:p>
    <w:p>
      <w:pPr>
        <w:pStyle w:val="SourceCode"/>
      </w:pPr>
      <w:r>
        <w:rPr>
          <w:rStyle w:val="VerbatimChar"/>
        </w:rPr>
        <w:t xml:space="preserve">PDF com 22 páginas, sem erro de compilação</w:t>
      </w:r>
    </w:p>
    <w:p>
      <w:r>
        <w:pict>
          <v:rect style="width:0;height:1.5pt" o:hralign="center" o:hrstd="t" o:hr="t"/>
        </w:pict>
      </w:r>
    </w:p>
    <w:bookmarkEnd w:id="26"/>
    <w:bookmarkStart w:id="27" w:name="X82259d0ad4e991db50cfdeeade811fcd88a5841"/>
    <w:p>
      <w:pPr>
        <w:pStyle w:val="Heading2"/>
      </w:pPr>
      <w:r>
        <w:t xml:space="preserve">12. Referências principais que sustentam as mudanças</w:t>
      </w:r>
    </w:p>
    <w:p>
      <w:pPr>
        <w:pStyle w:val="FirstParagraph"/>
      </w:pPr>
      <w:r>
        <w:rPr>
          <w:b/>
          <w:bCs/>
        </w:rPr>
        <w:t xml:space="preserve">Engenharia e fundações</w:t>
      </w:r>
    </w:p>
    <w:p>
      <w:pPr>
        <w:pStyle w:val="Compact"/>
        <w:numPr>
          <w:ilvl w:val="0"/>
          <w:numId w:val="1016"/>
        </w:numPr>
      </w:pPr>
      <w:r>
        <w:t xml:space="preserve">ABNT NBR 6118: usada para as verificações de punção nos contornos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C'</w:t>
      </w:r>
      <w:r>
        <w:t xml:space="preserve">. A forma bibliográfica final deve ser conferida antes da submissão, porque há edição 2023, versão corrigida e emenda de 2026. Consulta pública: Catálogo ABNT e DIN Media.</w:t>
      </w:r>
    </w:p>
    <w:p>
      <w:pPr>
        <w:pStyle w:val="Compact"/>
        <w:numPr>
          <w:ilvl w:val="0"/>
          <w:numId w:val="1016"/>
        </w:numPr>
      </w:pPr>
      <w:r>
        <w:t xml:space="preserve">ABNT NBR 6122: referência geral para projeto e execução de fundações. A versão atual precisa ser conferida no Catálogo/ABNT Coleção antes da submissão.</w:t>
      </w:r>
    </w:p>
    <w:p>
      <w:pPr>
        <w:pStyle w:val="Compact"/>
        <w:numPr>
          <w:ilvl w:val="0"/>
          <w:numId w:val="1016"/>
        </w:numPr>
      </w:pPr>
      <w:r>
        <w:t xml:space="preserve">Santos, D. F. A.; Lima Neto, A. F.; Ferreira, M. P. (2018).</w:t>
      </w:r>
      <w:r>
        <w:t xml:space="preserve"> </w:t>
      </w:r>
      <w:r>
        <w:rPr>
          <w:i/>
          <w:iCs/>
        </w:rPr>
        <w:t xml:space="preserve">Punching shear resistance of reinforced concrete footings: evaluation of design codes</w:t>
      </w:r>
      <w:r>
        <w:t xml:space="preserve">. Revista IBRACON de Estruturas e Materiais. DOI:</w:t>
      </w:r>
      <w:r>
        <w:t xml:space="preserve"> </w:t>
      </w:r>
      <w:r>
        <w:rPr>
          <w:rStyle w:val="VerbatimChar"/>
        </w:rPr>
        <w:t xml:space="preserve">10.1590/S1983-41952018000200011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Wang, Y.; Kulhawy, F. H. (2008).</w:t>
      </w:r>
      <w:r>
        <w:t xml:space="preserve"> </w:t>
      </w:r>
      <w:r>
        <w:rPr>
          <w:i/>
          <w:iCs/>
        </w:rPr>
        <w:t xml:space="preserve">Economic Design Optimization of Foundations</w:t>
      </w:r>
      <w:r>
        <w:t xml:space="preserve">. DOI:</w:t>
      </w:r>
      <w:r>
        <w:t xml:space="preserve"> </w:t>
      </w:r>
      <w:r>
        <w:rPr>
          <w:rStyle w:val="VerbatimChar"/>
        </w:rPr>
        <w:t xml:space="preserve">10.1061/(ASCE)1090-0241(2008)134:8(1097)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Nigdeli, S. M.; Bekdas, G.; Yang, X.-S. (2018).</w:t>
      </w:r>
      <w:r>
        <w:t xml:space="preserve"> </w:t>
      </w:r>
      <w:r>
        <w:rPr>
          <w:i/>
          <w:iCs/>
        </w:rPr>
        <w:t xml:space="preserve">Metaheuristic Optimization of Reinforced Concrete Footings</w:t>
      </w:r>
      <w:r>
        <w:t xml:space="preserve">. DOI:</w:t>
      </w:r>
      <w:r>
        <w:t xml:space="preserve"> </w:t>
      </w:r>
      <w:r>
        <w:rPr>
          <w:rStyle w:val="VerbatimChar"/>
        </w:rPr>
        <w:t xml:space="preserve">10.1007/s12205-018-2010-6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Waheed et al. (2022, 2025), sobre ferramentas e otimização econômica de sapatas de concreto armado.</w:t>
      </w:r>
    </w:p>
    <w:p>
      <w:pPr>
        <w:pStyle w:val="FirstParagraph"/>
      </w:pPr>
      <w:r>
        <w:rPr>
          <w:b/>
          <w:bCs/>
        </w:rPr>
        <w:t xml:space="preserve">Otimização e modelos substitutos</w:t>
      </w:r>
    </w:p>
    <w:p>
      <w:pPr>
        <w:pStyle w:val="Compact"/>
        <w:numPr>
          <w:ilvl w:val="0"/>
          <w:numId w:val="1017"/>
        </w:numPr>
      </w:pPr>
      <w:r>
        <w:t xml:space="preserve">Jones, Schonlau e Welch (1998), base do EGO. DOI:</w:t>
      </w:r>
      <w:r>
        <w:t xml:space="preserve"> </w:t>
      </w:r>
      <w:r>
        <w:rPr>
          <w:rStyle w:val="VerbatimChar"/>
        </w:rPr>
        <w:t xml:space="preserve">10.1023/A:1008306431147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Williams e Rasmussen (1995), base de processos gaussianos para regressão.</w:t>
      </w:r>
    </w:p>
    <w:p>
      <w:pPr>
        <w:pStyle w:val="Compact"/>
        <w:numPr>
          <w:ilvl w:val="0"/>
          <w:numId w:val="1017"/>
        </w:numPr>
      </w:pPr>
      <w:r>
        <w:t xml:space="preserve">Shahriari et al. (2016) e Schulz et al. (2018), revisão/tutorial de Bayesian Optimization e GPR.</w:t>
      </w:r>
    </w:p>
    <w:p>
      <w:pPr>
        <w:pStyle w:val="Compact"/>
        <w:numPr>
          <w:ilvl w:val="0"/>
          <w:numId w:val="1017"/>
        </w:numPr>
      </w:pPr>
      <w:r>
        <w:t xml:space="preserve">Gardner et al. (2014), base do CBO com restrições de desigualdade. Fonte: PMLR.</w:t>
      </w:r>
    </w:p>
    <w:p>
      <w:pPr>
        <w:pStyle w:val="Compact"/>
        <w:numPr>
          <w:ilvl w:val="0"/>
          <w:numId w:val="1017"/>
        </w:numPr>
      </w:pPr>
      <w:r>
        <w:t xml:space="preserve">Eriksson e Poloczek (2021), SCBO como caminho escalável futuro.</w:t>
      </w:r>
    </w:p>
    <w:p>
      <w:pPr>
        <w:pStyle w:val="Compact"/>
        <w:numPr>
          <w:ilvl w:val="0"/>
          <w:numId w:val="1017"/>
        </w:numPr>
      </w:pPr>
      <w:r>
        <w:t xml:space="preserve">Mathern et al. (2021), uso de CBO em projeto estrutural. DOI:</w:t>
      </w:r>
      <w:r>
        <w:t xml:space="preserve"> </w:t>
      </w:r>
      <w:r>
        <w:rPr>
          <w:rStyle w:val="VerbatimChar"/>
        </w:rPr>
        <w:t xml:space="preserve">10.1007/s00158-020-02720-2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Geotecnia baseada em dados</w:t>
      </w:r>
    </w:p>
    <w:p>
      <w:pPr>
        <w:pStyle w:val="Compact"/>
        <w:numPr>
          <w:ilvl w:val="0"/>
          <w:numId w:val="1018"/>
        </w:numPr>
      </w:pPr>
      <w:r>
        <w:t xml:space="preserve">Ahmad et al. (2021), GPR para capacidade de carga de fundações superficiais. DOI:</w:t>
      </w:r>
      <w:r>
        <w:t xml:space="preserve"> </w:t>
      </w:r>
      <w:r>
        <w:rPr>
          <w:rStyle w:val="VerbatimChar"/>
        </w:rPr>
        <w:t xml:space="preserve">10.3390/app112110317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Khajehzadeh, Keawsawasvong e Nehdi (2022), soft computing em capacidade de carga e otimização de fundações. DOI:</w:t>
      </w:r>
      <w:r>
        <w:t xml:space="preserve"> </w:t>
      </w:r>
      <w:r>
        <w:rPr>
          <w:rStyle w:val="VerbatimChar"/>
        </w:rPr>
        <w:t xml:space="preserve">10.3390/su14031847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Fattahi, Ghaedi e Armaghani (2025), previsão de recalques com técnicas inteligentes. DOI:</w:t>
      </w:r>
      <w:r>
        <w:t xml:space="preserve"> </w:t>
      </w:r>
      <w:r>
        <w:rPr>
          <w:rStyle w:val="VerbatimChar"/>
        </w:rPr>
        <w:t xml:space="preserve">10.32604/cmes.2025.062390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resumo-curto"/>
    <w:p>
      <w:pPr>
        <w:pStyle w:val="Heading2"/>
      </w:pPr>
      <w:r>
        <w:t xml:space="preserve">13. Resumo curto</w:t>
      </w:r>
    </w:p>
    <w:p>
      <w:pPr>
        <w:pStyle w:val="FirstParagraph"/>
      </w:pPr>
      <w:r>
        <w:t xml:space="preserve">Desde a vetorização da sobreposição, o FundaIA deixou de ser apenas uma implementação rápida da função objetivo e passou a ter uma base experimental mais completa. A engenharia foi corrigida em pontos importantes, principalmente tensão no solo e punção</w:t>
      </w:r>
      <w:r>
        <w:t xml:space="preserve"> </w:t>
      </w:r>
      <w:r>
        <w:rPr>
          <w:rStyle w:val="VerbatimChar"/>
        </w:rPr>
        <w:t xml:space="preserve">C'</w:t>
      </w:r>
      <w:r>
        <w:t xml:space="preserve">. O protocolo experimental foi fechado com seeds, orçamento, estatística e artefatos regeneráveis. O artigo ficou mais honesto ao assumir o escopo de pré-dimensionamento geométrico e ao mostrar que os casos atuais são quase separáveis.</w:t>
      </w:r>
    </w:p>
    <w:p>
      <w:pPr>
        <w:pStyle w:val="BodyText"/>
      </w:pPr>
      <w:r>
        <w:t xml:space="preserve">O projeto está em bom estado para apresentação e discussão. O que ainda precisa de atenção antes de uma submissão mais forte é a parte geotécnica da tensão admissível por SPT, a separação formal das combinações de ações, a padronização normativa e a transformação da Fase B de packing em experimento completo.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2026-07-15T15:01:45Z</dcterms:created>
  <dcterms:modified xsi:type="dcterms:W3CDTF">2026-07-15T15:01:45Z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