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Noto Sans CJK SC"/>
          <w:b w:val="0"/>
          <w:i w:val="0"/>
        </w:rPr>
        <w:t>无量山｜项目交接文档</w:t>
      </w:r>
    </w:p>
    <w:p>
      <w:pPr>
        <w:pStyle w:val="Subtitle"/>
      </w:pPr>
      <w:r>
        <w:rPr>
          <w:rFonts w:ascii="Calibri" w:hAnsi="Calibri" w:eastAsia="Noto Sans CJK SC"/>
          <w:b w:val="0"/>
          <w:i w:val="0"/>
        </w:rPr>
        <w:t>v0.3 · 接手与实施入口</w:t>
      </w:r>
    </w:p>
    <w:p>
      <w:pPr/>
      <w:r>
        <w:rPr>
          <w:rFonts w:ascii="Calibri" w:hAnsi="Calibri" w:eastAsia="Noto Sans CJK SC"/>
          <w:b w:val="0"/>
          <w:i w:val="0"/>
        </w:rPr>
      </w:r>
      <w:r>
        <w:rPr>
          <w:rFonts w:ascii="Calibri" w:hAnsi="Calibri" w:eastAsia="Noto Sans CJK SC"/>
          <w:b/>
          <w:i w:val="0"/>
        </w:rPr>
        <w:t>交接日期：2026-10-17（Asia/Taipei）</w:t>
      </w:r>
      <w:r>
        <w:rPr>
          <w:rFonts w:ascii="Calibri" w:hAnsi="Calibri" w:eastAsia="Noto Sans CJK SC"/>
          <w:b w:val="0"/>
          <w:i w:val="0"/>
        </w:rPr>
      </w:r>
    </w:p>
    <w:p>
      <w:pPr/>
      <w:r>
        <w:rPr>
          <w:rFonts w:ascii="Calibri" w:hAnsi="Calibri" w:eastAsia="Noto Sans CJK SC"/>
          <w:b w:val="0"/>
          <w:i w:val="0"/>
        </w:rPr>
        <w:t>本项目是 C++ 核心、Linux 优先的通用多 Agent 系统，不是另一项搜索聚合工具，也不是 SVG 动画任务。本交接将实际已有成果与后续设计集中保存，供新会话或开发者继续工作。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13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164F58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/>
                <w:i w:val="0"/>
                <w:color w:val="FFFFFF"/>
                <w:sz w:val="18"/>
              </w:rPr>
              <w:t>项目状态</w:t>
            </w:r>
          </w:p>
        </w:tc>
        <w:tc>
          <w:tcPr>
            <w:tcW w:type="dxa" w:w="7313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164F58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/>
                <w:i w:val="0"/>
                <w:color w:val="FFFFFF"/>
                <w:sz w:val="18"/>
              </w:rPr>
              <w:t>截至本次交付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已完成</w:t>
            </w:r>
          </w:p>
        </w:tc>
        <w:tc>
          <w:tcPr>
            <w:tcW w:type="dxa" w:w="7313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两版历史设计原件、本次最新设计整理、记忆/工具草案、交接与追踪、模板及包校验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尚未完成</w:t>
            </w:r>
          </w:p>
        </w:tc>
        <w:tc>
          <w:tcPr>
            <w:tcW w:type="dxa" w:w="7313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Agent C++ 实现、基础包安装、MCP/A2A 接入、模型/缓存联调、记忆引擎与业务测试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本包代码状态</w:t>
            </w:r>
          </w:p>
        </w:tc>
        <w:tc>
          <w:tcPr>
            <w:tcW w:type="dxa" w:w="7313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没有可运行产品源码、二进制、Git 仓库或开发提交记录；示例为契约草案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本包检查</w:t>
            </w:r>
          </w:p>
        </w:tc>
        <w:tc>
          <w:tcPr>
            <w:tcW w:type="dxa" w:w="7313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文件存在性、原件一致性、结构/格式、文档排版和压缩包完整性；不等于业务验收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 w:val="0"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聊天档案</w:t>
            </w:r>
          </w:p>
        </w:tc>
        <w:tc>
          <w:tcPr>
            <w:tcW w:type="dxa" w:w="7313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 w:val="0"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当前可见 21 条用户原文＋前 20 轮助手要点；非平台全量逐字导出</w:t>
            </w:r>
          </w:p>
        </w:tc>
      </w:tr>
    </w:tbl>
    <w:p>
      <w:pPr>
        <w:spacing w:after="20"/>
      </w:pPr>
    </w:p>
    <w:p>
      <w:pPr/>
      <w:r>
        <w:rPr>
          <w:rFonts w:ascii="Calibri" w:hAnsi="Calibri" w:eastAsia="Noto Sans CJK SC"/>
          <w:b w:val="0"/>
          <w:i w:val="0"/>
        </w:rPr>
      </w:r>
      <w:r>
        <w:rPr>
          <w:rFonts w:ascii="Calibri" w:hAnsi="Calibri" w:eastAsia="Noto Sans CJK SC"/>
          <w:b/>
          <w:i w:val="0"/>
        </w:rPr>
        <w:t>先读这个文件，再读 01_最新设计。不要从 v0.1 的旧三层角色直接开工。</w:t>
      </w:r>
      <w:r>
        <w:rPr>
          <w:rFonts w:ascii="Calibri" w:hAnsi="Calibri" w:eastAsia="Noto Sans CJK SC"/>
          <w:b w:val="0"/>
          <w:i w:val="0"/>
        </w:rPr>
      </w:r>
    </w:p>
    <w:p>
      <w:r>
        <w:br w:type="page"/>
      </w:r>
    </w:p>
    <w:p>
      <w:pPr>
        <w:pStyle w:val="Heading1"/>
      </w:pPr>
      <w:r>
        <w:rPr>
          <w:rFonts w:ascii="Calibri" w:hAnsi="Calibri" w:eastAsia="Noto Sans CJK SC"/>
          <w:b w:val="0"/>
          <w:i w:val="0"/>
        </w:rPr>
        <w:t>1. 不可退回的设计方向</w:t>
      </w:r>
    </w:p>
    <w:p>
      <w:pPr/>
      <w:r>
        <w:rPr>
          <w:rFonts w:ascii="Calibri" w:hAnsi="Calibri" w:eastAsia="Noto Sans CJK SC"/>
          <w:b w:val="0"/>
          <w:i w:val="0"/>
        </w:rPr>
        <w:t>四角色为 Root → Dispatcher → TeamLead → Worker。Root 是功能级稳定入口，只处理外部沟通；每独立请求有自己的 Dispatcher，承担规划、协调、变更、验收，可并行管理多个 TeamLead＋Worker 团队。只有 Worker 执行业务操作，管理与资源回收由运行时受控完成。</w:t>
      </w:r>
    </w:p>
    <w:p>
      <w:pPr/>
      <w:r>
        <w:rPr>
          <w:rFonts w:ascii="Calibri" w:hAnsi="Calibri" w:eastAsia="Noto Sans CJK SC"/>
          <w:b w:val="0"/>
          <w:i w:val="0"/>
        </w:rPr>
        <w:t>独立请求与后续消息区分；任务、计划、执行应用和状态版本区分；旧结果不能覆盖新要求。不同请求并行、同一对象状态提交有序。不能因为逻辑主身份固定就让所有规划共用一个串行模型会话。</w:t>
      </w:r>
    </w:p>
    <w:p>
      <w:pPr/>
      <w:r>
        <w:rPr>
          <w:rFonts w:ascii="Calibri" w:hAnsi="Calibri" w:eastAsia="Noto Sans CJK SC"/>
          <w:b w:val="0"/>
          <w:i w:val="0"/>
        </w:rPr>
        <w:t>模型与思考等级独立设置，未设字段直接继承所属 Root。工具权限按角色和任务决定，不套用模型继承。端点、工具与协议兼容按能力登记，不能声称支持所有供应商全部特性。</w:t>
      </w:r>
    </w:p>
    <w:p>
      <w:pPr/>
      <w:r>
        <w:rPr>
          <w:rFonts w:ascii="Calibri" w:hAnsi="Calibri" w:eastAsia="Noto Sans CJK SC"/>
          <w:b w:val="0"/>
          <w:i w:val="0"/>
        </w:rPr>
        <w:t>工作流和互调用同一任务内核。跨 Agent 通过对方 Root，不能指挥对方 Worker。固定外层审核与交付，内部允许有限动态计划。候选成果触发审核；审核不通过报告仍可完成审核任务。</w:t>
      </w:r>
    </w:p>
    <w:p>
      <w:pPr/>
      <w:r>
        <w:rPr>
          <w:rFonts w:ascii="Calibri" w:hAnsi="Calibri" w:eastAsia="Noto Sans CJK SC"/>
          <w:b w:val="0"/>
          <w:i w:val="0"/>
        </w:rPr>
        <w:t>通用基础包一次准备、版本固定、团队私有空间、统一接口和执行边界。不要把主机 Shell 默认开放给所有角色，也不要每个团队重复安装相同基础环境。</w:t>
      </w:r>
    </w:p>
    <w:p>
      <w:pPr/>
      <w:r>
        <w:rPr>
          <w:rFonts w:ascii="Calibri" w:hAnsi="Calibri" w:eastAsia="Noto Sans CJK SC"/>
          <w:b w:val="0"/>
          <w:i w:val="0"/>
        </w:rPr>
        <w:t>知识统一为类型化记忆，所有自产或下载内容带标签/来源/条件；Wiki＋RAG 随阶段激活；强制规则确定性生效。经验和 Skill 的生成借鉴 Hermes，交接报告可附候选补丁，正式发布要有验证与授权。</w:t>
      </w:r>
    </w:p>
    <w:p>
      <w:pPr/>
      <w:r>
        <w:rPr>
          <w:rFonts w:ascii="Calibri" w:hAnsi="Calibri" w:eastAsia="Noto Sans CJK SC"/>
          <w:b w:val="0"/>
          <w:i w:val="0"/>
        </w:rPr>
        <w:t>方法冲突先并存比较，按实际证据和场景调整推荐；多次验证再整合、归档。不得按热度当正确，合并新方法须重新验证。更新证据不必重写正文，方法版本不可无声改写。</w:t>
      </w:r>
    </w:p>
    <w:p>
      <w:pPr>
        <w:pStyle w:val="Heading1"/>
      </w:pPr>
      <w:r>
        <w:rPr>
          <w:rFonts w:ascii="Calibri" w:hAnsi="Calibri" w:eastAsia="Noto Sans CJK SC"/>
          <w:b w:val="0"/>
          <w:i w:val="0"/>
        </w:rPr>
        <w:t>2. 哪些仍是建议，而不是已批准配置</w:t>
      </w:r>
    </w:p>
    <w:p>
      <w:pPr/>
      <w:r>
        <w:rPr>
          <w:rFonts w:ascii="Calibri" w:hAnsi="Calibri" w:eastAsia="Noto Sans CJK SC"/>
          <w:b w:val="0"/>
          <w:i w:val="0"/>
        </w:rPr>
        <w:t>MemoryEngine 独立开发、MemoryBridge 深度接入、首版同进程内置而后服务化，是最后一轮的推荐路线，尚待确认部署取舍。浅分类/常用入口/混合检索也是建议组合，数据库、向量模型、分类深度和排序参数未确定。</w:t>
      </w:r>
    </w:p>
    <w:p>
      <w:pPr/>
      <w:r>
        <w:rPr>
          <w:rFonts w:ascii="Calibri" w:hAnsi="Calibri" w:eastAsia="Noto Sans CJK SC"/>
          <w:b w:val="0"/>
          <w:i w:val="0"/>
        </w:rPr>
        <w:t>运行时基本准入、两类清除政策、回执窗口、权限审批边界、经验预授权、独立验证等级与团队提前回收都要形成明确政策。用户要求低延迟和删除记录，不等于授权无限进程、不鉴权、永久保存或自动全局发布。</w:t>
      </w:r>
    </w:p>
    <w:p>
      <w:pPr/>
      <w:r>
        <w:rPr>
          <w:rFonts w:ascii="Calibri" w:hAnsi="Calibri" w:eastAsia="Noto Sans CJK SC"/>
          <w:b w:val="0"/>
          <w:i w:val="0"/>
        </w:rPr>
      </w:r>
      <w:r>
        <w:rPr>
          <w:rFonts w:ascii="Calibri" w:hAnsi="Calibri" w:eastAsia="Noto Sans CJK SC"/>
          <w:b/>
          <w:i w:val="0"/>
        </w:rPr>
        <w:t>不得把打包请求当成“所有建议已批准”，也不得因为本文是交接稿就声称已经实现。</w:t>
      </w:r>
      <w:r>
        <w:rPr>
          <w:rFonts w:ascii="Calibri" w:hAnsi="Calibri" w:eastAsia="Noto Sans CJK SC"/>
          <w:b w:val="0"/>
          <w:i w:val="0"/>
        </w:rPr>
      </w:r>
    </w:p>
    <w:p>
      <w:pPr>
        <w:pStyle w:val="Heading1"/>
      </w:pPr>
      <w:r>
        <w:rPr>
          <w:rFonts w:ascii="Calibri" w:hAnsi="Calibri" w:eastAsia="Noto Sans CJK SC"/>
          <w:b w:val="0"/>
          <w:i w:val="0"/>
        </w:rPr>
        <w:t>3. 文件与阅读路径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6"/>
        <w:gridCol w:w="3940"/>
        <w:gridCol w:w="3855"/>
      </w:tblGrid>
      <w:tr>
        <w:trPr>
          <w:cantSplit/>
          <w:tblHeader/>
        </w:trPr>
        <w:tc>
          <w:tcPr>
            <w:tcW w:type="dxa" w:w="17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164F58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/>
                <w:i w:val="0"/>
                <w:color w:val="FFFFFF"/>
                <w:sz w:val="18"/>
              </w:rPr>
              <w:t>目录</w:t>
            </w:r>
          </w:p>
        </w:tc>
        <w:tc>
          <w:tcPr>
            <w:tcW w:type="dxa" w:w="394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164F58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/>
                <w:i w:val="0"/>
                <w:color w:val="FFFFFF"/>
                <w:sz w:val="18"/>
              </w:rPr>
              <w:t>内容</w:t>
            </w:r>
          </w:p>
        </w:tc>
        <w:tc>
          <w:tcPr>
            <w:tcW w:type="dxa" w:w="385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164F58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/>
                <w:i w:val="0"/>
                <w:color w:val="FFFFFF"/>
                <w:sz w:val="18"/>
              </w:rPr>
              <w:t>接手用途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01_最新设计</w:t>
            </w:r>
          </w:p>
        </w:tc>
        <w:tc>
          <w:tcPr>
            <w:tcW w:type="dxa" w:w="394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综合设计 v0.3、记忆引擎规格、基础包规格</w:t>
            </w:r>
          </w:p>
        </w:tc>
        <w:tc>
          <w:tcPr>
            <w:tcW w:type="dxa" w:w="385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当前内容入口；后两份为细化草案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02_交接与执行计划</w:t>
            </w:r>
          </w:p>
        </w:tc>
        <w:tc>
          <w:tcPr>
            <w:tcW w:type="dxa" w:w="394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本文、接续提示、决策/待定项、需求追踪、拟定验收矩阵</w:t>
            </w:r>
          </w:p>
        </w:tc>
        <w:tc>
          <w:tcPr>
            <w:tcW w:type="dxa" w:w="385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决定下一批实现与验收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03_聊天档案</w:t>
            </w:r>
          </w:p>
        </w:tc>
        <w:tc>
          <w:tcPr>
            <w:tcW w:type="dxa" w:w="394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用户原文＋助手要点的 MD/JSON/HTML 与范围说明</w:t>
            </w:r>
          </w:p>
        </w:tc>
        <w:tc>
          <w:tcPr>
            <w:tcW w:type="dxa" w:w="385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追溯 T01—T21，不误用旧解释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04_历史原件</w:t>
            </w:r>
          </w:p>
        </w:tc>
        <w:tc>
          <w:tcPr>
            <w:tcW w:type="dxa" w:w="394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v0.1/v0.2 的 DOCX 和 MD，共四件</w:t>
            </w:r>
          </w:p>
        </w:tc>
        <w:tc>
          <w:tcPr>
            <w:tcW w:type="dxa" w:w="385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逐字节保留，不改旧文件来伪装历史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05_契约与模板</w:t>
            </w:r>
          </w:p>
        </w:tc>
        <w:tc>
          <w:tcPr>
            <w:tcW w:type="dxa" w:w="394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配置草案、记忆/证据样例、经验与交接模板</w:t>
            </w:r>
          </w:p>
        </w:tc>
        <w:tc>
          <w:tcPr>
            <w:tcW w:type="dxa" w:w="385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设计输入；不是可运行产品格式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 w:val="0"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06_清单与校验</w:t>
            </w:r>
          </w:p>
        </w:tc>
        <w:tc>
          <w:tcPr>
            <w:tcW w:type="dxa" w:w="394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 w:val="0"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文件清单、SHA-256、来源与检查说明</w:t>
            </w:r>
          </w:p>
        </w:tc>
        <w:tc>
          <w:tcPr>
            <w:tcW w:type="dxa" w:w="385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 w:val="0"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核对压缩包与交付边界</w:t>
            </w:r>
          </w:p>
        </w:tc>
      </w:tr>
    </w:tbl>
    <w:p>
      <w:pPr>
        <w:spacing w:after="20"/>
      </w:pPr>
    </w:p>
    <w:p>
      <w:pPr/>
      <w:r>
        <w:rPr>
          <w:rFonts w:ascii="Calibri" w:hAnsi="Calibri" w:eastAsia="Noto Sans CJK SC"/>
          <w:b w:val="0"/>
          <w:i w:val="0"/>
        </w:rPr>
        <w:t>建议阅读顺序为：本文→综合设计→统一记忆规格→决策与待定项→需求追踪与验收矩阵→对应原文轮次。旧文档中供应商参数与代码主干研究作为历史依据，实施前重新核验准确版本，不自动当成当前 API。</w:t>
      </w:r>
    </w:p>
    <w:p>
      <w:pPr>
        <w:pStyle w:val="Heading1"/>
      </w:pPr>
      <w:r>
        <w:rPr>
          <w:rFonts w:ascii="Calibri" w:hAnsi="Calibri" w:eastAsia="Noto Sans CJK SC"/>
          <w:b w:val="0"/>
          <w:i w:val="0"/>
        </w:rPr>
        <w:t>4. 关键待决策项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6"/>
        <w:gridCol w:w="3940"/>
        <w:gridCol w:w="3855"/>
      </w:tblGrid>
      <w:tr>
        <w:trPr>
          <w:cantSplit/>
          <w:tblHeader/>
        </w:trPr>
        <w:tc>
          <w:tcPr>
            <w:tcW w:type="dxa" w:w="17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164F58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394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164F58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/>
                <w:i w:val="0"/>
                <w:color w:val="FFFFFF"/>
                <w:sz w:val="18"/>
              </w:rPr>
              <w:t>要决定什么</w:t>
            </w:r>
          </w:p>
        </w:tc>
        <w:tc>
          <w:tcPr>
            <w:tcW w:type="dxa" w:w="385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164F58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/>
                <w:i w:val="0"/>
                <w:color w:val="FFFFFF"/>
                <w:sz w:val="18"/>
              </w:rPr>
              <w:t>影响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 w:val="0"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Q01</w:t>
            </w:r>
          </w:p>
        </w:tc>
        <w:tc>
          <w:tcPr>
            <w:tcW w:type="dxa" w:w="394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 w:val="0"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Linux 发行版、CPU 架构、运行身份和可用隔离权限</w:t>
            </w:r>
          </w:p>
        </w:tc>
        <w:tc>
          <w:tcPr>
            <w:tcW w:type="dxa" w:w="385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 w:val="0"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安装、工具执行、进程治理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 w:val="0"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Q02</w:t>
            </w:r>
          </w:p>
        </w:tc>
        <w:tc>
          <w:tcPr>
            <w:tcW w:type="dxa" w:w="394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 w:val="0"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首批模型端点、模型/思考默认、密钥管理</w:t>
            </w:r>
          </w:p>
        </w:tc>
        <w:tc>
          <w:tcPr>
            <w:tcW w:type="dxa" w:w="385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 w:val="0"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ModelAdapter、测试与费用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 w:val="0"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Q03</w:t>
            </w:r>
          </w:p>
        </w:tc>
        <w:tc>
          <w:tcPr>
            <w:tcW w:type="dxa" w:w="394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 w:val="0"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并发、请求/团队额度、预算和截止策略</w:t>
            </w:r>
          </w:p>
        </w:tc>
        <w:tc>
          <w:tcPr>
            <w:tcW w:type="dxa" w:w="385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 w:val="0"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排队、公平性、防卡死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 w:val="0"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Q04</w:t>
            </w:r>
          </w:p>
        </w:tc>
        <w:tc>
          <w:tcPr>
            <w:tcW w:type="dxa" w:w="394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 w:val="0"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必需审核、争议裁决、发布审批的主体</w:t>
            </w:r>
          </w:p>
        </w:tc>
        <w:tc>
          <w:tcPr>
            <w:tcW w:type="dxa" w:w="385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 w:val="0"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交付谓词与知识晋升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 w:val="0"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Q05</w:t>
            </w:r>
          </w:p>
        </w:tc>
        <w:tc>
          <w:tcPr>
            <w:tcW w:type="dxa" w:w="394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 w:val="0"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对外交付何种回执算成功</w:t>
            </w:r>
          </w:p>
        </w:tc>
        <w:tc>
          <w:tcPr>
            <w:tcW w:type="dxa" w:w="385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 w:val="0"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最终清理前置条件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 w:val="0"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Q06</w:t>
            </w:r>
          </w:p>
        </w:tc>
        <w:tc>
          <w:tcPr>
            <w:tcW w:type="dxa" w:w="394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 w:val="0"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严格清除还是受控保留，回执/去重窗口</w:t>
            </w:r>
          </w:p>
        </w:tc>
        <w:tc>
          <w:tcPr>
            <w:tcW w:type="dxa" w:w="385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 w:val="0"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恢复、隐私、磁盘与审计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 w:val="0"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Q07</w:t>
            </w:r>
          </w:p>
        </w:tc>
        <w:tc>
          <w:tcPr>
            <w:tcW w:type="dxa" w:w="394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 w:val="0"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经验保留授权、项目/全局范围、证据保留</w:t>
            </w:r>
          </w:p>
        </w:tc>
        <w:tc>
          <w:tcPr>
            <w:tcW w:type="dxa" w:w="385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 w:val="0"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记忆沉淀能否与删除兼容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 w:val="0"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Q08</w:t>
            </w:r>
          </w:p>
        </w:tc>
        <w:tc>
          <w:tcPr>
            <w:tcW w:type="dxa" w:w="394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 w:val="0"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记忆核心是否首版内置、存储/索引候选</w:t>
            </w:r>
          </w:p>
        </w:tc>
        <w:tc>
          <w:tcPr>
            <w:tcW w:type="dxa" w:w="385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 w:val="0"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模块实现、故障隔离、部署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 w:val="0"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Q09</w:t>
            </w:r>
          </w:p>
        </w:tc>
        <w:tc>
          <w:tcPr>
            <w:tcW w:type="dxa" w:w="394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 w:val="0"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验证样本/风险等级、权重和合并阈值</w:t>
            </w:r>
          </w:p>
        </w:tc>
        <w:tc>
          <w:tcPr>
            <w:tcW w:type="dxa" w:w="385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 w:val="0"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防止误晋升与错误淘汰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 w:val="0"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Q10</w:t>
            </w:r>
          </w:p>
        </w:tc>
        <w:tc>
          <w:tcPr>
            <w:tcW w:type="dxa" w:w="394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 w:val="0"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工具基础包版本、扩展与首批 MCP/插件</w:t>
            </w:r>
          </w:p>
        </w:tc>
        <w:tc>
          <w:tcPr>
            <w:tcW w:type="dxa" w:w="385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 w:val="0"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安装与兼容性矩阵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Q11</w:t>
            </w:r>
          </w:p>
        </w:tc>
        <w:tc>
          <w:tcPr>
            <w:tcW w:type="dxa" w:w="394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检索、缓存、任务质量/延迟/费用目标</w:t>
            </w:r>
          </w:p>
        </w:tc>
        <w:tc>
          <w:tcPr>
            <w:tcW w:type="dxa" w:w="385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性能与效果验收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 w:val="0"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Q12</w:t>
            </w:r>
          </w:p>
        </w:tc>
        <w:tc>
          <w:tcPr>
            <w:tcW w:type="dxa" w:w="394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 w:val="0"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Windows、独立服务、可视化界面的阶段</w:t>
            </w:r>
          </w:p>
        </w:tc>
        <w:tc>
          <w:tcPr>
            <w:tcW w:type="dxa" w:w="385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 w:val="0"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后续路线，不阻塞 Linux 核心闭环</w:t>
            </w:r>
          </w:p>
        </w:tc>
      </w:tr>
    </w:tbl>
    <w:p>
      <w:pPr>
        <w:spacing w:after="20"/>
      </w:pPr>
    </w:p>
    <w:p>
      <w:pPr/>
      <w:r>
        <w:rPr>
          <w:rFonts w:ascii="Calibri" w:hAnsi="Calibri" w:eastAsia="Noto Sans CJK SC"/>
          <w:b w:val="0"/>
          <w:i w:val="0"/>
        </w:rPr>
        <w:t>Q 项未决时可以实现契约和测试替身，但不能凭占位值消费真实模型额度、执行高风险外部动作或清除真实数据。</w:t>
      </w:r>
    </w:p>
    <w:p>
      <w:pPr>
        <w:pStyle w:val="Heading1"/>
      </w:pPr>
      <w:r>
        <w:rPr>
          <w:rFonts w:ascii="Calibri" w:hAnsi="Calibri" w:eastAsia="Noto Sans CJK SC"/>
          <w:b w:val="0"/>
          <w:i w:val="0"/>
        </w:rPr>
        <w:t>5. 推荐接续实施批次</w:t>
      </w:r>
    </w:p>
    <w:p>
      <w:pPr/>
      <w:r>
        <w:rPr>
          <w:rFonts w:ascii="Calibri" w:hAnsi="Calibri" w:eastAsia="Noto Sans CJK SC"/>
          <w:b w:val="0"/>
          <w:i w:val="0"/>
        </w:rPr>
      </w:r>
      <w:r>
        <w:rPr>
          <w:rFonts w:ascii="Calibri" w:hAnsi="Calibri" w:eastAsia="Noto Sans CJK SC"/>
          <w:b/>
          <w:i w:val="0"/>
        </w:rPr>
        <w:t>第一批：状态与契约，不先造庞大记忆库。</w:t>
      </w:r>
      <w:r>
        <w:rPr>
          <w:rFonts w:ascii="Calibri" w:hAnsi="Calibri" w:eastAsia="Noto Sans CJK SC"/>
          <w:b w:val="0"/>
          <w:i w:val="0"/>
        </w:rPr>
        <w:t xml:space="preserve"> 建立源码仓库、C++ 构建、核心数据模型、事件信封、请求去重、调度唯一代次与状态条件更新。以不调用模型的模拟执行验证并发请求、变更路由、恢复与取消。源码和构建命令从这一批开始产生，本包没有预先生成假仓库。</w:t>
      </w:r>
    </w:p>
    <w:p>
      <w:pPr/>
      <w:r>
        <w:rPr>
          <w:rFonts w:ascii="Calibri" w:hAnsi="Calibri" w:eastAsia="Noto Sans CJK SC"/>
          <w:b w:val="0"/>
          <w:i w:val="0"/>
        </w:rPr>
      </w:r>
      <w:r>
        <w:rPr>
          <w:rFonts w:ascii="Calibri" w:hAnsi="Calibri" w:eastAsia="Noto Sans CJK SC"/>
          <w:b/>
          <w:i w:val="0"/>
        </w:rPr>
        <w:t>第二批：基础工具闭环。</w:t>
      </w:r>
      <w:r>
        <w:rPr>
          <w:rFonts w:ascii="Calibri" w:hAnsi="Calibri" w:eastAsia="Noto Sans CJK SC"/>
          <w:b w:val="0"/>
          <w:i w:val="0"/>
        </w:rPr>
        <w:t xml:space="preserve"> 在目标 Linux 验证环境包、Worker 文件/进程工具、目录与身份隔离、异步输出、超时和清理。用一个明确选定端点跑接单—规划—团队执行—候选—验收—交付。未配置真实授权前只用测试文件和受控对象。</w:t>
      </w:r>
    </w:p>
    <w:p>
      <w:pPr/>
      <w:r>
        <w:rPr>
          <w:rFonts w:ascii="Calibri" w:hAnsi="Calibri" w:eastAsia="Noto Sans CJK SC"/>
          <w:b w:val="0"/>
          <w:i w:val="0"/>
        </w:rPr>
      </w:r>
      <w:r>
        <w:rPr>
          <w:rFonts w:ascii="Calibri" w:hAnsi="Calibri" w:eastAsia="Noto Sans CJK SC"/>
          <w:b/>
          <w:i w:val="0"/>
        </w:rPr>
        <w:t>第三批：互调与工作流。</w:t>
      </w:r>
      <w:r>
        <w:rPr>
          <w:rFonts w:ascii="Calibri" w:hAnsi="Calibri" w:eastAsia="Noto Sans CJK SC"/>
          <w:b w:val="0"/>
          <w:i w:val="0"/>
        </w:rPr>
        <w:t xml:space="preserve"> 实现 AgentRegistry、InvocationService 和有界流程，验证开发/Review 只是通用性样例；再以不同功能模板证明不写死业务。并行、返工、失败、过期结果、审核证据和资源汇合须有测试。</w:t>
      </w:r>
    </w:p>
    <w:p>
      <w:pPr/>
      <w:r>
        <w:rPr>
          <w:rFonts w:ascii="Calibri" w:hAnsi="Calibri" w:eastAsia="Noto Sans CJK SC"/>
          <w:b w:val="0"/>
          <w:i w:val="0"/>
        </w:rPr>
      </w:r>
      <w:r>
        <w:rPr>
          <w:rFonts w:ascii="Calibri" w:hAnsi="Calibri" w:eastAsia="Noto Sans CJK SC"/>
          <w:b/>
          <w:i w:val="0"/>
        </w:rPr>
        <w:t>第四批：记忆最小闭环。</w:t>
      </w:r>
      <w:r>
        <w:rPr>
          <w:rFonts w:ascii="Calibri" w:hAnsi="Calibri" w:eastAsia="Noto Sans CJK SC"/>
          <w:b w:val="0"/>
          <w:i w:val="0"/>
        </w:rPr>
        <w:t xml:space="preserve"> 实现登记、明确 ID/基础搜索、工作记忆绑定、证据、验证发布、撤销与清除。先证明“用了什么、凭什么发布、错了能停用”，再引入复杂 Wiki 和向量排序。</w:t>
      </w:r>
    </w:p>
    <w:p>
      <w:pPr/>
      <w:r>
        <w:rPr>
          <w:rFonts w:ascii="Calibri" w:hAnsi="Calibri" w:eastAsia="Noto Sans CJK SC"/>
          <w:b w:val="0"/>
          <w:i w:val="0"/>
        </w:rPr>
      </w:r>
      <w:r>
        <w:rPr>
          <w:rFonts w:ascii="Calibri" w:hAnsi="Calibri" w:eastAsia="Noto Sans CJK SC"/>
          <w:b/>
          <w:i w:val="0"/>
        </w:rPr>
        <w:t>第五批：演化与性能。</w:t>
      </w:r>
      <w:r>
        <w:rPr>
          <w:rFonts w:ascii="Calibri" w:hAnsi="Calibri" w:eastAsia="Noto Sans CJK SC"/>
          <w:b w:val="0"/>
          <w:i w:val="0"/>
        </w:rPr>
        <w:t xml:space="preserve"> 加入分类/向量/关系融合、复杂选型、冲突对照、条件化权重、合并归档；与无记忆和固定 Skill 对照。供应商缓存以实际用量核验，不能只凭文本前缀相同宣称命中。</w:t>
      </w:r>
    </w:p>
    <w:p>
      <w:pPr>
        <w:pStyle w:val="Heading1"/>
      </w:pPr>
      <w:r>
        <w:rPr>
          <w:rFonts w:ascii="Calibri" w:hAnsi="Calibri" w:eastAsia="Noto Sans CJK SC"/>
          <w:b w:val="0"/>
          <w:i w:val="0"/>
        </w:rPr>
        <w:t>6. 开发完成定义</w:t>
      </w:r>
    </w:p>
    <w:p>
      <w:pPr/>
      <w:r>
        <w:rPr>
          <w:rFonts w:ascii="Calibri" w:hAnsi="Calibri" w:eastAsia="Noto Sans CJK SC"/>
          <w:b w:val="0"/>
          <w:i w:val="0"/>
        </w:rPr>
        <w:t>每批次交付应包含源代码/版本、配置说明、变更记录、可重复构建方式、实际运行的测试报告、已知缺陷和验收证据。未执行测试写“未执行”，不能把本文拟定用例编号当作通过记录。</w:t>
      </w:r>
    </w:p>
    <w:p>
      <w:pPr/>
      <w:r>
        <w:rPr>
          <w:rFonts w:ascii="Calibri" w:hAnsi="Calibri" w:eastAsia="Noto Sans CJK SC"/>
          <w:b w:val="0"/>
          <w:i w:val="0"/>
        </w:rPr>
        <w:t>高风险操作遵循审批和测试环境；版本状态提交和工具执行两处都检查权限。文档、配置、Schema 与实现有对应版本，不用说明文档掩盖接口差异。接手开发者不得从其他项目复制测试成绩作为本项目结果。</w:t>
      </w:r>
    </w:p>
    <w:p>
      <w:pPr>
        <w:pStyle w:val="Heading1"/>
      </w:pPr>
      <w:r>
        <w:rPr>
          <w:rFonts w:ascii="Calibri" w:hAnsi="Calibri" w:eastAsia="Noto Sans CJK SC"/>
          <w:b w:val="0"/>
          <w:i w:val="0"/>
        </w:rPr>
        <w:t>7. 最大风险与处理原则</w:t>
      </w:r>
    </w:p>
    <w:p>
      <w:pPr/>
      <w:r>
        <w:rPr>
          <w:rFonts w:ascii="Calibri" w:hAnsi="Calibri" w:eastAsia="Noto Sans CJK SC"/>
          <w:b w:val="0"/>
          <w:i w:val="0"/>
        </w:rPr>
        <w:t>任务并发风险靠唯一代次、版本和去重；副作用风险靠核对与幂等；知识污染风险靠来源/候选隔离/受控发布；旧知识风险靠撤销传播和最终激活检查；清理风险靠明确交付回执、正式知识交接和派生删除；性能风险靠预算、阶段检索与基线测试。</w:t>
      </w:r>
    </w:p>
    <w:p>
      <w:pPr/>
      <w:r>
        <w:rPr>
          <w:rFonts w:ascii="Calibri" w:hAnsi="Calibri" w:eastAsia="Noto Sans CJK SC"/>
          <w:b w:val="0"/>
          <w:i w:val="0"/>
        </w:rPr>
        <w:t>不能兼得的承诺须说明：零记录之后没有无限历史去重；有限验证不证明所有场景正确；本地删除不保证远端副本消失；高语义相似不表示方法适用；更多 Agent 不保证线性加速。</w:t>
      </w:r>
    </w:p>
    <w:p>
      <w:pPr>
        <w:pStyle w:val="Heading1"/>
      </w:pPr>
      <w:r>
        <w:rPr>
          <w:rFonts w:ascii="Calibri" w:hAnsi="Calibri" w:eastAsia="Noto Sans CJK SC"/>
          <w:b w:val="0"/>
          <w:i w:val="0"/>
        </w:rPr>
        <w:t>8. 接手后不要重复犯的理解错误</w:t>
      </w:r>
    </w:p>
    <w:p>
      <w:pPr/>
      <w:r>
        <w:rPr>
          <w:rFonts w:ascii="Calibri" w:hAnsi="Calibri" w:eastAsia="Noto Sans CJK SC"/>
          <w:b w:val="0"/>
          <w:i w:val="0"/>
        </w:rPr>
        <w:t>不要恢复旧三层并让 Root 包办所有内部工作。不要限制系统只有两个 Agent。不要让所有模型配置沿父层继承。不要把普通外挂搜索当成深度记忆接入。不要把 Skill 安装当成已授权可执行。不要把经验写入、业务验收和知识发布三个动作混为一谈。不要把归档当删除，也不要把所有未采纳方法算失败。</w:t>
      </w:r>
    </w:p>
    <w:p>
      <w:pPr/>
      <w:r>
        <w:rPr>
          <w:rFonts w:ascii="Calibri" w:hAnsi="Calibri" w:eastAsia="Noto Sans CJK SC"/>
          <w:b w:val="0"/>
          <w:i w:val="0"/>
        </w:rPr>
        <w:t>首版不需要为了“通用”安装全部软件，不需要为了“智能记忆”先建设分布式集群，更不需要为了提高缓存把失效指令永远留在上下文。</w:t>
      </w:r>
    </w:p>
    <w:p>
      <w:pPr>
        <w:pStyle w:val="Heading1"/>
      </w:pPr>
      <w:r>
        <w:rPr>
          <w:rFonts w:ascii="Calibri" w:hAnsi="Calibri" w:eastAsia="Noto Sans CJK SC"/>
          <w:b w:val="0"/>
          <w:i w:val="0"/>
        </w:rPr>
        <w:t>9. 本次交接与聊天边界</w:t>
      </w:r>
    </w:p>
    <w:p>
      <w:pPr/>
      <w:r>
        <w:rPr>
          <w:rFonts w:ascii="Calibri" w:hAnsi="Calibri" w:eastAsia="Noto Sans CJK SC"/>
          <w:b w:val="0"/>
          <w:i w:val="0"/>
        </w:rPr>
        <w:t>已确认四个历史原件在当前运行环境中存在并复制入包。聊天档案保留当前可见用户原文和助手结论，不提供平台原生消息 ID、精确时间或不可见其他窗口。最后一轮“独立引擎/内置模块”建议在追踪表中标为待确认。</w:t>
      </w:r>
    </w:p>
    <w:p>
      <w:pPr/>
      <w:r>
        <w:rPr>
          <w:rFonts w:ascii="Calibri" w:hAnsi="Calibri" w:eastAsia="Noto Sans CJK SC"/>
          <w:b w:val="0"/>
          <w:i w:val="0"/>
        </w:rPr>
        <w:t>未取得本项目实际 C++ 实现、部署地址、仓库提交、模型账号、运行环境配置或业务验收记录。本次没有执行安装、部署、消费模型接口、申请外部权限或删除已有文件。</w:t>
      </w:r>
    </w:p>
    <w:p>
      <w:pPr/>
      <w:r>
        <w:rPr>
          <w:rFonts w:ascii="Calibri" w:hAnsi="Calibri" w:eastAsia="Noto Sans CJK SC"/>
          <w:b w:val="0"/>
          <w:i w:val="0"/>
        </w:rPr>
        <w:t>从历史文档和对话提及的第三方资料中保留了参考入口，但本次是整理交付，不对其最新状态做二次联网认证。实施者应在固定版本后核验，尤其是协议、SDK、供应商缓存和 Hermes 分支行为。</w:t>
      </w:r>
    </w:p>
    <w:p>
      <w:pPr/>
      <w:r>
        <w:rPr>
          <w:rFonts w:ascii="Calibri" w:hAnsi="Calibri" w:eastAsia="Noto Sans CJK SC"/>
          <w:b w:val="0"/>
          <w:i w:val="0"/>
        </w:rPr>
      </w:r>
      <w:r>
        <w:rPr>
          <w:rFonts w:ascii="Calibri" w:hAnsi="Calibri" w:eastAsia="Noto Sans CJK SC"/>
          <w:b/>
          <w:i w:val="0"/>
        </w:rPr>
        <w:t>本包已具备继续开发所需的设计上下文；正式实现从建立可测试内核与明确未决政策开始。</w:t>
      </w:r>
      <w:r>
        <w:rPr>
          <w:rFonts w:ascii="Calibri" w:hAnsi="Calibri" w:eastAsia="Noto Sans CJK SC"/>
          <w:b w:val="0"/>
          <w:i w:val="0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06" w:right="1162" w:bottom="1020" w:left="1162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Noto Sans CJK SC"/>
        <w:color w:val="637781"/>
        <w:sz w:val="16"/>
      </w:rPr>
      <w:t xml:space="preserve">设计交接 · 2026-10-17    |    </w:t>
    </w:r>
    <w:r/>
    <w:fldSimple w:instr="PAGE"/>
    <w:r>
      <w:rPr>
        <w:rFonts w:ascii="Calibri" w:hAnsi="Calibri" w:eastAsia="Noto Sans CJK SC"/>
        <w:color w:val="637781"/>
        <w:sz w:val="16"/>
      </w:rPr>
      <w:t xml:space="preserve"> / </w:t>
    </w:r>
    <w:r/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5" w:color="CBDCDD"/>
      </w:pBdr>
    </w:pPr>
    <w:r>
      <w:rPr>
        <w:rFonts w:ascii="Calibri" w:hAnsi="Calibri" w:eastAsia="Noto Sans CJK SC"/>
        <w:color w:val="5F7480"/>
        <w:sz w:val="17"/>
      </w:rPr>
      <w:t>无量山  /  项目交接 v0.3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40"/>
    </w:pPr>
    <w:rPr>
      <w:rFonts w:ascii="Calibri" w:hAnsi="Calibri" w:eastAsia="Noto Sans CJK SC"/>
      <w:b w:val="0"/>
      <w:color w:val="243442"/>
      <w:sz w:val="21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145C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60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145C6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00" w:after="160"/>
      <w:outlineLvl w:val="2"/>
    </w:pPr>
    <w:rPr>
      <w:rFonts w:asciiTheme="majorHAnsi" w:eastAsiaTheme="majorEastAsia" w:hAnsiTheme="majorHAnsi" w:cstheme="majorBidi" w:ascii="Calibri" w:hAnsi="Calibri" w:eastAsia="Noto Sans CJK SC"/>
      <w:b/>
      <w:bCs/>
      <w:color w:val="145C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 w:before="800"/>
      <w:contextualSpacing/>
    </w:pPr>
    <w:rPr>
      <w:rFonts w:asciiTheme="majorHAnsi" w:eastAsiaTheme="majorEastAsia" w:hAnsiTheme="majorHAnsi" w:cstheme="majorBidi" w:ascii="Calibri" w:hAnsi="Calibri" w:eastAsia="Noto Sans CJK SC"/>
      <w:b/>
      <w:color w:val="133A49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500"/>
    </w:pPr>
    <w:rPr>
      <w:rFonts w:asciiTheme="majorHAnsi" w:eastAsiaTheme="majorEastAsia" w:hAnsiTheme="majorHAnsi" w:cstheme="majorBidi" w:ascii="Calibri" w:hAnsi="Calibri" w:eastAsia="Noto Sans CJK SC"/>
      <w:b w:val="0"/>
      <w:i/>
      <w:iCs/>
      <w:color w:val="287A80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12" w:lineRule="auto" w:after="100"/>
      <w:contextualSpacing/>
    </w:pPr>
    <w:rPr>
      <w:rFonts w:ascii="Calibri" w:hAnsi="Calibri" w:eastAsia="Noto Sans CJK SC"/>
      <w:b w:val="0"/>
      <w:color w:val="243442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12" w:lineRule="auto" w:after="100"/>
      <w:contextualSpacing/>
    </w:pPr>
    <w:rPr>
      <w:rFonts w:ascii="Calibri" w:hAnsi="Calibri" w:eastAsia="Noto Sans CJK SC"/>
      <w:b w:val="0"/>
      <w:color w:val="243442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项目交接 v0.3</dc:title>
  <dc:subject>无量山 C++ 多 Agent 系统设计交接</dc:subject>
  <dc:creator/>
  <cp:keywords>设计阶段,未实现,交接,统一记忆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